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drawings/drawing5.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theme/themeOverride5.xml" ContentType="application/vnd.openxmlformats-officedocument.themeOverride+xml"/>
  <Override PartName="/word/charts/chart16.xml" ContentType="application/vnd.openxmlformats-officedocument.drawingml.chart+xml"/>
  <Override PartName="/word/theme/themeOverride6.xml" ContentType="application/vnd.openxmlformats-officedocument.themeOverride+xml"/>
  <Override PartName="/word/charts/chart17.xml" ContentType="application/vnd.openxmlformats-officedocument.drawingml.chart+xml"/>
  <Override PartName="/word/theme/themeOverride7.xml" ContentType="application/vnd.openxmlformats-officedocument.themeOverride+xml"/>
  <Override PartName="/word/charts/chart18.xml" ContentType="application/vnd.openxmlformats-officedocument.drawingml.chart+xml"/>
  <Override PartName="/word/theme/themeOverride8.xml" ContentType="application/vnd.openxmlformats-officedocument.themeOverride+xml"/>
  <Override PartName="/word/charts/chart19.xml" ContentType="application/vnd.openxmlformats-officedocument.drawingml.chart+xml"/>
  <Override PartName="/word/theme/themeOverride9.xml" ContentType="application/vnd.openxmlformats-officedocument.themeOverride+xml"/>
  <Override PartName="/word/charts/chart20.xml" ContentType="application/vnd.openxmlformats-officedocument.drawingml.chart+xml"/>
  <Override PartName="/word/theme/themeOverride10.xml" ContentType="application/vnd.openxmlformats-officedocument.themeOverride+xml"/>
  <Override PartName="/word/charts/chart21.xml" ContentType="application/vnd.openxmlformats-officedocument.drawingml.chart+xml"/>
  <Override PartName="/word/theme/themeOverride11.xml" ContentType="application/vnd.openxmlformats-officedocument.themeOverride+xml"/>
  <Override PartName="/word/charts/chart22.xml" ContentType="application/vnd.openxmlformats-officedocument.drawingml.chart+xml"/>
  <Override PartName="/word/theme/themeOverride12.xml" ContentType="application/vnd.openxmlformats-officedocument.themeOverride+xml"/>
  <Override PartName="/word/charts/chart23.xml" ContentType="application/vnd.openxmlformats-officedocument.drawingml.chart+xml"/>
  <Override PartName="/word/theme/themeOverride13.xml" ContentType="application/vnd.openxmlformats-officedocument.themeOverride+xml"/>
  <Override PartName="/word/charts/chart24.xml" ContentType="application/vnd.openxmlformats-officedocument.drawingml.chart+xml"/>
  <Override PartName="/word/theme/themeOverride14.xml" ContentType="application/vnd.openxmlformats-officedocument.themeOverride+xml"/>
  <Override PartName="/word/charts/chart25.xml" ContentType="application/vnd.openxmlformats-officedocument.drawingml.chart+xml"/>
  <Override PartName="/word/theme/themeOverride15.xml" ContentType="application/vnd.openxmlformats-officedocument.themeOverride+xml"/>
  <Override PartName="/word/charts/chart26.xml" ContentType="application/vnd.openxmlformats-officedocument.drawingml.chart+xml"/>
  <Override PartName="/word/charts/chart27.xml" ContentType="application/vnd.openxmlformats-officedocument.drawingml.chart+xml"/>
  <Override PartName="/word/theme/themeOverride16.xml" ContentType="application/vnd.openxmlformats-officedocument.themeOverride+xml"/>
  <Override PartName="/word/charts/chart28.xml" ContentType="application/vnd.openxmlformats-officedocument.drawingml.chart+xml"/>
  <Override PartName="/word/charts/chart29.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18.xml" ContentType="application/vnd.openxmlformats-officedocument.themeOverride+xml"/>
  <Override PartName="/word/charts/chart31.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theme/themeOverride20.xml" ContentType="application/vnd.openxmlformats-officedocument.themeOverride+xml"/>
  <Override PartName="/word/charts/chart33.xml" ContentType="application/vnd.openxmlformats-officedocument.drawingml.chart+xml"/>
  <Override PartName="/word/charts/chart34.xml" ContentType="application/vnd.openxmlformats-officedocument.drawingml.chart+xml"/>
  <Override PartName="/word/theme/themeOverride21.xml" ContentType="application/vnd.openxmlformats-officedocument.themeOverride+xml"/>
  <Override PartName="/word/charts/chart35.xml" ContentType="application/vnd.openxmlformats-officedocument.drawingml.chart+xml"/>
  <Override PartName="/word/charts/chart36.xml" ContentType="application/vnd.openxmlformats-officedocument.drawingml.chart+xml"/>
  <Override PartName="/word/theme/themeOverride22.xml" ContentType="application/vnd.openxmlformats-officedocument.themeOverride+xml"/>
  <Override PartName="/word/charts/chart37.xml" ContentType="application/vnd.openxmlformats-officedocument.drawingml.chart+xml"/>
  <Override PartName="/word/theme/themeOverride23.xml" ContentType="application/vnd.openxmlformats-officedocument.themeOverride+xml"/>
  <Override PartName="/word/charts/chart38.xml" ContentType="application/vnd.openxmlformats-officedocument.drawingml.chart+xml"/>
  <Override PartName="/word/theme/themeOverride24.xml" ContentType="application/vnd.openxmlformats-officedocument.themeOverride+xml"/>
  <Override PartName="/word/charts/chart39.xml" ContentType="application/vnd.openxmlformats-officedocument.drawingml.chart+xml"/>
  <Override PartName="/word/theme/themeOverride25.xml" ContentType="application/vnd.openxmlformats-officedocument.themeOverride+xml"/>
  <Override PartName="/word/charts/chart40.xml" ContentType="application/vnd.openxmlformats-officedocument.drawingml.chart+xml"/>
  <Override PartName="/word/theme/themeOverride2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D3" w:rsidRPr="00396744" w:rsidRDefault="006B57D3" w:rsidP="006B57D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bookmarkStart w:id="0" w:name="_Toc105524204"/>
      <w:bookmarkStart w:id="1" w:name="_Toc74237355"/>
      <w:bookmarkStart w:id="2" w:name="_Toc105568799"/>
      <w:r w:rsidRPr="00396744">
        <w:rPr>
          <w:rFonts w:ascii="Times New Roman" w:eastAsia="Times New Roman" w:hAnsi="Times New Roman" w:cs="Times New Roman"/>
          <w:b/>
          <w:noProof/>
          <w:sz w:val="28"/>
          <w:szCs w:val="20"/>
          <w:lang w:eastAsia="ru-RU"/>
        </w:rPr>
        <w:drawing>
          <wp:anchor distT="0" distB="0" distL="114300" distR="114300" simplePos="0" relativeHeight="251661312" behindDoc="0" locked="0" layoutInCell="1" allowOverlap="1" wp14:anchorId="77DF6503" wp14:editId="50331408">
            <wp:simplePos x="0" y="0"/>
            <wp:positionH relativeFrom="column">
              <wp:posOffset>2971800</wp:posOffset>
            </wp:positionH>
            <wp:positionV relativeFrom="paragraph">
              <wp:posOffset>-114300</wp:posOffset>
            </wp:positionV>
            <wp:extent cx="410210" cy="511810"/>
            <wp:effectExtent l="19050" t="0" r="8890" b="0"/>
            <wp:wrapNone/>
            <wp:docPr id="9" name="Рисунок 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имени-2"/>
                    <pic:cNvPicPr>
                      <a:picLocks noChangeAspect="1" noChangeArrowheads="1"/>
                    </pic:cNvPicPr>
                  </pic:nvPicPr>
                  <pic:blipFill>
                    <a:blip r:embed="rId9" cstate="print"/>
                    <a:srcRect/>
                    <a:stretch>
                      <a:fillRect/>
                    </a:stretch>
                  </pic:blipFill>
                  <pic:spPr bwMode="auto">
                    <a:xfrm>
                      <a:off x="0" y="0"/>
                      <a:ext cx="410210" cy="511810"/>
                    </a:xfrm>
                    <a:prstGeom prst="rect">
                      <a:avLst/>
                    </a:prstGeom>
                    <a:noFill/>
                    <a:ln w="9525">
                      <a:noFill/>
                      <a:miter lim="800000"/>
                      <a:headEnd/>
                      <a:tailEnd/>
                    </a:ln>
                  </pic:spPr>
                </pic:pic>
              </a:graphicData>
            </a:graphic>
          </wp:anchor>
        </w:drawing>
      </w:r>
    </w:p>
    <w:p w:rsidR="006B57D3" w:rsidRPr="00396744" w:rsidRDefault="006B57D3" w:rsidP="006B57D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6B57D3" w:rsidRPr="00396744" w:rsidRDefault="006B57D3" w:rsidP="006B57D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6B57D3" w:rsidRPr="00396744" w:rsidRDefault="006B57D3" w:rsidP="006B57D3">
      <w:pPr>
        <w:widowControl w:val="0"/>
        <w:pBdr>
          <w:bottom w:val="single" w:sz="4" w:space="1" w:color="0000FF"/>
        </w:pBdr>
        <w:autoSpaceDE w:val="0"/>
        <w:autoSpaceDN w:val="0"/>
        <w:adjustRightInd w:val="0"/>
        <w:spacing w:after="0" w:line="240" w:lineRule="auto"/>
        <w:jc w:val="center"/>
        <w:rPr>
          <w:rFonts w:ascii="Times New Roman" w:eastAsia="Times New Roman" w:hAnsi="Times New Roman" w:cs="Times New Roman"/>
          <w:b/>
          <w:color w:val="0000FF"/>
          <w:sz w:val="28"/>
          <w:szCs w:val="20"/>
          <w:lang w:eastAsia="ru-RU"/>
        </w:rPr>
      </w:pPr>
      <w:r w:rsidRPr="00396744">
        <w:rPr>
          <w:rFonts w:ascii="Times New Roman" w:eastAsia="Times New Roman" w:hAnsi="Times New Roman" w:cs="Times New Roman"/>
          <w:b/>
          <w:color w:val="0000FF"/>
          <w:sz w:val="28"/>
          <w:szCs w:val="20"/>
          <w:lang w:eastAsia="ru-RU"/>
        </w:rPr>
        <w:t>КОНТРОЛЬНО-СЧЕТНАЯ ПАЛАТА АМУРСКОЙ ОБЛАСТИ</w:t>
      </w:r>
    </w:p>
    <w:p w:rsidR="006B57D3" w:rsidRPr="00396744" w:rsidRDefault="006B57D3" w:rsidP="006B57D3">
      <w:pPr>
        <w:widowControl w:val="0"/>
        <w:autoSpaceDE w:val="0"/>
        <w:autoSpaceDN w:val="0"/>
        <w:adjustRightInd w:val="0"/>
        <w:spacing w:after="0" w:line="240" w:lineRule="auto"/>
        <w:jc w:val="center"/>
        <w:rPr>
          <w:rFonts w:ascii="Times New Roman" w:eastAsia="Times New Roman" w:hAnsi="Times New Roman" w:cs="Times New Roman"/>
          <w:color w:val="0000FF"/>
          <w:sz w:val="20"/>
          <w:szCs w:val="20"/>
          <w:lang w:eastAsia="ru-RU"/>
        </w:rPr>
      </w:pPr>
      <w:r w:rsidRPr="00396744">
        <w:rPr>
          <w:rFonts w:ascii="Times New Roman" w:eastAsia="Times New Roman" w:hAnsi="Times New Roman" w:cs="Times New Roman"/>
          <w:color w:val="0000FF"/>
          <w:sz w:val="20"/>
          <w:szCs w:val="20"/>
          <w:lang w:eastAsia="ru-RU"/>
        </w:rPr>
        <w:t xml:space="preserve">ул. Ленина, </w:t>
      </w:r>
      <w:smartTag w:uri="urn:schemas-microsoft-com:office:smarttags" w:element="metricconverter">
        <w:smartTagPr>
          <w:attr w:name="ProductID" w:val="135, г"/>
        </w:smartTagPr>
        <w:r w:rsidRPr="00396744">
          <w:rPr>
            <w:rFonts w:ascii="Times New Roman" w:eastAsia="Times New Roman" w:hAnsi="Times New Roman" w:cs="Times New Roman"/>
            <w:color w:val="0000FF"/>
            <w:sz w:val="20"/>
            <w:szCs w:val="20"/>
            <w:lang w:eastAsia="ru-RU"/>
          </w:rPr>
          <w:t>135, г</w:t>
        </w:r>
      </w:smartTag>
      <w:r w:rsidRPr="00396744">
        <w:rPr>
          <w:rFonts w:ascii="Times New Roman" w:eastAsia="Times New Roman" w:hAnsi="Times New Roman" w:cs="Times New Roman"/>
          <w:color w:val="0000FF"/>
          <w:sz w:val="20"/>
          <w:szCs w:val="20"/>
          <w:lang w:eastAsia="ru-RU"/>
        </w:rPr>
        <w:t>. Благовещенск, Амурской обл., 675023,  тел./факс(4162) 22-44-70, 22-44-86,</w:t>
      </w:r>
    </w:p>
    <w:p w:rsidR="006B57D3" w:rsidRPr="00396744" w:rsidRDefault="006B57D3" w:rsidP="006B57D3">
      <w:pPr>
        <w:widowControl w:val="0"/>
        <w:autoSpaceDE w:val="0"/>
        <w:autoSpaceDN w:val="0"/>
        <w:adjustRightInd w:val="0"/>
        <w:spacing w:after="0" w:line="240" w:lineRule="auto"/>
        <w:jc w:val="center"/>
        <w:rPr>
          <w:rFonts w:ascii="Times New Roman" w:eastAsia="Times New Roman" w:hAnsi="Times New Roman" w:cs="Times New Roman"/>
          <w:color w:val="0000FF"/>
          <w:sz w:val="20"/>
          <w:szCs w:val="20"/>
          <w:u w:val="single"/>
          <w:lang w:val="en-US" w:eastAsia="ru-RU"/>
        </w:rPr>
      </w:pPr>
      <w:r w:rsidRPr="00396744">
        <w:rPr>
          <w:rFonts w:ascii="Times New Roman" w:eastAsia="Times New Roman" w:hAnsi="Times New Roman" w:cs="Times New Roman"/>
          <w:color w:val="0000FF"/>
          <w:sz w:val="20"/>
          <w:szCs w:val="20"/>
          <w:lang w:val="en-US" w:eastAsia="ru-RU"/>
        </w:rPr>
        <w:t xml:space="preserve">E-mail: </w:t>
      </w:r>
      <w:hyperlink r:id="rId10" w:history="1">
        <w:r w:rsidRPr="00396744">
          <w:rPr>
            <w:rFonts w:ascii="Times New Roman" w:eastAsia="Times New Roman" w:hAnsi="Times New Roman" w:cs="Times New Roman"/>
            <w:color w:val="0000FF"/>
            <w:sz w:val="20"/>
            <w:szCs w:val="20"/>
            <w:u w:val="single"/>
            <w:lang w:val="en-US" w:eastAsia="ru-RU"/>
          </w:rPr>
          <w:t>kspamur@tsl.ru</w:t>
        </w:r>
      </w:hyperlink>
    </w:p>
    <w:p w:rsidR="006B57D3" w:rsidRPr="00396744" w:rsidRDefault="006B57D3" w:rsidP="006B57D3">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B57D3" w:rsidRPr="00396744" w:rsidRDefault="006B57D3" w:rsidP="006B57D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396744">
        <w:rPr>
          <w:rFonts w:ascii="Times New Roman" w:eastAsia="Times New Roman" w:hAnsi="Times New Roman" w:cs="Times New Roman"/>
          <w:b/>
          <w:bCs/>
          <w:sz w:val="28"/>
          <w:szCs w:val="28"/>
          <w:lang w:eastAsia="ru-RU"/>
        </w:rPr>
        <w:t>Заключение</w:t>
      </w:r>
    </w:p>
    <w:p w:rsidR="006B57D3" w:rsidRPr="00396744" w:rsidRDefault="006B57D3" w:rsidP="006B57D3">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396744">
        <w:rPr>
          <w:rFonts w:ascii="Times New Roman" w:eastAsia="Times New Roman" w:hAnsi="Times New Roman" w:cs="Times New Roman"/>
          <w:b/>
          <w:sz w:val="28"/>
          <w:szCs w:val="28"/>
          <w:lang w:eastAsia="ru-RU"/>
        </w:rPr>
        <w:t xml:space="preserve">на проект закона Амурской области </w:t>
      </w:r>
      <w:r w:rsidRPr="00396744">
        <w:rPr>
          <w:rFonts w:ascii="Times New Roman" w:eastAsia="Times New Roman" w:hAnsi="Times New Roman" w:cs="Times New Roman"/>
          <w:b/>
          <w:sz w:val="28"/>
          <w:szCs w:val="28"/>
          <w:lang w:eastAsia="ru-RU"/>
        </w:rPr>
        <w:br/>
        <w:t>«Об исполнении областного бюджета за 201</w:t>
      </w:r>
      <w:r w:rsidR="00BD172C">
        <w:rPr>
          <w:rFonts w:ascii="Times New Roman" w:eastAsia="Times New Roman" w:hAnsi="Times New Roman" w:cs="Times New Roman"/>
          <w:b/>
          <w:sz w:val="28"/>
          <w:szCs w:val="28"/>
          <w:lang w:eastAsia="ru-RU"/>
        </w:rPr>
        <w:t>5</w:t>
      </w:r>
      <w:r w:rsidRPr="00396744">
        <w:rPr>
          <w:rFonts w:ascii="Times New Roman" w:eastAsia="Times New Roman" w:hAnsi="Times New Roman" w:cs="Times New Roman"/>
          <w:b/>
          <w:sz w:val="28"/>
          <w:szCs w:val="28"/>
          <w:lang w:eastAsia="ru-RU"/>
        </w:rPr>
        <w:t xml:space="preserve"> год»</w:t>
      </w:r>
    </w:p>
    <w:p w:rsidR="006B57D3" w:rsidRPr="00F13BFE" w:rsidRDefault="006B57D3" w:rsidP="006B57D3">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6B57D3" w:rsidRPr="00BD172C" w:rsidRDefault="006B57D3" w:rsidP="006B57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3BFE">
        <w:rPr>
          <w:rFonts w:ascii="Times New Roman" w:eastAsia="Times New Roman" w:hAnsi="Times New Roman" w:cs="Times New Roman"/>
          <w:sz w:val="24"/>
          <w:szCs w:val="24"/>
          <w:lang w:eastAsia="ru-RU"/>
        </w:rPr>
        <w:t>Заключение на проект закона Амурской области «Об исполнении областного бюджета за 201</w:t>
      </w:r>
      <w:r w:rsidR="00BD172C">
        <w:rPr>
          <w:rFonts w:ascii="Times New Roman" w:eastAsia="Times New Roman" w:hAnsi="Times New Roman" w:cs="Times New Roman"/>
          <w:sz w:val="24"/>
          <w:szCs w:val="24"/>
          <w:lang w:eastAsia="ru-RU"/>
        </w:rPr>
        <w:t>5</w:t>
      </w:r>
      <w:r w:rsidRPr="00F13BFE">
        <w:rPr>
          <w:rFonts w:ascii="Times New Roman" w:eastAsia="Times New Roman" w:hAnsi="Times New Roman" w:cs="Times New Roman"/>
          <w:sz w:val="24"/>
          <w:szCs w:val="24"/>
          <w:lang w:eastAsia="ru-RU"/>
        </w:rPr>
        <w:t xml:space="preserve"> год» подготовлено на основании результатов проверки годового отчета об исполнении областного бюджета за 201</w:t>
      </w:r>
      <w:r w:rsidR="00BD172C">
        <w:rPr>
          <w:rFonts w:ascii="Times New Roman" w:eastAsia="Times New Roman" w:hAnsi="Times New Roman" w:cs="Times New Roman"/>
          <w:sz w:val="24"/>
          <w:szCs w:val="24"/>
          <w:lang w:eastAsia="ru-RU"/>
        </w:rPr>
        <w:t>5</w:t>
      </w:r>
      <w:r w:rsidRPr="00F13BFE">
        <w:rPr>
          <w:rFonts w:ascii="Times New Roman" w:eastAsia="Times New Roman" w:hAnsi="Times New Roman" w:cs="Times New Roman"/>
          <w:sz w:val="24"/>
          <w:szCs w:val="24"/>
          <w:lang w:eastAsia="ru-RU"/>
        </w:rPr>
        <w:t xml:space="preserve"> год, проведенной в соответствии с Бюджетным кодексом Российской Федерации (статья 264.4), Уставом (основным Законом) Амурской области (статья 38), Законом </w:t>
      </w:r>
      <w:r w:rsidRPr="00BD172C">
        <w:rPr>
          <w:rFonts w:ascii="Times New Roman" w:eastAsia="Times New Roman" w:hAnsi="Times New Roman" w:cs="Times New Roman"/>
          <w:sz w:val="24"/>
          <w:szCs w:val="24"/>
          <w:lang w:eastAsia="ru-RU"/>
        </w:rPr>
        <w:t xml:space="preserve">Амурской области «О бюджетном процессе в Амурской области» (статья 16), Законом Амурской области «О контрольно-счетной палате Амурской области» (статья 9) и планом работы контрольно-счетной палаты Амурской области </w:t>
      </w:r>
      <w:r w:rsidRPr="00BD172C">
        <w:rPr>
          <w:rFonts w:ascii="Times New Roman" w:eastAsia="Times New Roman" w:hAnsi="Times New Roman" w:cs="Times New Roman"/>
          <w:sz w:val="24"/>
          <w:szCs w:val="24"/>
          <w:lang w:eastAsia="ru-RU"/>
        </w:rPr>
        <w:br/>
        <w:t>на 201</w:t>
      </w:r>
      <w:r w:rsidR="00BD172C" w:rsidRPr="00BD172C">
        <w:rPr>
          <w:rFonts w:ascii="Times New Roman" w:eastAsia="Times New Roman" w:hAnsi="Times New Roman" w:cs="Times New Roman"/>
          <w:sz w:val="24"/>
          <w:szCs w:val="24"/>
          <w:lang w:eastAsia="ru-RU"/>
        </w:rPr>
        <w:t>6</w:t>
      </w:r>
      <w:r w:rsidRPr="00BD172C">
        <w:rPr>
          <w:rFonts w:ascii="Times New Roman" w:eastAsia="Times New Roman" w:hAnsi="Times New Roman" w:cs="Times New Roman"/>
          <w:sz w:val="24"/>
          <w:szCs w:val="24"/>
          <w:lang w:eastAsia="ru-RU"/>
        </w:rPr>
        <w:t xml:space="preserve"> год (пункт 1.5), утвержденным решением коллегии контрольно-счет</w:t>
      </w:r>
      <w:r w:rsidR="00BD172C" w:rsidRPr="00BD172C">
        <w:rPr>
          <w:rFonts w:ascii="Times New Roman" w:eastAsia="Times New Roman" w:hAnsi="Times New Roman" w:cs="Times New Roman"/>
          <w:sz w:val="24"/>
          <w:szCs w:val="24"/>
          <w:lang w:eastAsia="ru-RU"/>
        </w:rPr>
        <w:t>ной палаты Амурской области от 11</w:t>
      </w:r>
      <w:r w:rsidRPr="00BD172C">
        <w:rPr>
          <w:rFonts w:ascii="Times New Roman" w:eastAsia="Times New Roman" w:hAnsi="Times New Roman" w:cs="Times New Roman"/>
          <w:sz w:val="24"/>
          <w:szCs w:val="24"/>
          <w:lang w:eastAsia="ru-RU"/>
        </w:rPr>
        <w:t>.12.201</w:t>
      </w:r>
      <w:r w:rsidR="00BD172C" w:rsidRPr="00BD172C">
        <w:rPr>
          <w:rFonts w:ascii="Times New Roman" w:eastAsia="Times New Roman" w:hAnsi="Times New Roman" w:cs="Times New Roman"/>
          <w:sz w:val="24"/>
          <w:szCs w:val="24"/>
          <w:lang w:eastAsia="ru-RU"/>
        </w:rPr>
        <w:t>5</w:t>
      </w:r>
      <w:r w:rsidRPr="00BD172C">
        <w:rPr>
          <w:rFonts w:ascii="Times New Roman" w:eastAsia="Times New Roman" w:hAnsi="Times New Roman" w:cs="Times New Roman"/>
          <w:sz w:val="24"/>
          <w:szCs w:val="24"/>
          <w:lang w:eastAsia="ru-RU"/>
        </w:rPr>
        <w:t>.</w:t>
      </w:r>
    </w:p>
    <w:p w:rsidR="006B57D3" w:rsidRPr="00F13BFE" w:rsidRDefault="006B57D3" w:rsidP="006B57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3BFE">
        <w:rPr>
          <w:rFonts w:ascii="Times New Roman" w:eastAsia="Times New Roman" w:hAnsi="Times New Roman" w:cs="Times New Roman"/>
          <w:sz w:val="24"/>
          <w:szCs w:val="24"/>
          <w:lang w:eastAsia="ru-RU"/>
        </w:rPr>
        <w:t>При проведении экспертизы законопроекта и подготовке заключения использованы:</w:t>
      </w:r>
    </w:p>
    <w:p w:rsidR="006B57D3" w:rsidRDefault="006B57D3" w:rsidP="006B57D3">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FA3E1F">
        <w:rPr>
          <w:rFonts w:ascii="Times New Roman" w:hAnsi="Times New Roman" w:cs="Times New Roman"/>
          <w:sz w:val="24"/>
          <w:szCs w:val="24"/>
        </w:rPr>
        <w:t>тчет об исполнении областного бюджета за 201</w:t>
      </w:r>
      <w:r w:rsidR="00BD172C">
        <w:rPr>
          <w:rFonts w:ascii="Times New Roman" w:hAnsi="Times New Roman" w:cs="Times New Roman"/>
          <w:sz w:val="24"/>
          <w:szCs w:val="24"/>
        </w:rPr>
        <w:t>5</w:t>
      </w:r>
      <w:r w:rsidRPr="00FA3E1F">
        <w:rPr>
          <w:rFonts w:ascii="Times New Roman" w:hAnsi="Times New Roman" w:cs="Times New Roman"/>
          <w:sz w:val="24"/>
          <w:szCs w:val="24"/>
        </w:rPr>
        <w:t xml:space="preserve"> год, представленный губернатором Амурской области на основании статьи 264.4 Бюджетного кодекса Российской Федерации, статьи 16 Закона Амурской области «О бюджетном процессе в Амурской области»</w:t>
      </w:r>
      <w:r>
        <w:rPr>
          <w:rFonts w:ascii="Times New Roman" w:hAnsi="Times New Roman" w:cs="Times New Roman"/>
          <w:sz w:val="24"/>
          <w:szCs w:val="24"/>
        </w:rPr>
        <w:t>;</w:t>
      </w:r>
    </w:p>
    <w:p w:rsidR="006B57D3" w:rsidRPr="00407A15" w:rsidRDefault="006B57D3" w:rsidP="006B57D3">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07A15">
        <w:rPr>
          <w:rFonts w:ascii="Times New Roman" w:hAnsi="Times New Roman" w:cs="Times New Roman"/>
          <w:sz w:val="24"/>
          <w:szCs w:val="24"/>
        </w:rPr>
        <w:t>документы, представляемые одновременно с годовым отчетом об исполнении областного бюджета за 201</w:t>
      </w:r>
      <w:r w:rsidR="00BD172C">
        <w:rPr>
          <w:rFonts w:ascii="Times New Roman" w:hAnsi="Times New Roman" w:cs="Times New Roman"/>
          <w:sz w:val="24"/>
          <w:szCs w:val="24"/>
        </w:rPr>
        <w:t>5</w:t>
      </w:r>
      <w:r w:rsidRPr="00407A15">
        <w:rPr>
          <w:rFonts w:ascii="Times New Roman" w:hAnsi="Times New Roman" w:cs="Times New Roman"/>
          <w:sz w:val="24"/>
          <w:szCs w:val="24"/>
        </w:rPr>
        <w:t xml:space="preserve"> год на основании ч.2 статьи 16 Закона Амурской области «О бюджетном процессе в Амурской области»;</w:t>
      </w:r>
    </w:p>
    <w:p w:rsidR="006B57D3" w:rsidRPr="00F13BFE" w:rsidRDefault="006B57D3" w:rsidP="006B57D3">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F13BFE">
        <w:rPr>
          <w:rFonts w:ascii="Times New Roman" w:eastAsia="Times New Roman" w:hAnsi="Times New Roman" w:cs="Times New Roman"/>
          <w:spacing w:val="-6"/>
          <w:sz w:val="24"/>
          <w:szCs w:val="24"/>
          <w:lang w:eastAsia="ru-RU"/>
        </w:rPr>
        <w:t xml:space="preserve">заключение контрольно-счетной палаты Амурской области </w:t>
      </w:r>
      <w:r w:rsidRPr="00F13BFE">
        <w:rPr>
          <w:rFonts w:ascii="Times New Roman" w:eastAsia="Times New Roman" w:hAnsi="Times New Roman" w:cs="Times New Roman"/>
          <w:spacing w:val="-7"/>
          <w:sz w:val="24"/>
          <w:szCs w:val="24"/>
          <w:lang w:eastAsia="ru-RU"/>
        </w:rPr>
        <w:t xml:space="preserve">на годовой отчет об исполнении </w:t>
      </w:r>
      <w:r w:rsidRPr="00F13BFE">
        <w:rPr>
          <w:rFonts w:ascii="Times New Roman" w:eastAsia="Times New Roman" w:hAnsi="Times New Roman" w:cs="Times New Roman"/>
          <w:sz w:val="24"/>
          <w:szCs w:val="24"/>
          <w:lang w:eastAsia="ru-RU"/>
        </w:rPr>
        <w:t>областного бюджета за 201</w:t>
      </w:r>
      <w:r w:rsidR="00BD172C">
        <w:rPr>
          <w:rFonts w:ascii="Times New Roman" w:eastAsia="Times New Roman" w:hAnsi="Times New Roman" w:cs="Times New Roman"/>
          <w:sz w:val="24"/>
          <w:szCs w:val="24"/>
          <w:lang w:eastAsia="ru-RU"/>
        </w:rPr>
        <w:t>5</w:t>
      </w:r>
      <w:r w:rsidRPr="00F13BFE">
        <w:rPr>
          <w:rFonts w:ascii="Times New Roman" w:eastAsia="Times New Roman" w:hAnsi="Times New Roman" w:cs="Times New Roman"/>
          <w:sz w:val="24"/>
          <w:szCs w:val="24"/>
          <w:lang w:eastAsia="ru-RU"/>
        </w:rPr>
        <w:t xml:space="preserve"> год,</w:t>
      </w:r>
      <w:r w:rsidRPr="00F13BFE">
        <w:rPr>
          <w:rFonts w:ascii="Times New Roman" w:eastAsia="Times New Roman" w:hAnsi="Times New Roman" w:cs="Times New Roman"/>
          <w:spacing w:val="-6"/>
          <w:sz w:val="24"/>
          <w:szCs w:val="24"/>
          <w:lang w:eastAsia="ru-RU"/>
        </w:rPr>
        <w:t xml:space="preserve"> подготовленное на основе внешней проверки и анализа отчетности главных администраторов средств областного бюджета;</w:t>
      </w:r>
    </w:p>
    <w:p w:rsidR="006B57D3" w:rsidRPr="00F13BFE" w:rsidRDefault="006B57D3" w:rsidP="006B57D3">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13BFE">
        <w:rPr>
          <w:rFonts w:ascii="Times New Roman" w:eastAsia="Times New Roman" w:hAnsi="Times New Roman" w:cs="Times New Roman"/>
          <w:sz w:val="24"/>
          <w:szCs w:val="24"/>
          <w:lang w:eastAsia="ru-RU"/>
        </w:rPr>
        <w:t>материалы контрольных мероприятий контрольно-счетной палаты Амурской области;</w:t>
      </w:r>
    </w:p>
    <w:p w:rsidR="006B57D3" w:rsidRPr="00F13BFE" w:rsidRDefault="006B57D3" w:rsidP="006B57D3">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13BFE">
        <w:rPr>
          <w:rFonts w:ascii="Times New Roman" w:eastAsia="Times New Roman" w:hAnsi="Times New Roman" w:cs="Times New Roman"/>
          <w:sz w:val="24"/>
          <w:szCs w:val="24"/>
          <w:lang w:eastAsia="ru-RU"/>
        </w:rPr>
        <w:t>нормативные правовые акты и иные распорядительные документы, обосновывающие операции со средствами областного бюджета;</w:t>
      </w:r>
    </w:p>
    <w:p w:rsidR="006B57D3" w:rsidRPr="00F13BFE" w:rsidRDefault="006B57D3" w:rsidP="006B57D3">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F13BFE">
        <w:rPr>
          <w:rFonts w:ascii="Times New Roman" w:eastAsia="Times New Roman" w:hAnsi="Times New Roman" w:cs="Times New Roman"/>
          <w:spacing w:val="-6"/>
          <w:sz w:val="24"/>
          <w:szCs w:val="24"/>
          <w:lang w:eastAsia="ru-RU"/>
        </w:rPr>
        <w:t>дополнительные сведения, представленные органами государственной власти Амурской области по запросам контрольно-счетной палаты Амурской области;</w:t>
      </w:r>
    </w:p>
    <w:p w:rsidR="006B57D3" w:rsidRPr="007F63FE" w:rsidRDefault="006B57D3" w:rsidP="006B57D3">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13BFE">
        <w:rPr>
          <w:rFonts w:ascii="Times New Roman" w:eastAsia="Times New Roman" w:hAnsi="Times New Roman" w:cs="Times New Roman"/>
          <w:spacing w:val="-6"/>
          <w:sz w:val="24"/>
          <w:szCs w:val="24"/>
          <w:lang w:eastAsia="ru-RU"/>
        </w:rPr>
        <w:t>официальная статистическая информация.</w:t>
      </w:r>
    </w:p>
    <w:p w:rsidR="006B57D3" w:rsidRDefault="006B57D3" w:rsidP="00937BFD">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937BFD" w:rsidRPr="00C224B3" w:rsidRDefault="00937BFD" w:rsidP="00937BFD">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224B3">
        <w:rPr>
          <w:rFonts w:ascii="Times New Roman" w:eastAsia="Times New Roman" w:hAnsi="Times New Roman" w:cs="Times New Roman"/>
          <w:b/>
          <w:sz w:val="24"/>
          <w:szCs w:val="24"/>
          <w:lang w:eastAsia="ru-RU"/>
        </w:rPr>
        <w:t xml:space="preserve">1.Макроэкономические условия исполнения областного </w:t>
      </w:r>
      <w:bookmarkEnd w:id="0"/>
      <w:r w:rsidRPr="00C224B3">
        <w:rPr>
          <w:rFonts w:ascii="Times New Roman" w:eastAsia="Times New Roman" w:hAnsi="Times New Roman" w:cs="Times New Roman"/>
          <w:b/>
          <w:sz w:val="24"/>
          <w:szCs w:val="24"/>
          <w:lang w:eastAsia="ru-RU"/>
        </w:rPr>
        <w:t>бюджета в</w:t>
      </w:r>
      <w:bookmarkStart w:id="3" w:name="_Toc105524205"/>
      <w:r w:rsidRPr="00C224B3">
        <w:rPr>
          <w:rFonts w:ascii="Times New Roman" w:eastAsia="Times New Roman" w:hAnsi="Times New Roman" w:cs="Times New Roman"/>
          <w:b/>
          <w:sz w:val="24"/>
          <w:szCs w:val="24"/>
          <w:lang w:eastAsia="ru-RU"/>
        </w:rPr>
        <w:t xml:space="preserve"> 201</w:t>
      </w:r>
      <w:r w:rsidR="00BD172C">
        <w:rPr>
          <w:rFonts w:ascii="Times New Roman" w:eastAsia="Times New Roman" w:hAnsi="Times New Roman" w:cs="Times New Roman"/>
          <w:b/>
          <w:sz w:val="24"/>
          <w:szCs w:val="24"/>
          <w:lang w:eastAsia="ru-RU"/>
        </w:rPr>
        <w:t>5</w:t>
      </w:r>
      <w:r w:rsidRPr="00C224B3">
        <w:rPr>
          <w:rFonts w:ascii="Times New Roman" w:eastAsia="Times New Roman" w:hAnsi="Times New Roman" w:cs="Times New Roman"/>
          <w:b/>
          <w:sz w:val="24"/>
          <w:szCs w:val="24"/>
          <w:lang w:eastAsia="ru-RU"/>
        </w:rPr>
        <w:t xml:space="preserve"> году</w:t>
      </w:r>
      <w:bookmarkEnd w:id="1"/>
      <w:bookmarkEnd w:id="2"/>
      <w:bookmarkEnd w:id="3"/>
    </w:p>
    <w:p w:rsidR="00E07930" w:rsidRPr="00C224B3" w:rsidRDefault="00E07930" w:rsidP="00E07930">
      <w:pPr>
        <w:pStyle w:val="1"/>
        <w:ind w:firstLine="709"/>
        <w:rPr>
          <w:b/>
          <w:i/>
        </w:rPr>
      </w:pPr>
      <w:r w:rsidRPr="00C224B3">
        <w:rPr>
          <w:b/>
          <w:i/>
        </w:rPr>
        <w:t>1.1. Социальное развитие Амурской области</w:t>
      </w:r>
    </w:p>
    <w:p w:rsidR="000D2A17" w:rsidRPr="00C224B3" w:rsidRDefault="000D2A17" w:rsidP="005112B7">
      <w:pPr>
        <w:pStyle w:val="afa"/>
        <w:tabs>
          <w:tab w:val="left" w:pos="993"/>
        </w:tabs>
        <w:ind w:left="0" w:firstLine="709"/>
        <w:jc w:val="both"/>
        <w:rPr>
          <w:sz w:val="24"/>
          <w:szCs w:val="24"/>
          <w:u w:val="single"/>
        </w:rPr>
      </w:pPr>
      <w:r w:rsidRPr="00C224B3">
        <w:rPr>
          <w:sz w:val="24"/>
          <w:szCs w:val="24"/>
          <w:u w:val="single"/>
        </w:rPr>
        <w:t>1.1.1. Население.</w:t>
      </w:r>
    </w:p>
    <w:p w:rsidR="00BE5528" w:rsidRPr="0013036C" w:rsidRDefault="006F08CD" w:rsidP="005112B7">
      <w:pPr>
        <w:pStyle w:val="afa"/>
        <w:tabs>
          <w:tab w:val="left" w:pos="993"/>
        </w:tabs>
        <w:ind w:left="0" w:firstLine="709"/>
        <w:jc w:val="both"/>
        <w:rPr>
          <w:sz w:val="24"/>
          <w:szCs w:val="24"/>
        </w:rPr>
      </w:pPr>
      <w:r w:rsidRPr="0013036C">
        <w:rPr>
          <w:sz w:val="24"/>
          <w:szCs w:val="24"/>
        </w:rPr>
        <w:t xml:space="preserve">По </w:t>
      </w:r>
      <w:r w:rsidR="005112B7" w:rsidRPr="0013036C">
        <w:rPr>
          <w:sz w:val="24"/>
          <w:szCs w:val="24"/>
        </w:rPr>
        <w:t xml:space="preserve">оценке Территориального органа Федеральной службы государственной статистики по Амурской области </w:t>
      </w:r>
      <w:r w:rsidR="005112B7" w:rsidRPr="0013036C">
        <w:rPr>
          <w:i/>
          <w:sz w:val="24"/>
          <w:szCs w:val="24"/>
        </w:rPr>
        <w:t>ч</w:t>
      </w:r>
      <w:r w:rsidR="00BE5528" w:rsidRPr="0013036C">
        <w:rPr>
          <w:i/>
          <w:sz w:val="24"/>
          <w:szCs w:val="24"/>
        </w:rPr>
        <w:t>исленность постоянного населения</w:t>
      </w:r>
      <w:r w:rsidR="00BE5528" w:rsidRPr="0013036C">
        <w:rPr>
          <w:sz w:val="24"/>
          <w:szCs w:val="24"/>
        </w:rPr>
        <w:t xml:space="preserve"> </w:t>
      </w:r>
      <w:r w:rsidR="005112B7" w:rsidRPr="0013036C">
        <w:rPr>
          <w:sz w:val="24"/>
          <w:szCs w:val="24"/>
        </w:rPr>
        <w:t>по состоянию на 01.01.201</w:t>
      </w:r>
      <w:r w:rsidR="000E574F">
        <w:rPr>
          <w:sz w:val="24"/>
          <w:szCs w:val="24"/>
        </w:rPr>
        <w:t>6</w:t>
      </w:r>
      <w:r w:rsidR="005112B7" w:rsidRPr="0013036C">
        <w:rPr>
          <w:sz w:val="24"/>
          <w:szCs w:val="24"/>
        </w:rPr>
        <w:t xml:space="preserve"> </w:t>
      </w:r>
      <w:r w:rsidR="00BE5528" w:rsidRPr="0013036C">
        <w:rPr>
          <w:sz w:val="24"/>
          <w:szCs w:val="24"/>
        </w:rPr>
        <w:t xml:space="preserve">составила </w:t>
      </w:r>
      <w:r w:rsidR="000E574F">
        <w:rPr>
          <w:sz w:val="24"/>
          <w:szCs w:val="24"/>
        </w:rPr>
        <w:t xml:space="preserve">805,7 </w:t>
      </w:r>
      <w:r w:rsidR="005112B7" w:rsidRPr="0013036C">
        <w:rPr>
          <w:sz w:val="24"/>
          <w:szCs w:val="24"/>
        </w:rPr>
        <w:t>тыс. человек (</w:t>
      </w:r>
      <w:r w:rsidR="00BE5528" w:rsidRPr="0013036C">
        <w:rPr>
          <w:sz w:val="24"/>
          <w:szCs w:val="24"/>
        </w:rPr>
        <w:t>на 01.01.201</w:t>
      </w:r>
      <w:r w:rsidR="000E574F">
        <w:rPr>
          <w:sz w:val="24"/>
          <w:szCs w:val="24"/>
        </w:rPr>
        <w:t>5</w:t>
      </w:r>
      <w:r w:rsidR="00BE5528" w:rsidRPr="0013036C">
        <w:rPr>
          <w:sz w:val="24"/>
          <w:szCs w:val="24"/>
        </w:rPr>
        <w:t xml:space="preserve"> – </w:t>
      </w:r>
      <w:r w:rsidR="000E574F" w:rsidRPr="0013036C">
        <w:rPr>
          <w:sz w:val="24"/>
          <w:szCs w:val="24"/>
        </w:rPr>
        <w:t>809,9</w:t>
      </w:r>
      <w:r w:rsidR="00BE5528" w:rsidRPr="0013036C">
        <w:rPr>
          <w:sz w:val="24"/>
          <w:szCs w:val="24"/>
        </w:rPr>
        <w:t xml:space="preserve"> тыс. человек).</w:t>
      </w:r>
    </w:p>
    <w:p w:rsidR="00A2533C" w:rsidRDefault="005112B7" w:rsidP="00C224B3">
      <w:pPr>
        <w:pStyle w:val="afa"/>
        <w:tabs>
          <w:tab w:val="left" w:pos="993"/>
        </w:tabs>
        <w:ind w:left="0" w:firstLine="709"/>
        <w:jc w:val="both"/>
        <w:rPr>
          <w:sz w:val="24"/>
          <w:szCs w:val="24"/>
        </w:rPr>
      </w:pPr>
      <w:r w:rsidRPr="00C65028">
        <w:rPr>
          <w:sz w:val="24"/>
          <w:szCs w:val="24"/>
        </w:rPr>
        <w:t>В 201</w:t>
      </w:r>
      <w:r w:rsidR="00C65028" w:rsidRPr="00C65028">
        <w:rPr>
          <w:sz w:val="24"/>
          <w:szCs w:val="24"/>
        </w:rPr>
        <w:t>5</w:t>
      </w:r>
      <w:r w:rsidRPr="00C65028">
        <w:rPr>
          <w:sz w:val="24"/>
          <w:szCs w:val="24"/>
        </w:rPr>
        <w:t xml:space="preserve"> году </w:t>
      </w:r>
      <w:r w:rsidRPr="00C65028">
        <w:rPr>
          <w:i/>
          <w:sz w:val="24"/>
          <w:szCs w:val="24"/>
        </w:rPr>
        <w:t>родилось</w:t>
      </w:r>
      <w:r w:rsidRPr="00C65028">
        <w:rPr>
          <w:sz w:val="24"/>
          <w:szCs w:val="24"/>
        </w:rPr>
        <w:t xml:space="preserve"> </w:t>
      </w:r>
      <w:r w:rsidR="00C65028" w:rsidRPr="00C65028">
        <w:rPr>
          <w:sz w:val="24"/>
          <w:szCs w:val="24"/>
        </w:rPr>
        <w:t>10778</w:t>
      </w:r>
      <w:r w:rsidRPr="00C65028">
        <w:rPr>
          <w:sz w:val="24"/>
          <w:szCs w:val="24"/>
        </w:rPr>
        <w:t xml:space="preserve"> человек; </w:t>
      </w:r>
      <w:r w:rsidRPr="00C65028">
        <w:rPr>
          <w:i/>
          <w:sz w:val="24"/>
          <w:szCs w:val="24"/>
        </w:rPr>
        <w:t>умерло</w:t>
      </w:r>
      <w:r w:rsidRPr="00C65028">
        <w:rPr>
          <w:sz w:val="24"/>
          <w:szCs w:val="24"/>
        </w:rPr>
        <w:t xml:space="preserve"> </w:t>
      </w:r>
      <w:r w:rsidR="00C65028" w:rsidRPr="00C65028">
        <w:rPr>
          <w:sz w:val="24"/>
          <w:szCs w:val="24"/>
        </w:rPr>
        <w:t>11194</w:t>
      </w:r>
      <w:r w:rsidR="00DA454D" w:rsidRPr="00C65028">
        <w:rPr>
          <w:sz w:val="24"/>
          <w:szCs w:val="24"/>
        </w:rPr>
        <w:t xml:space="preserve"> человек</w:t>
      </w:r>
      <w:r w:rsidR="00C65028" w:rsidRPr="00C65028">
        <w:rPr>
          <w:sz w:val="24"/>
          <w:szCs w:val="24"/>
        </w:rPr>
        <w:t>а</w:t>
      </w:r>
      <w:r w:rsidR="00DA454D" w:rsidRPr="00C65028">
        <w:rPr>
          <w:sz w:val="24"/>
          <w:szCs w:val="24"/>
        </w:rPr>
        <w:t>. По сравнению с данными на 01.01.201</w:t>
      </w:r>
      <w:r w:rsidR="00C65028" w:rsidRPr="00C65028">
        <w:rPr>
          <w:sz w:val="24"/>
          <w:szCs w:val="24"/>
        </w:rPr>
        <w:t>5</w:t>
      </w:r>
      <w:r w:rsidR="00DA454D" w:rsidRPr="00C65028">
        <w:rPr>
          <w:sz w:val="24"/>
          <w:szCs w:val="24"/>
        </w:rPr>
        <w:t xml:space="preserve"> </w:t>
      </w:r>
      <w:r w:rsidR="00C224B3" w:rsidRPr="00C65028">
        <w:rPr>
          <w:sz w:val="24"/>
          <w:szCs w:val="24"/>
        </w:rPr>
        <w:t>число родившихся на 1000 человек населения (коэффициент рождаемости)</w:t>
      </w:r>
      <w:r w:rsidR="00DA454D" w:rsidRPr="00C65028">
        <w:rPr>
          <w:sz w:val="24"/>
          <w:szCs w:val="24"/>
        </w:rPr>
        <w:t xml:space="preserve"> уменьшилось на </w:t>
      </w:r>
      <w:r w:rsidR="00C224B3" w:rsidRPr="00C65028">
        <w:rPr>
          <w:sz w:val="24"/>
          <w:szCs w:val="24"/>
        </w:rPr>
        <w:t>0,4</w:t>
      </w:r>
      <w:r w:rsidR="00DA454D" w:rsidRPr="00C65028">
        <w:rPr>
          <w:sz w:val="24"/>
          <w:szCs w:val="24"/>
        </w:rPr>
        <w:t xml:space="preserve"> п</w:t>
      </w:r>
      <w:r w:rsidR="00C224B3" w:rsidRPr="00C65028">
        <w:rPr>
          <w:sz w:val="24"/>
          <w:szCs w:val="24"/>
        </w:rPr>
        <w:t>ункта</w:t>
      </w:r>
      <w:r w:rsidR="00DA454D" w:rsidRPr="00C65028">
        <w:rPr>
          <w:sz w:val="24"/>
          <w:szCs w:val="24"/>
        </w:rPr>
        <w:t xml:space="preserve">, количество умерших </w:t>
      </w:r>
      <w:r w:rsidR="00C224B3" w:rsidRPr="00C65028">
        <w:rPr>
          <w:sz w:val="24"/>
          <w:szCs w:val="24"/>
        </w:rPr>
        <w:t xml:space="preserve">(коэффициент смертности) </w:t>
      </w:r>
      <w:r w:rsidR="00DA454D" w:rsidRPr="00C65028">
        <w:rPr>
          <w:sz w:val="24"/>
          <w:szCs w:val="24"/>
        </w:rPr>
        <w:t xml:space="preserve">– </w:t>
      </w:r>
      <w:r w:rsidR="00C224B3" w:rsidRPr="00C65028">
        <w:rPr>
          <w:sz w:val="24"/>
          <w:szCs w:val="24"/>
        </w:rPr>
        <w:t>осталось на уровне 201</w:t>
      </w:r>
      <w:r w:rsidR="00C65028" w:rsidRPr="00C65028">
        <w:rPr>
          <w:sz w:val="24"/>
          <w:szCs w:val="24"/>
        </w:rPr>
        <w:t>4</w:t>
      </w:r>
      <w:r w:rsidR="00C224B3" w:rsidRPr="00C65028">
        <w:rPr>
          <w:sz w:val="24"/>
          <w:szCs w:val="24"/>
        </w:rPr>
        <w:t xml:space="preserve"> года.</w:t>
      </w:r>
      <w:r w:rsidR="00DA454D" w:rsidRPr="00C65028">
        <w:rPr>
          <w:sz w:val="24"/>
          <w:szCs w:val="24"/>
        </w:rPr>
        <w:t xml:space="preserve"> </w:t>
      </w:r>
      <w:r w:rsidR="00C224B3" w:rsidRPr="00C65028">
        <w:rPr>
          <w:sz w:val="24"/>
          <w:szCs w:val="24"/>
        </w:rPr>
        <w:t xml:space="preserve">Снижение коэффициента рождаемости при сохранении уровня смертности в 2014 году привело к естественной убыли населения на </w:t>
      </w:r>
      <w:r w:rsidR="00C65028" w:rsidRPr="00C65028">
        <w:rPr>
          <w:sz w:val="24"/>
          <w:szCs w:val="24"/>
        </w:rPr>
        <w:t>416</w:t>
      </w:r>
      <w:r w:rsidR="00C224B3" w:rsidRPr="00C65028">
        <w:rPr>
          <w:sz w:val="24"/>
          <w:szCs w:val="24"/>
        </w:rPr>
        <w:t xml:space="preserve"> человек. </w:t>
      </w:r>
      <w:r w:rsidR="00DA454D" w:rsidRPr="00C65028">
        <w:rPr>
          <w:i/>
          <w:sz w:val="24"/>
          <w:szCs w:val="24"/>
        </w:rPr>
        <w:t>Коэффициент естественно</w:t>
      </w:r>
      <w:r w:rsidR="0013036C" w:rsidRPr="00C65028">
        <w:rPr>
          <w:i/>
          <w:sz w:val="24"/>
          <w:szCs w:val="24"/>
        </w:rPr>
        <w:t>й</w:t>
      </w:r>
      <w:r w:rsidR="00DA454D" w:rsidRPr="00C65028">
        <w:rPr>
          <w:i/>
          <w:sz w:val="24"/>
          <w:szCs w:val="24"/>
        </w:rPr>
        <w:t xml:space="preserve"> </w:t>
      </w:r>
      <w:r w:rsidR="0013036C" w:rsidRPr="00C65028">
        <w:rPr>
          <w:i/>
          <w:sz w:val="24"/>
          <w:szCs w:val="24"/>
        </w:rPr>
        <w:t>убыли</w:t>
      </w:r>
      <w:r w:rsidR="00DA454D" w:rsidRPr="00C65028">
        <w:rPr>
          <w:i/>
          <w:sz w:val="24"/>
          <w:szCs w:val="24"/>
        </w:rPr>
        <w:t xml:space="preserve"> населения</w:t>
      </w:r>
      <w:r w:rsidR="00DA454D" w:rsidRPr="00C65028">
        <w:rPr>
          <w:sz w:val="24"/>
          <w:szCs w:val="24"/>
        </w:rPr>
        <w:t xml:space="preserve"> за 201</w:t>
      </w:r>
      <w:r w:rsidR="00C65028" w:rsidRPr="00C65028">
        <w:rPr>
          <w:sz w:val="24"/>
          <w:szCs w:val="24"/>
        </w:rPr>
        <w:t>5</w:t>
      </w:r>
      <w:r w:rsidR="00DA454D" w:rsidRPr="00C65028">
        <w:rPr>
          <w:sz w:val="24"/>
          <w:szCs w:val="24"/>
        </w:rPr>
        <w:t xml:space="preserve"> год составил 0,</w:t>
      </w:r>
      <w:r w:rsidR="00C65028" w:rsidRPr="00C65028">
        <w:rPr>
          <w:sz w:val="24"/>
          <w:szCs w:val="24"/>
        </w:rPr>
        <w:t>6</w:t>
      </w:r>
      <w:r w:rsidR="00DA454D" w:rsidRPr="00C65028">
        <w:rPr>
          <w:sz w:val="24"/>
          <w:szCs w:val="24"/>
        </w:rPr>
        <w:t xml:space="preserve"> промилле</w:t>
      </w:r>
      <w:r w:rsidR="00313D3F">
        <w:rPr>
          <w:sz w:val="24"/>
          <w:szCs w:val="24"/>
        </w:rPr>
        <w:t>.</w:t>
      </w:r>
    </w:p>
    <w:p w:rsidR="006B57D3" w:rsidRDefault="006B57D3" w:rsidP="00C224B3">
      <w:pPr>
        <w:pStyle w:val="afa"/>
        <w:tabs>
          <w:tab w:val="left" w:pos="993"/>
        </w:tabs>
        <w:ind w:left="0" w:firstLine="709"/>
        <w:jc w:val="both"/>
        <w:rPr>
          <w:sz w:val="24"/>
          <w:szCs w:val="24"/>
        </w:rPr>
      </w:pPr>
    </w:p>
    <w:p w:rsidR="006B57D3" w:rsidRPr="00C65028" w:rsidRDefault="006B57D3" w:rsidP="00C224B3">
      <w:pPr>
        <w:pStyle w:val="afa"/>
        <w:tabs>
          <w:tab w:val="left" w:pos="993"/>
        </w:tabs>
        <w:ind w:left="0" w:firstLine="709"/>
        <w:jc w:val="both"/>
        <w:rPr>
          <w:sz w:val="24"/>
          <w:szCs w:val="24"/>
        </w:rPr>
      </w:pPr>
    </w:p>
    <w:p w:rsidR="000D2A17" w:rsidRPr="00C65028" w:rsidRDefault="000D2A17" w:rsidP="005112B7">
      <w:pPr>
        <w:pStyle w:val="afa"/>
        <w:tabs>
          <w:tab w:val="left" w:pos="993"/>
        </w:tabs>
        <w:ind w:left="0" w:firstLine="709"/>
        <w:jc w:val="both"/>
        <w:rPr>
          <w:sz w:val="24"/>
          <w:szCs w:val="24"/>
          <w:u w:val="single"/>
        </w:rPr>
      </w:pPr>
      <w:r w:rsidRPr="00C65028">
        <w:rPr>
          <w:sz w:val="24"/>
          <w:szCs w:val="24"/>
          <w:u w:val="single"/>
        </w:rPr>
        <w:lastRenderedPageBreak/>
        <w:t>1.1.2. Рынок труда.</w:t>
      </w:r>
    </w:p>
    <w:p w:rsidR="00152526" w:rsidRPr="007963CF" w:rsidRDefault="00A2533C" w:rsidP="00F4063C">
      <w:pPr>
        <w:pStyle w:val="afa"/>
        <w:tabs>
          <w:tab w:val="left" w:pos="993"/>
        </w:tabs>
        <w:ind w:left="0" w:firstLine="709"/>
        <w:jc w:val="both"/>
        <w:rPr>
          <w:sz w:val="24"/>
          <w:szCs w:val="24"/>
        </w:rPr>
      </w:pPr>
      <w:r w:rsidRPr="00B42B9B">
        <w:rPr>
          <w:i/>
          <w:sz w:val="24"/>
          <w:szCs w:val="24"/>
        </w:rPr>
        <w:t>Численность экономически активного населения</w:t>
      </w:r>
      <w:r w:rsidRPr="00B42B9B">
        <w:rPr>
          <w:sz w:val="24"/>
          <w:szCs w:val="24"/>
        </w:rPr>
        <w:t xml:space="preserve"> </w:t>
      </w:r>
      <w:r w:rsidR="00F4063C" w:rsidRPr="00B42B9B">
        <w:rPr>
          <w:sz w:val="24"/>
          <w:szCs w:val="24"/>
        </w:rPr>
        <w:t>в 201</w:t>
      </w:r>
      <w:r w:rsidR="00C65028" w:rsidRPr="00B42B9B">
        <w:rPr>
          <w:sz w:val="24"/>
          <w:szCs w:val="24"/>
        </w:rPr>
        <w:t>5</w:t>
      </w:r>
      <w:r w:rsidR="00F4063C" w:rsidRPr="00B42B9B">
        <w:rPr>
          <w:sz w:val="24"/>
          <w:szCs w:val="24"/>
        </w:rPr>
        <w:t xml:space="preserve"> году составила </w:t>
      </w:r>
      <w:r w:rsidR="00FD5D14" w:rsidRPr="00B42B9B">
        <w:rPr>
          <w:sz w:val="24"/>
          <w:szCs w:val="24"/>
        </w:rPr>
        <w:br/>
      </w:r>
      <w:r w:rsidR="008476AF" w:rsidRPr="00B42B9B">
        <w:rPr>
          <w:sz w:val="24"/>
          <w:szCs w:val="24"/>
        </w:rPr>
        <w:t>4</w:t>
      </w:r>
      <w:r w:rsidR="00B42B9B" w:rsidRPr="00B42B9B">
        <w:rPr>
          <w:sz w:val="24"/>
          <w:szCs w:val="24"/>
        </w:rPr>
        <w:t>1</w:t>
      </w:r>
      <w:r w:rsidR="008476AF" w:rsidRPr="00B42B9B">
        <w:rPr>
          <w:sz w:val="24"/>
          <w:szCs w:val="24"/>
        </w:rPr>
        <w:t>1,8</w:t>
      </w:r>
      <w:r w:rsidR="008C4AF2" w:rsidRPr="00B42B9B">
        <w:rPr>
          <w:sz w:val="24"/>
          <w:szCs w:val="24"/>
        </w:rPr>
        <w:t xml:space="preserve"> тыс. человек</w:t>
      </w:r>
      <w:r w:rsidR="008476AF" w:rsidRPr="00B42B9B">
        <w:rPr>
          <w:sz w:val="24"/>
          <w:szCs w:val="24"/>
        </w:rPr>
        <w:t xml:space="preserve">, что </w:t>
      </w:r>
      <w:r w:rsidR="00B42B9B" w:rsidRPr="00B42B9B">
        <w:rPr>
          <w:sz w:val="24"/>
          <w:szCs w:val="24"/>
        </w:rPr>
        <w:t>ниже уровня 2014</w:t>
      </w:r>
      <w:r w:rsidR="008476AF" w:rsidRPr="00B42B9B">
        <w:rPr>
          <w:sz w:val="24"/>
          <w:szCs w:val="24"/>
        </w:rPr>
        <w:t xml:space="preserve"> года на </w:t>
      </w:r>
      <w:r w:rsidR="00B42B9B" w:rsidRPr="00B42B9B">
        <w:rPr>
          <w:sz w:val="24"/>
          <w:szCs w:val="24"/>
        </w:rPr>
        <w:t>2,4</w:t>
      </w:r>
      <w:r w:rsidR="008476AF" w:rsidRPr="00B42B9B">
        <w:rPr>
          <w:sz w:val="24"/>
          <w:szCs w:val="24"/>
        </w:rPr>
        <w:t xml:space="preserve"> процента (в 201</w:t>
      </w:r>
      <w:r w:rsidR="00B42B9B" w:rsidRPr="00B42B9B">
        <w:rPr>
          <w:sz w:val="24"/>
          <w:szCs w:val="24"/>
        </w:rPr>
        <w:t>4</w:t>
      </w:r>
      <w:r w:rsidR="008476AF" w:rsidRPr="00B42B9B">
        <w:rPr>
          <w:sz w:val="24"/>
          <w:szCs w:val="24"/>
        </w:rPr>
        <w:t xml:space="preserve"> году численность экономически активного населения составляла </w:t>
      </w:r>
      <w:r w:rsidR="00F4063C" w:rsidRPr="00B42B9B">
        <w:rPr>
          <w:sz w:val="24"/>
          <w:szCs w:val="24"/>
        </w:rPr>
        <w:t>4</w:t>
      </w:r>
      <w:r w:rsidR="00B42B9B" w:rsidRPr="00B42B9B">
        <w:rPr>
          <w:sz w:val="24"/>
          <w:szCs w:val="24"/>
        </w:rPr>
        <w:t>21</w:t>
      </w:r>
      <w:r w:rsidR="00F4063C" w:rsidRPr="00B42B9B">
        <w:rPr>
          <w:sz w:val="24"/>
          <w:szCs w:val="24"/>
        </w:rPr>
        <w:t>,</w:t>
      </w:r>
      <w:r w:rsidR="00B42B9B" w:rsidRPr="00B42B9B">
        <w:rPr>
          <w:sz w:val="24"/>
          <w:szCs w:val="24"/>
        </w:rPr>
        <w:t>8</w:t>
      </w:r>
      <w:r w:rsidR="00F4063C" w:rsidRPr="00B42B9B">
        <w:rPr>
          <w:sz w:val="24"/>
          <w:szCs w:val="24"/>
        </w:rPr>
        <w:t xml:space="preserve"> тыс. человек</w:t>
      </w:r>
      <w:r w:rsidR="008476AF" w:rsidRPr="00B42B9B">
        <w:rPr>
          <w:sz w:val="24"/>
          <w:szCs w:val="24"/>
        </w:rPr>
        <w:t>)</w:t>
      </w:r>
      <w:r w:rsidR="00F4063C" w:rsidRPr="00B42B9B">
        <w:rPr>
          <w:sz w:val="24"/>
          <w:szCs w:val="24"/>
        </w:rPr>
        <w:t xml:space="preserve">. </w:t>
      </w:r>
      <w:r w:rsidRPr="00B42B9B">
        <w:rPr>
          <w:sz w:val="24"/>
          <w:szCs w:val="24"/>
        </w:rPr>
        <w:t>Численность занятого в эко</w:t>
      </w:r>
      <w:r w:rsidR="008476AF" w:rsidRPr="00B42B9B">
        <w:rPr>
          <w:sz w:val="24"/>
          <w:szCs w:val="24"/>
        </w:rPr>
        <w:t>номике области населения за 201</w:t>
      </w:r>
      <w:r w:rsidR="00B42B9B" w:rsidRPr="00B42B9B">
        <w:rPr>
          <w:sz w:val="24"/>
          <w:szCs w:val="24"/>
        </w:rPr>
        <w:t>5</w:t>
      </w:r>
      <w:r w:rsidRPr="00B42B9B">
        <w:rPr>
          <w:sz w:val="24"/>
          <w:szCs w:val="24"/>
        </w:rPr>
        <w:t xml:space="preserve"> год </w:t>
      </w:r>
      <w:r w:rsidR="00B42B9B" w:rsidRPr="00B42B9B">
        <w:rPr>
          <w:sz w:val="24"/>
          <w:szCs w:val="24"/>
        </w:rPr>
        <w:t>снизилась</w:t>
      </w:r>
      <w:r w:rsidRPr="00B42B9B">
        <w:rPr>
          <w:sz w:val="24"/>
          <w:szCs w:val="24"/>
        </w:rPr>
        <w:t xml:space="preserve"> на </w:t>
      </w:r>
      <w:r w:rsidR="00B42B9B" w:rsidRPr="00B42B9B">
        <w:rPr>
          <w:sz w:val="24"/>
          <w:szCs w:val="24"/>
        </w:rPr>
        <w:t>10,5</w:t>
      </w:r>
      <w:r w:rsidRPr="00B42B9B">
        <w:rPr>
          <w:sz w:val="24"/>
          <w:szCs w:val="24"/>
        </w:rPr>
        <w:t xml:space="preserve"> тыс. человек, или </w:t>
      </w:r>
      <w:r w:rsidR="00B42B9B" w:rsidRPr="00B42B9B">
        <w:rPr>
          <w:sz w:val="24"/>
          <w:szCs w:val="24"/>
        </w:rPr>
        <w:t>2,</w:t>
      </w:r>
      <w:r w:rsidR="00B00992">
        <w:rPr>
          <w:sz w:val="24"/>
          <w:szCs w:val="24"/>
        </w:rPr>
        <w:t>5</w:t>
      </w:r>
      <w:r w:rsidRPr="00B42B9B">
        <w:rPr>
          <w:sz w:val="24"/>
          <w:szCs w:val="24"/>
        </w:rPr>
        <w:t xml:space="preserve"> процента, по сравнению с 201</w:t>
      </w:r>
      <w:r w:rsidR="00B42B9B" w:rsidRPr="00B42B9B">
        <w:rPr>
          <w:sz w:val="24"/>
          <w:szCs w:val="24"/>
        </w:rPr>
        <w:t>4</w:t>
      </w:r>
      <w:r w:rsidRPr="00B42B9B">
        <w:rPr>
          <w:sz w:val="24"/>
          <w:szCs w:val="24"/>
        </w:rPr>
        <w:t xml:space="preserve"> годом</w:t>
      </w:r>
      <w:r w:rsidR="008476AF" w:rsidRPr="00B42B9B">
        <w:rPr>
          <w:sz w:val="24"/>
          <w:szCs w:val="24"/>
        </w:rPr>
        <w:t>,</w:t>
      </w:r>
      <w:r w:rsidR="00F4063C" w:rsidRPr="00B42B9B">
        <w:rPr>
          <w:sz w:val="24"/>
          <w:szCs w:val="24"/>
        </w:rPr>
        <w:t xml:space="preserve"> и составила </w:t>
      </w:r>
      <w:r w:rsidR="00B42B9B" w:rsidRPr="00B42B9B">
        <w:rPr>
          <w:sz w:val="24"/>
          <w:szCs w:val="24"/>
        </w:rPr>
        <w:t>387,8</w:t>
      </w:r>
      <w:r w:rsidR="00F4063C" w:rsidRPr="00B42B9B">
        <w:rPr>
          <w:sz w:val="24"/>
          <w:szCs w:val="24"/>
        </w:rPr>
        <w:t xml:space="preserve"> тыс. человек</w:t>
      </w:r>
      <w:r w:rsidR="00B42B9B" w:rsidRPr="00B42B9B">
        <w:rPr>
          <w:sz w:val="24"/>
          <w:szCs w:val="24"/>
        </w:rPr>
        <w:t>. В 2015 году значение указанного показателя минимально за период 2010-2015 годов</w:t>
      </w:r>
      <w:r w:rsidR="00B42B9B" w:rsidRPr="007963CF">
        <w:rPr>
          <w:sz w:val="24"/>
          <w:szCs w:val="24"/>
        </w:rPr>
        <w:t>.</w:t>
      </w:r>
      <w:r w:rsidRPr="007963CF">
        <w:rPr>
          <w:sz w:val="24"/>
          <w:szCs w:val="24"/>
        </w:rPr>
        <w:t xml:space="preserve"> </w:t>
      </w:r>
      <w:r w:rsidR="007963CF" w:rsidRPr="007963CF">
        <w:rPr>
          <w:sz w:val="24"/>
          <w:szCs w:val="24"/>
        </w:rPr>
        <w:t>Доля занятых в сферах государственного управления, образования, здравоохранения и предоставления социальных услуг в 2015 году по сравнению с 2014 годом снизилась на 2,6 процента и составила 27,6</w:t>
      </w:r>
      <w:r w:rsidR="00152526" w:rsidRPr="007963CF">
        <w:rPr>
          <w:sz w:val="24"/>
          <w:szCs w:val="24"/>
        </w:rPr>
        <w:t xml:space="preserve"> процент</w:t>
      </w:r>
      <w:r w:rsidR="00601BD5">
        <w:rPr>
          <w:sz w:val="24"/>
          <w:szCs w:val="24"/>
        </w:rPr>
        <w:t>а</w:t>
      </w:r>
      <w:r w:rsidR="00152526" w:rsidRPr="007963CF">
        <w:rPr>
          <w:sz w:val="24"/>
          <w:szCs w:val="24"/>
        </w:rPr>
        <w:t xml:space="preserve"> экономически активного населения</w:t>
      </w:r>
      <w:r w:rsidR="007963CF" w:rsidRPr="007963CF">
        <w:rPr>
          <w:sz w:val="24"/>
          <w:szCs w:val="24"/>
        </w:rPr>
        <w:t>. Увеличилась доля занятых в сфере транспорта и связи (с 14,8 процента в 2014 году до 16,2 процента в 2015 году), строительства (с 9,4 процента до 10,8 процента) и в сельском хозяйстве (с 5,7 процента до 6,1 процента)</w:t>
      </w:r>
      <w:r w:rsidR="00152526" w:rsidRPr="007963CF">
        <w:rPr>
          <w:sz w:val="24"/>
          <w:szCs w:val="24"/>
        </w:rPr>
        <w:t>.</w:t>
      </w:r>
    </w:p>
    <w:p w:rsidR="00F4063C" w:rsidRPr="0020154F" w:rsidRDefault="008476AF" w:rsidP="00853249">
      <w:pPr>
        <w:spacing w:after="0" w:line="240" w:lineRule="auto"/>
        <w:ind w:firstLine="709"/>
        <w:jc w:val="both"/>
        <w:rPr>
          <w:rFonts w:ascii="Times New Roman" w:eastAsia="Times New Roman" w:hAnsi="Times New Roman" w:cs="Times New Roman"/>
          <w:sz w:val="24"/>
          <w:szCs w:val="24"/>
          <w:lang w:eastAsia="ru-RU"/>
        </w:rPr>
      </w:pPr>
      <w:r w:rsidRPr="0020154F">
        <w:rPr>
          <w:rFonts w:ascii="Times New Roman" w:eastAsia="Times New Roman" w:hAnsi="Times New Roman" w:cs="Times New Roman"/>
          <w:sz w:val="24"/>
          <w:szCs w:val="24"/>
          <w:lang w:eastAsia="ru-RU"/>
        </w:rPr>
        <w:t>Н</w:t>
      </w:r>
      <w:r w:rsidR="004B5342" w:rsidRPr="0020154F">
        <w:rPr>
          <w:rFonts w:ascii="Times New Roman" w:eastAsia="Times New Roman" w:hAnsi="Times New Roman" w:cs="Times New Roman"/>
          <w:sz w:val="24"/>
          <w:szCs w:val="24"/>
          <w:lang w:eastAsia="ru-RU"/>
        </w:rPr>
        <w:t>а конец 201</w:t>
      </w:r>
      <w:r w:rsidR="007963CF" w:rsidRPr="0020154F">
        <w:rPr>
          <w:rFonts w:ascii="Times New Roman" w:eastAsia="Times New Roman" w:hAnsi="Times New Roman" w:cs="Times New Roman"/>
          <w:sz w:val="24"/>
          <w:szCs w:val="24"/>
          <w:lang w:eastAsia="ru-RU"/>
        </w:rPr>
        <w:t>5</w:t>
      </w:r>
      <w:r w:rsidR="004B5342" w:rsidRPr="0020154F">
        <w:rPr>
          <w:rFonts w:ascii="Times New Roman" w:eastAsia="Times New Roman" w:hAnsi="Times New Roman" w:cs="Times New Roman"/>
          <w:sz w:val="24"/>
          <w:szCs w:val="24"/>
          <w:lang w:eastAsia="ru-RU"/>
        </w:rPr>
        <w:t xml:space="preserve"> года </w:t>
      </w:r>
      <w:r w:rsidR="004B5342" w:rsidRPr="0020154F">
        <w:rPr>
          <w:rFonts w:ascii="Times New Roman" w:eastAsia="Times New Roman" w:hAnsi="Times New Roman" w:cs="Times New Roman"/>
          <w:i/>
          <w:sz w:val="24"/>
          <w:szCs w:val="24"/>
          <w:lang w:eastAsia="ru-RU"/>
        </w:rPr>
        <w:t>ч</w:t>
      </w:r>
      <w:r w:rsidR="00F4063C" w:rsidRPr="0020154F">
        <w:rPr>
          <w:rFonts w:ascii="Times New Roman" w:eastAsia="Times New Roman" w:hAnsi="Times New Roman" w:cs="Times New Roman"/>
          <w:i/>
          <w:sz w:val="24"/>
          <w:szCs w:val="24"/>
          <w:lang w:eastAsia="ru-RU"/>
        </w:rPr>
        <w:t>исленность официально зарегистрированных в службе занятости безработных</w:t>
      </w:r>
      <w:r w:rsidR="00F4063C" w:rsidRPr="0020154F">
        <w:rPr>
          <w:rFonts w:ascii="Times New Roman" w:eastAsia="Times New Roman" w:hAnsi="Times New Roman" w:cs="Times New Roman"/>
          <w:sz w:val="24"/>
          <w:szCs w:val="24"/>
          <w:lang w:eastAsia="ru-RU"/>
        </w:rPr>
        <w:t xml:space="preserve"> </w:t>
      </w:r>
      <w:r w:rsidR="004B5342" w:rsidRPr="0020154F">
        <w:rPr>
          <w:rFonts w:ascii="Times New Roman" w:eastAsia="Times New Roman" w:hAnsi="Times New Roman" w:cs="Times New Roman"/>
          <w:sz w:val="24"/>
          <w:szCs w:val="24"/>
          <w:lang w:eastAsia="ru-RU"/>
        </w:rPr>
        <w:t xml:space="preserve">составила </w:t>
      </w:r>
      <w:r w:rsidR="0020154F" w:rsidRPr="0020154F">
        <w:rPr>
          <w:rFonts w:ascii="Times New Roman" w:eastAsia="Times New Roman" w:hAnsi="Times New Roman" w:cs="Times New Roman"/>
          <w:sz w:val="24"/>
          <w:szCs w:val="24"/>
          <w:lang w:eastAsia="ru-RU"/>
        </w:rPr>
        <w:t xml:space="preserve">13,7 </w:t>
      </w:r>
      <w:r w:rsidR="004B5342" w:rsidRPr="0020154F">
        <w:rPr>
          <w:rFonts w:ascii="Times New Roman" w:eastAsia="Times New Roman" w:hAnsi="Times New Roman" w:cs="Times New Roman"/>
          <w:sz w:val="24"/>
          <w:szCs w:val="24"/>
          <w:lang w:eastAsia="ru-RU"/>
        </w:rPr>
        <w:t>тыс. человек (</w:t>
      </w:r>
      <w:r w:rsidR="0020154F" w:rsidRPr="0020154F">
        <w:rPr>
          <w:rFonts w:ascii="Times New Roman" w:eastAsia="Times New Roman" w:hAnsi="Times New Roman" w:cs="Times New Roman"/>
          <w:sz w:val="24"/>
          <w:szCs w:val="24"/>
          <w:lang w:eastAsia="ru-RU"/>
        </w:rPr>
        <w:t>рост</w:t>
      </w:r>
      <w:r w:rsidR="004B5342" w:rsidRPr="0020154F">
        <w:rPr>
          <w:rFonts w:ascii="Times New Roman" w:eastAsia="Times New Roman" w:hAnsi="Times New Roman" w:cs="Times New Roman"/>
          <w:sz w:val="24"/>
          <w:szCs w:val="24"/>
          <w:lang w:eastAsia="ru-RU"/>
        </w:rPr>
        <w:t xml:space="preserve"> по сравнению с данными на к</w:t>
      </w:r>
      <w:r w:rsidRPr="0020154F">
        <w:rPr>
          <w:rFonts w:ascii="Times New Roman" w:eastAsia="Times New Roman" w:hAnsi="Times New Roman" w:cs="Times New Roman"/>
          <w:sz w:val="24"/>
          <w:szCs w:val="24"/>
          <w:lang w:eastAsia="ru-RU"/>
        </w:rPr>
        <w:t>онец 201</w:t>
      </w:r>
      <w:r w:rsidR="0020154F" w:rsidRPr="0020154F">
        <w:rPr>
          <w:rFonts w:ascii="Times New Roman" w:eastAsia="Times New Roman" w:hAnsi="Times New Roman" w:cs="Times New Roman"/>
          <w:sz w:val="24"/>
          <w:szCs w:val="24"/>
          <w:lang w:eastAsia="ru-RU"/>
        </w:rPr>
        <w:t>4</w:t>
      </w:r>
      <w:r w:rsidR="004B5342" w:rsidRPr="0020154F">
        <w:rPr>
          <w:rFonts w:ascii="Times New Roman" w:eastAsia="Times New Roman" w:hAnsi="Times New Roman" w:cs="Times New Roman"/>
          <w:sz w:val="24"/>
          <w:szCs w:val="24"/>
          <w:lang w:eastAsia="ru-RU"/>
        </w:rPr>
        <w:t xml:space="preserve"> года на </w:t>
      </w:r>
      <w:r w:rsidR="0020154F" w:rsidRPr="0020154F">
        <w:rPr>
          <w:rFonts w:ascii="Times New Roman" w:eastAsia="Times New Roman" w:hAnsi="Times New Roman" w:cs="Times New Roman"/>
          <w:sz w:val="24"/>
          <w:szCs w:val="24"/>
          <w:lang w:eastAsia="ru-RU"/>
        </w:rPr>
        <w:t>1,5</w:t>
      </w:r>
      <w:r w:rsidR="00F4063C" w:rsidRPr="0020154F">
        <w:rPr>
          <w:rFonts w:ascii="Times New Roman" w:eastAsia="Times New Roman" w:hAnsi="Times New Roman" w:cs="Times New Roman"/>
          <w:sz w:val="24"/>
          <w:szCs w:val="24"/>
          <w:lang w:eastAsia="ru-RU"/>
        </w:rPr>
        <w:t xml:space="preserve"> тыс. человек, или </w:t>
      </w:r>
      <w:r w:rsidR="0020154F" w:rsidRPr="0020154F">
        <w:rPr>
          <w:rFonts w:ascii="Times New Roman" w:eastAsia="Times New Roman" w:hAnsi="Times New Roman" w:cs="Times New Roman"/>
          <w:sz w:val="24"/>
          <w:szCs w:val="24"/>
          <w:lang w:eastAsia="ru-RU"/>
        </w:rPr>
        <w:t>12</w:t>
      </w:r>
      <w:r w:rsidRPr="0020154F">
        <w:rPr>
          <w:rFonts w:ascii="Times New Roman" w:eastAsia="Times New Roman" w:hAnsi="Times New Roman" w:cs="Times New Roman"/>
          <w:sz w:val="24"/>
          <w:szCs w:val="24"/>
          <w:lang w:eastAsia="ru-RU"/>
        </w:rPr>
        <w:t>,</w:t>
      </w:r>
      <w:r w:rsidR="0020154F" w:rsidRPr="0020154F">
        <w:rPr>
          <w:rFonts w:ascii="Times New Roman" w:eastAsia="Times New Roman" w:hAnsi="Times New Roman" w:cs="Times New Roman"/>
          <w:sz w:val="24"/>
          <w:szCs w:val="24"/>
          <w:lang w:eastAsia="ru-RU"/>
        </w:rPr>
        <w:t>3</w:t>
      </w:r>
      <w:r w:rsidR="00F4063C" w:rsidRPr="0020154F">
        <w:rPr>
          <w:rFonts w:ascii="Times New Roman" w:eastAsia="Times New Roman" w:hAnsi="Times New Roman" w:cs="Times New Roman"/>
          <w:sz w:val="24"/>
          <w:szCs w:val="24"/>
          <w:lang w:eastAsia="ru-RU"/>
        </w:rPr>
        <w:t xml:space="preserve"> процента</w:t>
      </w:r>
      <w:r w:rsidR="004B5342" w:rsidRPr="0020154F">
        <w:rPr>
          <w:rFonts w:ascii="Times New Roman" w:eastAsia="Times New Roman" w:hAnsi="Times New Roman" w:cs="Times New Roman"/>
          <w:sz w:val="24"/>
          <w:szCs w:val="24"/>
          <w:lang w:eastAsia="ru-RU"/>
        </w:rPr>
        <w:t>)</w:t>
      </w:r>
      <w:r w:rsidR="00F4063C" w:rsidRPr="0020154F">
        <w:rPr>
          <w:rFonts w:ascii="Times New Roman" w:eastAsia="Times New Roman" w:hAnsi="Times New Roman" w:cs="Times New Roman"/>
          <w:sz w:val="24"/>
          <w:szCs w:val="24"/>
          <w:lang w:eastAsia="ru-RU"/>
        </w:rPr>
        <w:t>.</w:t>
      </w:r>
      <w:r w:rsidR="00EF6206" w:rsidRPr="0020154F">
        <w:rPr>
          <w:rFonts w:ascii="Times New Roman" w:eastAsia="Times New Roman" w:hAnsi="Times New Roman" w:cs="Times New Roman"/>
          <w:sz w:val="24"/>
          <w:szCs w:val="24"/>
          <w:lang w:eastAsia="ru-RU"/>
        </w:rPr>
        <w:t xml:space="preserve"> Из них пол</w:t>
      </w:r>
      <w:r w:rsidR="00152526" w:rsidRPr="0020154F">
        <w:rPr>
          <w:rFonts w:ascii="Times New Roman" w:eastAsia="Times New Roman" w:hAnsi="Times New Roman" w:cs="Times New Roman"/>
          <w:sz w:val="24"/>
          <w:szCs w:val="24"/>
          <w:lang w:eastAsia="ru-RU"/>
        </w:rPr>
        <w:t xml:space="preserve">учали пособие по безработице </w:t>
      </w:r>
      <w:r w:rsidR="0020154F" w:rsidRPr="0020154F">
        <w:rPr>
          <w:rFonts w:ascii="Times New Roman" w:eastAsia="Times New Roman" w:hAnsi="Times New Roman" w:cs="Times New Roman"/>
          <w:sz w:val="24"/>
          <w:szCs w:val="24"/>
          <w:lang w:eastAsia="ru-RU"/>
        </w:rPr>
        <w:t>11</w:t>
      </w:r>
      <w:r w:rsidR="00152526" w:rsidRPr="0020154F">
        <w:rPr>
          <w:rFonts w:ascii="Times New Roman" w:eastAsia="Times New Roman" w:hAnsi="Times New Roman" w:cs="Times New Roman"/>
          <w:sz w:val="24"/>
          <w:szCs w:val="24"/>
          <w:lang w:eastAsia="ru-RU"/>
        </w:rPr>
        <w:t>,6</w:t>
      </w:r>
      <w:r w:rsidR="00EF6206" w:rsidRPr="0020154F">
        <w:rPr>
          <w:rFonts w:ascii="Times New Roman" w:eastAsia="Times New Roman" w:hAnsi="Times New Roman" w:cs="Times New Roman"/>
          <w:sz w:val="24"/>
          <w:szCs w:val="24"/>
          <w:lang w:eastAsia="ru-RU"/>
        </w:rPr>
        <w:t xml:space="preserve"> тыс. человек (по сравнению с данными за 201</w:t>
      </w:r>
      <w:r w:rsidR="0020154F" w:rsidRPr="0020154F">
        <w:rPr>
          <w:rFonts w:ascii="Times New Roman" w:eastAsia="Times New Roman" w:hAnsi="Times New Roman" w:cs="Times New Roman"/>
          <w:sz w:val="24"/>
          <w:szCs w:val="24"/>
          <w:lang w:eastAsia="ru-RU"/>
        </w:rPr>
        <w:t>4</w:t>
      </w:r>
      <w:r w:rsidR="00EF6206" w:rsidRPr="0020154F">
        <w:rPr>
          <w:rFonts w:ascii="Times New Roman" w:eastAsia="Times New Roman" w:hAnsi="Times New Roman" w:cs="Times New Roman"/>
          <w:sz w:val="24"/>
          <w:szCs w:val="24"/>
          <w:lang w:eastAsia="ru-RU"/>
        </w:rPr>
        <w:t xml:space="preserve"> год - </w:t>
      </w:r>
      <w:r w:rsidR="00152526" w:rsidRPr="0020154F">
        <w:rPr>
          <w:rFonts w:ascii="Times New Roman" w:eastAsia="Times New Roman" w:hAnsi="Times New Roman" w:cs="Times New Roman"/>
          <w:sz w:val="24"/>
          <w:szCs w:val="24"/>
          <w:lang w:eastAsia="ru-RU"/>
        </w:rPr>
        <w:t>рост</w:t>
      </w:r>
      <w:r w:rsidR="00EF6206" w:rsidRPr="0020154F">
        <w:rPr>
          <w:rFonts w:ascii="Times New Roman" w:eastAsia="Times New Roman" w:hAnsi="Times New Roman" w:cs="Times New Roman"/>
          <w:sz w:val="24"/>
          <w:szCs w:val="24"/>
          <w:lang w:eastAsia="ru-RU"/>
        </w:rPr>
        <w:t xml:space="preserve"> на </w:t>
      </w:r>
      <w:r w:rsidR="0020154F" w:rsidRPr="0020154F">
        <w:rPr>
          <w:rFonts w:ascii="Times New Roman" w:eastAsia="Times New Roman" w:hAnsi="Times New Roman" w:cs="Times New Roman"/>
          <w:sz w:val="24"/>
          <w:szCs w:val="24"/>
          <w:lang w:eastAsia="ru-RU"/>
        </w:rPr>
        <w:t>2,0</w:t>
      </w:r>
      <w:r w:rsidR="00EF6206" w:rsidRPr="0020154F">
        <w:rPr>
          <w:rFonts w:ascii="Times New Roman" w:eastAsia="Times New Roman" w:hAnsi="Times New Roman" w:cs="Times New Roman"/>
          <w:sz w:val="24"/>
          <w:szCs w:val="24"/>
          <w:lang w:eastAsia="ru-RU"/>
        </w:rPr>
        <w:t xml:space="preserve"> тыс. человек).</w:t>
      </w:r>
    </w:p>
    <w:p w:rsidR="00591E03" w:rsidRPr="00313D3F" w:rsidRDefault="00591E03" w:rsidP="002820E9">
      <w:pPr>
        <w:widowControl w:val="0"/>
        <w:autoSpaceDE w:val="0"/>
        <w:autoSpaceDN w:val="0"/>
        <w:adjustRightInd w:val="0"/>
        <w:spacing w:after="0" w:line="240" w:lineRule="auto"/>
        <w:ind w:hanging="284"/>
        <w:jc w:val="center"/>
        <w:rPr>
          <w:rFonts w:ascii="Times New Roman" w:eastAsia="Times New Roman" w:hAnsi="Times New Roman" w:cs="Times New Roman"/>
          <w:sz w:val="20"/>
          <w:szCs w:val="20"/>
          <w:lang w:eastAsia="ru-RU"/>
        </w:rPr>
      </w:pPr>
      <w:r w:rsidRPr="000E574F">
        <w:rPr>
          <w:rFonts w:ascii="Times New Roman" w:eastAsia="Times New Roman" w:hAnsi="Times New Roman" w:cs="Times New Roman"/>
          <w:noProof/>
          <w:color w:val="FF0000"/>
          <w:sz w:val="20"/>
          <w:szCs w:val="20"/>
          <w:lang w:eastAsia="ru-RU"/>
        </w:rPr>
        <w:drawing>
          <wp:inline distT="0" distB="0" distL="0" distR="0" wp14:anchorId="2E81D75E" wp14:editId="463006F1">
            <wp:extent cx="6248400" cy="328612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4FA8" w:rsidRPr="00853249" w:rsidRDefault="00591E03" w:rsidP="00591E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3249">
        <w:rPr>
          <w:rFonts w:ascii="Times New Roman" w:eastAsia="Times New Roman" w:hAnsi="Times New Roman" w:cs="Times New Roman"/>
          <w:b/>
          <w:sz w:val="24"/>
          <w:szCs w:val="24"/>
          <w:lang w:eastAsia="ru-RU"/>
        </w:rPr>
        <w:t xml:space="preserve">Рис. 1 – Численность </w:t>
      </w:r>
      <w:r w:rsidR="001E4FA8" w:rsidRPr="00853249">
        <w:rPr>
          <w:rFonts w:ascii="Times New Roman" w:eastAsia="Times New Roman" w:hAnsi="Times New Roman" w:cs="Times New Roman"/>
          <w:b/>
          <w:sz w:val="24"/>
          <w:szCs w:val="24"/>
          <w:lang w:eastAsia="ru-RU"/>
        </w:rPr>
        <w:t>незанятых граждан, обратившихся в службу занятости,</w:t>
      </w:r>
      <w:r w:rsidRPr="00853249">
        <w:rPr>
          <w:rFonts w:ascii="Times New Roman" w:eastAsia="Times New Roman" w:hAnsi="Times New Roman" w:cs="Times New Roman"/>
          <w:b/>
          <w:sz w:val="24"/>
          <w:szCs w:val="24"/>
          <w:lang w:eastAsia="ru-RU"/>
        </w:rPr>
        <w:t xml:space="preserve"> и потребн</w:t>
      </w:r>
      <w:r w:rsidR="007C1BBB" w:rsidRPr="00853249">
        <w:rPr>
          <w:rFonts w:ascii="Times New Roman" w:eastAsia="Times New Roman" w:hAnsi="Times New Roman" w:cs="Times New Roman"/>
          <w:b/>
          <w:sz w:val="24"/>
          <w:szCs w:val="24"/>
          <w:lang w:eastAsia="ru-RU"/>
        </w:rPr>
        <w:t>ость работодателей в работниках</w:t>
      </w:r>
      <w:r w:rsidR="00A022DB" w:rsidRPr="00853249">
        <w:rPr>
          <w:rFonts w:ascii="Times New Roman" w:eastAsia="Times New Roman" w:hAnsi="Times New Roman" w:cs="Times New Roman"/>
          <w:b/>
          <w:sz w:val="24"/>
          <w:szCs w:val="24"/>
          <w:lang w:eastAsia="ru-RU"/>
        </w:rPr>
        <w:t xml:space="preserve"> </w:t>
      </w:r>
      <w:r w:rsidR="007C1BBB" w:rsidRPr="00853249">
        <w:rPr>
          <w:rFonts w:ascii="Times New Roman" w:eastAsia="Times New Roman" w:hAnsi="Times New Roman" w:cs="Times New Roman"/>
          <w:b/>
          <w:sz w:val="24"/>
          <w:szCs w:val="24"/>
          <w:lang w:eastAsia="ru-RU"/>
        </w:rPr>
        <w:t>на конец месяца</w:t>
      </w:r>
      <w:r w:rsidRPr="00853249">
        <w:rPr>
          <w:rFonts w:ascii="Times New Roman" w:eastAsia="Times New Roman" w:hAnsi="Times New Roman" w:cs="Times New Roman"/>
          <w:b/>
          <w:sz w:val="24"/>
          <w:szCs w:val="24"/>
          <w:lang w:eastAsia="ru-RU"/>
        </w:rPr>
        <w:t xml:space="preserve"> </w:t>
      </w:r>
    </w:p>
    <w:p w:rsidR="00591E03" w:rsidRPr="00853249" w:rsidRDefault="00591E03" w:rsidP="00591E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3249">
        <w:rPr>
          <w:rFonts w:ascii="Times New Roman" w:eastAsia="Times New Roman" w:hAnsi="Times New Roman" w:cs="Times New Roman"/>
          <w:b/>
          <w:sz w:val="24"/>
          <w:szCs w:val="24"/>
          <w:lang w:eastAsia="ru-RU"/>
        </w:rPr>
        <w:t>в 201</w:t>
      </w:r>
      <w:r w:rsidR="00853249" w:rsidRPr="00853249">
        <w:rPr>
          <w:rFonts w:ascii="Times New Roman" w:eastAsia="Times New Roman" w:hAnsi="Times New Roman" w:cs="Times New Roman"/>
          <w:b/>
          <w:sz w:val="24"/>
          <w:szCs w:val="24"/>
          <w:lang w:eastAsia="ru-RU"/>
        </w:rPr>
        <w:t>4</w:t>
      </w:r>
      <w:r w:rsidRPr="00853249">
        <w:rPr>
          <w:rFonts w:ascii="Times New Roman" w:eastAsia="Times New Roman" w:hAnsi="Times New Roman" w:cs="Times New Roman"/>
          <w:b/>
          <w:sz w:val="24"/>
          <w:szCs w:val="24"/>
          <w:lang w:eastAsia="ru-RU"/>
        </w:rPr>
        <w:t>-201</w:t>
      </w:r>
      <w:r w:rsidR="00853249" w:rsidRPr="00853249">
        <w:rPr>
          <w:rFonts w:ascii="Times New Roman" w:eastAsia="Times New Roman" w:hAnsi="Times New Roman" w:cs="Times New Roman"/>
          <w:b/>
          <w:sz w:val="24"/>
          <w:szCs w:val="24"/>
          <w:lang w:eastAsia="ru-RU"/>
        </w:rPr>
        <w:t>5</w:t>
      </w:r>
      <w:r w:rsidRPr="00853249">
        <w:rPr>
          <w:rFonts w:ascii="Times New Roman" w:eastAsia="Times New Roman" w:hAnsi="Times New Roman" w:cs="Times New Roman"/>
          <w:b/>
          <w:sz w:val="24"/>
          <w:szCs w:val="24"/>
          <w:lang w:eastAsia="ru-RU"/>
        </w:rPr>
        <w:t xml:space="preserve"> годах, тыс. человек</w:t>
      </w:r>
    </w:p>
    <w:p w:rsidR="00152526" w:rsidRPr="00853249" w:rsidRDefault="00152526" w:rsidP="00152526">
      <w:pPr>
        <w:pStyle w:val="afa"/>
        <w:tabs>
          <w:tab w:val="left" w:pos="993"/>
        </w:tabs>
        <w:ind w:left="0" w:firstLine="709"/>
        <w:jc w:val="both"/>
        <w:rPr>
          <w:sz w:val="24"/>
          <w:szCs w:val="24"/>
        </w:rPr>
      </w:pPr>
      <w:r w:rsidRPr="00853249">
        <w:rPr>
          <w:i/>
          <w:sz w:val="24"/>
          <w:szCs w:val="24"/>
        </w:rPr>
        <w:t xml:space="preserve">Потребность организаций в работниках, </w:t>
      </w:r>
      <w:r w:rsidRPr="00853249">
        <w:rPr>
          <w:sz w:val="24"/>
          <w:szCs w:val="24"/>
        </w:rPr>
        <w:t>заявленная в службу занятости по состоянию на конец 201</w:t>
      </w:r>
      <w:r w:rsidR="00853249" w:rsidRPr="00853249">
        <w:rPr>
          <w:sz w:val="24"/>
          <w:szCs w:val="24"/>
        </w:rPr>
        <w:t>5</w:t>
      </w:r>
      <w:r w:rsidRPr="00853249">
        <w:rPr>
          <w:sz w:val="24"/>
          <w:szCs w:val="24"/>
        </w:rPr>
        <w:t xml:space="preserve"> года составила </w:t>
      </w:r>
      <w:r w:rsidR="00853249" w:rsidRPr="00853249">
        <w:rPr>
          <w:sz w:val="24"/>
          <w:szCs w:val="24"/>
        </w:rPr>
        <w:t>6246</w:t>
      </w:r>
      <w:r w:rsidRPr="00853249">
        <w:rPr>
          <w:sz w:val="24"/>
          <w:szCs w:val="24"/>
        </w:rPr>
        <w:t xml:space="preserve"> человек (по сравнению с данными на конец</w:t>
      </w:r>
      <w:r w:rsidR="00931777" w:rsidRPr="00853249">
        <w:rPr>
          <w:sz w:val="24"/>
          <w:szCs w:val="24"/>
        </w:rPr>
        <w:t xml:space="preserve"> </w:t>
      </w:r>
      <w:r w:rsidR="00853249" w:rsidRPr="00853249">
        <w:rPr>
          <w:sz w:val="24"/>
          <w:szCs w:val="24"/>
        </w:rPr>
        <w:t>2014 года – снижение на 14,7 процента</w:t>
      </w:r>
      <w:r w:rsidRPr="00853249">
        <w:rPr>
          <w:sz w:val="24"/>
          <w:szCs w:val="24"/>
        </w:rPr>
        <w:t>).</w:t>
      </w:r>
    </w:p>
    <w:p w:rsidR="00306089" w:rsidRPr="00853249" w:rsidRDefault="005B0A0F" w:rsidP="008C4AF2">
      <w:pPr>
        <w:pStyle w:val="afa"/>
        <w:tabs>
          <w:tab w:val="left" w:pos="993"/>
        </w:tabs>
        <w:ind w:left="0" w:firstLine="709"/>
        <w:jc w:val="both"/>
        <w:rPr>
          <w:sz w:val="24"/>
          <w:szCs w:val="24"/>
        </w:rPr>
      </w:pPr>
      <w:r w:rsidRPr="00853249">
        <w:rPr>
          <w:i/>
          <w:sz w:val="24"/>
          <w:szCs w:val="24"/>
        </w:rPr>
        <w:t>Численность безработных</w:t>
      </w:r>
      <w:r w:rsidR="005615C6" w:rsidRPr="00853249">
        <w:rPr>
          <w:sz w:val="24"/>
          <w:szCs w:val="24"/>
        </w:rPr>
        <w:t xml:space="preserve"> </w:t>
      </w:r>
      <w:r w:rsidR="00517AB4" w:rsidRPr="00853249">
        <w:rPr>
          <w:sz w:val="24"/>
          <w:szCs w:val="24"/>
        </w:rPr>
        <w:t xml:space="preserve">(по методологии </w:t>
      </w:r>
      <w:r w:rsidR="00B87CA8" w:rsidRPr="00853249">
        <w:rPr>
          <w:sz w:val="24"/>
          <w:szCs w:val="24"/>
        </w:rPr>
        <w:t>Международной Организации Труда</w:t>
      </w:r>
      <w:r w:rsidR="00517AB4" w:rsidRPr="00853249">
        <w:rPr>
          <w:sz w:val="24"/>
          <w:szCs w:val="24"/>
        </w:rPr>
        <w:t xml:space="preserve">) </w:t>
      </w:r>
      <w:r w:rsidR="005615C6" w:rsidRPr="00853249">
        <w:rPr>
          <w:sz w:val="24"/>
          <w:szCs w:val="24"/>
        </w:rPr>
        <w:t xml:space="preserve">в </w:t>
      </w:r>
      <w:r w:rsidR="00FD5D14" w:rsidRPr="00853249">
        <w:rPr>
          <w:sz w:val="24"/>
          <w:szCs w:val="24"/>
        </w:rPr>
        <w:br/>
      </w:r>
      <w:r w:rsidR="008476AF" w:rsidRPr="00853249">
        <w:rPr>
          <w:sz w:val="24"/>
          <w:szCs w:val="24"/>
        </w:rPr>
        <w:t>201</w:t>
      </w:r>
      <w:r w:rsidR="00853249" w:rsidRPr="00853249">
        <w:rPr>
          <w:sz w:val="24"/>
          <w:szCs w:val="24"/>
        </w:rPr>
        <w:t>5</w:t>
      </w:r>
      <w:r w:rsidR="005615C6" w:rsidRPr="00853249">
        <w:rPr>
          <w:sz w:val="24"/>
          <w:szCs w:val="24"/>
        </w:rPr>
        <w:t xml:space="preserve"> году составил</w:t>
      </w:r>
      <w:r w:rsidRPr="00853249">
        <w:rPr>
          <w:sz w:val="24"/>
          <w:szCs w:val="24"/>
        </w:rPr>
        <w:t xml:space="preserve">а </w:t>
      </w:r>
      <w:r w:rsidR="008476AF" w:rsidRPr="00853249">
        <w:rPr>
          <w:sz w:val="24"/>
          <w:szCs w:val="24"/>
        </w:rPr>
        <w:t>2</w:t>
      </w:r>
      <w:r w:rsidR="00853249" w:rsidRPr="00853249">
        <w:rPr>
          <w:sz w:val="24"/>
          <w:szCs w:val="24"/>
        </w:rPr>
        <w:t>4</w:t>
      </w:r>
      <w:r w:rsidR="008476AF" w:rsidRPr="00853249">
        <w:rPr>
          <w:sz w:val="24"/>
          <w:szCs w:val="24"/>
        </w:rPr>
        <w:t>,</w:t>
      </w:r>
      <w:r w:rsidR="00853249" w:rsidRPr="00853249">
        <w:rPr>
          <w:sz w:val="24"/>
          <w:szCs w:val="24"/>
        </w:rPr>
        <w:t>0</w:t>
      </w:r>
      <w:r w:rsidRPr="00853249">
        <w:rPr>
          <w:sz w:val="24"/>
          <w:szCs w:val="24"/>
        </w:rPr>
        <w:t xml:space="preserve"> тыс. человек, или</w:t>
      </w:r>
      <w:r w:rsidR="005615C6" w:rsidRPr="00853249">
        <w:rPr>
          <w:sz w:val="24"/>
          <w:szCs w:val="24"/>
        </w:rPr>
        <w:t xml:space="preserve"> </w:t>
      </w:r>
      <w:r w:rsidR="00853249" w:rsidRPr="00853249">
        <w:rPr>
          <w:sz w:val="24"/>
          <w:szCs w:val="24"/>
        </w:rPr>
        <w:t>5,8</w:t>
      </w:r>
      <w:r w:rsidR="00313D3F">
        <w:rPr>
          <w:sz w:val="24"/>
          <w:szCs w:val="24"/>
        </w:rPr>
        <w:t xml:space="preserve"> процента </w:t>
      </w:r>
      <w:r w:rsidR="005615C6" w:rsidRPr="00853249">
        <w:rPr>
          <w:sz w:val="24"/>
          <w:szCs w:val="24"/>
        </w:rPr>
        <w:t>численности экономически активного населения (</w:t>
      </w:r>
      <w:r w:rsidR="00853249" w:rsidRPr="00853249">
        <w:rPr>
          <w:sz w:val="24"/>
          <w:szCs w:val="24"/>
        </w:rPr>
        <w:t>рост</w:t>
      </w:r>
      <w:r w:rsidR="00023E07" w:rsidRPr="00853249">
        <w:rPr>
          <w:sz w:val="24"/>
          <w:szCs w:val="24"/>
        </w:rPr>
        <w:t xml:space="preserve"> по сравнению с данными 201</w:t>
      </w:r>
      <w:r w:rsidR="00853249" w:rsidRPr="00853249">
        <w:rPr>
          <w:sz w:val="24"/>
          <w:szCs w:val="24"/>
        </w:rPr>
        <w:t>4</w:t>
      </w:r>
      <w:r w:rsidR="00023E07" w:rsidRPr="00853249">
        <w:rPr>
          <w:sz w:val="24"/>
          <w:szCs w:val="24"/>
        </w:rPr>
        <w:t xml:space="preserve"> года на </w:t>
      </w:r>
      <w:r w:rsidR="00853249" w:rsidRPr="00853249">
        <w:rPr>
          <w:sz w:val="24"/>
          <w:szCs w:val="24"/>
        </w:rPr>
        <w:t>0,2</w:t>
      </w:r>
      <w:r w:rsidR="00023E07" w:rsidRPr="00853249">
        <w:rPr>
          <w:sz w:val="24"/>
          <w:szCs w:val="24"/>
        </w:rPr>
        <w:t xml:space="preserve"> процентных пункта).</w:t>
      </w:r>
    </w:p>
    <w:p w:rsidR="00306089" w:rsidRPr="00FC49F7" w:rsidRDefault="004108D4" w:rsidP="008C4AF2">
      <w:pPr>
        <w:pStyle w:val="afa"/>
        <w:tabs>
          <w:tab w:val="left" w:pos="993"/>
        </w:tabs>
        <w:ind w:left="0" w:firstLine="709"/>
        <w:jc w:val="both"/>
        <w:rPr>
          <w:sz w:val="24"/>
          <w:szCs w:val="24"/>
        </w:rPr>
      </w:pPr>
      <w:r w:rsidRPr="00FC49F7">
        <w:rPr>
          <w:i/>
          <w:sz w:val="24"/>
          <w:szCs w:val="24"/>
        </w:rPr>
        <w:t>Уровень официально зарегистрированной безработицы</w:t>
      </w:r>
      <w:r w:rsidRPr="00FC49F7">
        <w:rPr>
          <w:sz w:val="24"/>
          <w:szCs w:val="24"/>
        </w:rPr>
        <w:t xml:space="preserve"> в 201</w:t>
      </w:r>
      <w:r w:rsidR="00FC49F7" w:rsidRPr="00FC49F7">
        <w:rPr>
          <w:sz w:val="24"/>
          <w:szCs w:val="24"/>
        </w:rPr>
        <w:t>5</w:t>
      </w:r>
      <w:r w:rsidRPr="00FC49F7">
        <w:rPr>
          <w:sz w:val="24"/>
          <w:szCs w:val="24"/>
        </w:rPr>
        <w:t xml:space="preserve"> году составил </w:t>
      </w:r>
      <w:r w:rsidR="008C4AF2" w:rsidRPr="00FC49F7">
        <w:rPr>
          <w:sz w:val="24"/>
          <w:szCs w:val="24"/>
        </w:rPr>
        <w:br/>
      </w:r>
      <w:r w:rsidR="00FC49F7" w:rsidRPr="00FC49F7">
        <w:rPr>
          <w:sz w:val="24"/>
          <w:szCs w:val="24"/>
        </w:rPr>
        <w:t>3,3</w:t>
      </w:r>
      <w:r w:rsidR="00B87CA8" w:rsidRPr="00FC49F7">
        <w:rPr>
          <w:sz w:val="24"/>
          <w:szCs w:val="24"/>
        </w:rPr>
        <w:t xml:space="preserve"> процента (в 201</w:t>
      </w:r>
      <w:r w:rsidR="00FC49F7" w:rsidRPr="00FC49F7">
        <w:rPr>
          <w:sz w:val="24"/>
          <w:szCs w:val="24"/>
        </w:rPr>
        <w:t>4</w:t>
      </w:r>
      <w:r w:rsidR="00B87CA8" w:rsidRPr="00FC49F7">
        <w:rPr>
          <w:sz w:val="24"/>
          <w:szCs w:val="24"/>
        </w:rPr>
        <w:t xml:space="preserve"> году – </w:t>
      </w:r>
      <w:r w:rsidR="00FC49F7" w:rsidRPr="00FC49F7">
        <w:rPr>
          <w:sz w:val="24"/>
          <w:szCs w:val="24"/>
        </w:rPr>
        <w:t>2,9</w:t>
      </w:r>
      <w:r w:rsidR="00B87CA8" w:rsidRPr="00FC49F7">
        <w:rPr>
          <w:sz w:val="24"/>
          <w:szCs w:val="24"/>
        </w:rPr>
        <w:t xml:space="preserve"> процента).</w:t>
      </w:r>
      <w:r w:rsidR="00243336" w:rsidRPr="00FC49F7">
        <w:rPr>
          <w:sz w:val="24"/>
          <w:szCs w:val="24"/>
        </w:rPr>
        <w:t xml:space="preserve"> </w:t>
      </w:r>
      <w:r w:rsidR="002A2787" w:rsidRPr="00FC49F7">
        <w:rPr>
          <w:sz w:val="24"/>
          <w:szCs w:val="24"/>
        </w:rPr>
        <w:t>Значени</w:t>
      </w:r>
      <w:r w:rsidR="00306089" w:rsidRPr="00FC49F7">
        <w:rPr>
          <w:sz w:val="24"/>
          <w:szCs w:val="24"/>
        </w:rPr>
        <w:t>е данного</w:t>
      </w:r>
      <w:r w:rsidR="002A2787" w:rsidRPr="00FC49F7">
        <w:rPr>
          <w:sz w:val="24"/>
          <w:szCs w:val="24"/>
        </w:rPr>
        <w:t xml:space="preserve"> показател</w:t>
      </w:r>
      <w:r w:rsidR="00306089" w:rsidRPr="00FC49F7">
        <w:rPr>
          <w:sz w:val="24"/>
          <w:szCs w:val="24"/>
        </w:rPr>
        <w:t>я</w:t>
      </w:r>
      <w:r w:rsidR="002A2787" w:rsidRPr="00FC49F7">
        <w:rPr>
          <w:sz w:val="24"/>
          <w:szCs w:val="24"/>
        </w:rPr>
        <w:t xml:space="preserve"> выше </w:t>
      </w:r>
      <w:r w:rsidR="00306089" w:rsidRPr="00FC49F7">
        <w:rPr>
          <w:sz w:val="24"/>
          <w:szCs w:val="24"/>
        </w:rPr>
        <w:t xml:space="preserve">на </w:t>
      </w:r>
      <w:r w:rsidR="00313D3F">
        <w:rPr>
          <w:sz w:val="24"/>
          <w:szCs w:val="24"/>
        </w:rPr>
        <w:br/>
      </w:r>
      <w:r w:rsidR="00FC49F7" w:rsidRPr="00FC49F7">
        <w:rPr>
          <w:sz w:val="24"/>
          <w:szCs w:val="24"/>
        </w:rPr>
        <w:t xml:space="preserve">0,6 </w:t>
      </w:r>
      <w:r w:rsidR="00306089" w:rsidRPr="00FC49F7">
        <w:rPr>
          <w:sz w:val="24"/>
          <w:szCs w:val="24"/>
        </w:rPr>
        <w:t>процент</w:t>
      </w:r>
      <w:r w:rsidR="00FC49F7" w:rsidRPr="00FC49F7">
        <w:rPr>
          <w:sz w:val="24"/>
          <w:szCs w:val="24"/>
        </w:rPr>
        <w:t>а</w:t>
      </w:r>
      <w:r w:rsidR="00306089" w:rsidRPr="00FC49F7">
        <w:rPr>
          <w:sz w:val="24"/>
          <w:szCs w:val="24"/>
        </w:rPr>
        <w:t xml:space="preserve">, чем </w:t>
      </w:r>
      <w:r w:rsidR="002A2787" w:rsidRPr="00FC49F7">
        <w:rPr>
          <w:sz w:val="24"/>
          <w:szCs w:val="24"/>
        </w:rPr>
        <w:t>предусмотренн</w:t>
      </w:r>
      <w:r w:rsidR="00306089" w:rsidRPr="00FC49F7">
        <w:rPr>
          <w:sz w:val="24"/>
          <w:szCs w:val="24"/>
        </w:rPr>
        <w:t xml:space="preserve">ое </w:t>
      </w:r>
      <w:r w:rsidR="00FC49F7" w:rsidRPr="00FC49F7">
        <w:rPr>
          <w:sz w:val="24"/>
          <w:szCs w:val="24"/>
        </w:rPr>
        <w:t>на 2015</w:t>
      </w:r>
      <w:r w:rsidR="002A2787" w:rsidRPr="00FC49F7">
        <w:rPr>
          <w:sz w:val="24"/>
          <w:szCs w:val="24"/>
        </w:rPr>
        <w:t xml:space="preserve"> год программой социально-экономического развития Амурской области на 2013-2017 годы, утвержденной Законом Амурской области от 13.11.2013 № 277-ОЗ</w:t>
      </w:r>
      <w:r w:rsidR="00306089" w:rsidRPr="00FC49F7">
        <w:rPr>
          <w:sz w:val="24"/>
          <w:szCs w:val="24"/>
        </w:rPr>
        <w:t>.</w:t>
      </w:r>
    </w:p>
    <w:p w:rsidR="0024653B" w:rsidRPr="0011161A" w:rsidRDefault="004C322A" w:rsidP="002820E9">
      <w:pPr>
        <w:pStyle w:val="afa"/>
        <w:tabs>
          <w:tab w:val="left" w:pos="993"/>
        </w:tabs>
        <w:ind w:left="0" w:firstLine="709"/>
        <w:jc w:val="both"/>
        <w:rPr>
          <w:sz w:val="24"/>
          <w:szCs w:val="24"/>
        </w:rPr>
      </w:pPr>
      <w:r w:rsidRPr="0011161A">
        <w:rPr>
          <w:i/>
          <w:sz w:val="24"/>
          <w:szCs w:val="24"/>
        </w:rPr>
        <w:t>Уровень трудоустройства</w:t>
      </w:r>
      <w:r w:rsidRPr="0011161A">
        <w:rPr>
          <w:sz w:val="24"/>
          <w:szCs w:val="24"/>
        </w:rPr>
        <w:t xml:space="preserve"> по данным Управления занятости населения Амурской области в</w:t>
      </w:r>
      <w:r w:rsidR="000675B8" w:rsidRPr="0011161A">
        <w:rPr>
          <w:sz w:val="24"/>
          <w:szCs w:val="24"/>
        </w:rPr>
        <w:t xml:space="preserve"> 201</w:t>
      </w:r>
      <w:r w:rsidR="00FC49F7" w:rsidRPr="0011161A">
        <w:rPr>
          <w:sz w:val="24"/>
          <w:szCs w:val="24"/>
        </w:rPr>
        <w:t>5</w:t>
      </w:r>
      <w:r w:rsidR="000675B8" w:rsidRPr="0011161A">
        <w:rPr>
          <w:sz w:val="24"/>
          <w:szCs w:val="24"/>
        </w:rPr>
        <w:t xml:space="preserve"> году</w:t>
      </w:r>
      <w:r w:rsidRPr="0011161A">
        <w:rPr>
          <w:sz w:val="24"/>
          <w:szCs w:val="24"/>
        </w:rPr>
        <w:t xml:space="preserve"> составил </w:t>
      </w:r>
      <w:r w:rsidR="0011161A" w:rsidRPr="0011161A">
        <w:rPr>
          <w:sz w:val="24"/>
          <w:szCs w:val="24"/>
        </w:rPr>
        <w:t>36,1</w:t>
      </w:r>
      <w:r w:rsidRPr="0011161A">
        <w:rPr>
          <w:sz w:val="24"/>
          <w:szCs w:val="24"/>
        </w:rPr>
        <w:t xml:space="preserve"> процента, что </w:t>
      </w:r>
      <w:r w:rsidR="0011161A" w:rsidRPr="0011161A">
        <w:rPr>
          <w:sz w:val="24"/>
          <w:szCs w:val="24"/>
        </w:rPr>
        <w:t>ниже</w:t>
      </w:r>
      <w:r w:rsidRPr="0011161A">
        <w:rPr>
          <w:sz w:val="24"/>
          <w:szCs w:val="24"/>
        </w:rPr>
        <w:t xml:space="preserve"> уровня 201</w:t>
      </w:r>
      <w:r w:rsidR="0011161A" w:rsidRPr="0011161A">
        <w:rPr>
          <w:sz w:val="24"/>
          <w:szCs w:val="24"/>
        </w:rPr>
        <w:t>4</w:t>
      </w:r>
      <w:r w:rsidRPr="0011161A">
        <w:rPr>
          <w:sz w:val="24"/>
          <w:szCs w:val="24"/>
        </w:rPr>
        <w:t xml:space="preserve"> года на </w:t>
      </w:r>
      <w:r w:rsidR="00FC4B58">
        <w:rPr>
          <w:sz w:val="24"/>
          <w:szCs w:val="24"/>
        </w:rPr>
        <w:t>5,0</w:t>
      </w:r>
      <w:r w:rsidRPr="0011161A">
        <w:rPr>
          <w:sz w:val="24"/>
          <w:szCs w:val="24"/>
        </w:rPr>
        <w:t xml:space="preserve"> процентных пункт</w:t>
      </w:r>
      <w:r w:rsidR="00FC4B58">
        <w:rPr>
          <w:sz w:val="24"/>
          <w:szCs w:val="24"/>
        </w:rPr>
        <w:t>ов</w:t>
      </w:r>
      <w:r w:rsidRPr="0011161A">
        <w:rPr>
          <w:sz w:val="24"/>
          <w:szCs w:val="24"/>
        </w:rPr>
        <w:t>. О</w:t>
      </w:r>
      <w:r w:rsidR="005B0191" w:rsidRPr="0011161A">
        <w:rPr>
          <w:sz w:val="24"/>
          <w:szCs w:val="24"/>
        </w:rPr>
        <w:t xml:space="preserve">рганами государственной службы занятости </w:t>
      </w:r>
      <w:r w:rsidRPr="0011161A">
        <w:rPr>
          <w:sz w:val="24"/>
          <w:szCs w:val="24"/>
        </w:rPr>
        <w:t>в 201</w:t>
      </w:r>
      <w:r w:rsidR="0011161A" w:rsidRPr="0011161A">
        <w:rPr>
          <w:sz w:val="24"/>
          <w:szCs w:val="24"/>
        </w:rPr>
        <w:t>5</w:t>
      </w:r>
      <w:r w:rsidRPr="0011161A">
        <w:rPr>
          <w:sz w:val="24"/>
          <w:szCs w:val="24"/>
        </w:rPr>
        <w:t xml:space="preserve"> году </w:t>
      </w:r>
      <w:r w:rsidR="005B0191" w:rsidRPr="0011161A">
        <w:rPr>
          <w:i/>
          <w:sz w:val="24"/>
          <w:szCs w:val="24"/>
        </w:rPr>
        <w:t xml:space="preserve">проведено </w:t>
      </w:r>
      <w:r w:rsidR="005B0191" w:rsidRPr="0011161A">
        <w:rPr>
          <w:i/>
          <w:sz w:val="24"/>
          <w:szCs w:val="24"/>
        </w:rPr>
        <w:lastRenderedPageBreak/>
        <w:t>профессиональное обучение</w:t>
      </w:r>
      <w:r w:rsidRPr="0011161A">
        <w:rPr>
          <w:sz w:val="24"/>
          <w:szCs w:val="24"/>
        </w:rPr>
        <w:t xml:space="preserve"> 58</w:t>
      </w:r>
      <w:r w:rsidR="005B0191" w:rsidRPr="0011161A">
        <w:rPr>
          <w:sz w:val="24"/>
          <w:szCs w:val="24"/>
        </w:rPr>
        <w:t xml:space="preserve"> безрабо</w:t>
      </w:r>
      <w:r w:rsidRPr="0011161A">
        <w:rPr>
          <w:sz w:val="24"/>
          <w:szCs w:val="24"/>
        </w:rPr>
        <w:t>тных граждан (меньше уровня 201</w:t>
      </w:r>
      <w:r w:rsidR="0011161A" w:rsidRPr="0011161A">
        <w:rPr>
          <w:sz w:val="24"/>
          <w:szCs w:val="24"/>
        </w:rPr>
        <w:t>4</w:t>
      </w:r>
      <w:r w:rsidR="005B0191" w:rsidRPr="0011161A">
        <w:rPr>
          <w:sz w:val="24"/>
          <w:szCs w:val="24"/>
        </w:rPr>
        <w:t xml:space="preserve"> года на </w:t>
      </w:r>
      <w:r w:rsidR="00FD5D14" w:rsidRPr="0011161A">
        <w:rPr>
          <w:sz w:val="24"/>
          <w:szCs w:val="24"/>
        </w:rPr>
        <w:br/>
      </w:r>
      <w:r w:rsidR="0011161A" w:rsidRPr="0011161A">
        <w:rPr>
          <w:sz w:val="24"/>
          <w:szCs w:val="24"/>
        </w:rPr>
        <w:t>529</w:t>
      </w:r>
      <w:r w:rsidR="005B0191" w:rsidRPr="0011161A">
        <w:rPr>
          <w:sz w:val="24"/>
          <w:szCs w:val="24"/>
        </w:rPr>
        <w:t xml:space="preserve"> человек), направлено на общественные работы </w:t>
      </w:r>
      <w:r w:rsidR="0011161A" w:rsidRPr="0011161A">
        <w:rPr>
          <w:sz w:val="24"/>
          <w:szCs w:val="24"/>
        </w:rPr>
        <w:t>1708</w:t>
      </w:r>
      <w:r w:rsidR="005B0191" w:rsidRPr="0011161A">
        <w:rPr>
          <w:sz w:val="24"/>
          <w:szCs w:val="24"/>
        </w:rPr>
        <w:t xml:space="preserve"> человек</w:t>
      </w:r>
      <w:r w:rsidRPr="0011161A">
        <w:rPr>
          <w:sz w:val="24"/>
          <w:szCs w:val="24"/>
        </w:rPr>
        <w:t xml:space="preserve"> (меньше уровня 201</w:t>
      </w:r>
      <w:r w:rsidR="0011161A" w:rsidRPr="0011161A">
        <w:rPr>
          <w:sz w:val="24"/>
          <w:szCs w:val="24"/>
        </w:rPr>
        <w:t>4</w:t>
      </w:r>
      <w:r w:rsidR="005B0191" w:rsidRPr="0011161A">
        <w:rPr>
          <w:sz w:val="24"/>
          <w:szCs w:val="24"/>
        </w:rPr>
        <w:t xml:space="preserve"> года на </w:t>
      </w:r>
      <w:r w:rsidR="0011161A" w:rsidRPr="0011161A">
        <w:rPr>
          <w:sz w:val="24"/>
          <w:szCs w:val="24"/>
        </w:rPr>
        <w:t>44</w:t>
      </w:r>
      <w:r w:rsidRPr="0011161A">
        <w:rPr>
          <w:sz w:val="24"/>
          <w:szCs w:val="24"/>
        </w:rPr>
        <w:t>3</w:t>
      </w:r>
      <w:r w:rsidR="005B0191" w:rsidRPr="0011161A">
        <w:rPr>
          <w:sz w:val="24"/>
          <w:szCs w:val="24"/>
        </w:rPr>
        <w:t xml:space="preserve"> человек</w:t>
      </w:r>
      <w:r w:rsidR="0011161A" w:rsidRPr="0011161A">
        <w:rPr>
          <w:sz w:val="24"/>
          <w:szCs w:val="24"/>
        </w:rPr>
        <w:t>а</w:t>
      </w:r>
      <w:r w:rsidR="005B0191" w:rsidRPr="0011161A">
        <w:rPr>
          <w:sz w:val="24"/>
          <w:szCs w:val="24"/>
        </w:rPr>
        <w:t xml:space="preserve">), временно трудоустроено граждан, испытывающих трудности в поиске работы – </w:t>
      </w:r>
      <w:r w:rsidR="0011161A" w:rsidRPr="0011161A">
        <w:rPr>
          <w:sz w:val="24"/>
          <w:szCs w:val="24"/>
        </w:rPr>
        <w:t>91</w:t>
      </w:r>
      <w:r w:rsidR="005B0191" w:rsidRPr="0011161A">
        <w:rPr>
          <w:sz w:val="24"/>
          <w:szCs w:val="24"/>
        </w:rPr>
        <w:t xml:space="preserve"> человек (меньше уровня 201</w:t>
      </w:r>
      <w:r w:rsidR="0011161A" w:rsidRPr="0011161A">
        <w:rPr>
          <w:sz w:val="24"/>
          <w:szCs w:val="24"/>
        </w:rPr>
        <w:t>4</w:t>
      </w:r>
      <w:r w:rsidR="005B0191" w:rsidRPr="0011161A">
        <w:rPr>
          <w:sz w:val="24"/>
          <w:szCs w:val="24"/>
        </w:rPr>
        <w:t xml:space="preserve"> года на </w:t>
      </w:r>
      <w:r w:rsidR="0011161A" w:rsidRPr="0011161A">
        <w:rPr>
          <w:sz w:val="24"/>
          <w:szCs w:val="24"/>
        </w:rPr>
        <w:t>47</w:t>
      </w:r>
      <w:r w:rsidR="005B0191" w:rsidRPr="0011161A">
        <w:rPr>
          <w:sz w:val="24"/>
          <w:szCs w:val="24"/>
        </w:rPr>
        <w:t xml:space="preserve"> человек).</w:t>
      </w:r>
    </w:p>
    <w:p w:rsidR="00E264A6" w:rsidRPr="00C20F28" w:rsidRDefault="000D2A17" w:rsidP="002820E9">
      <w:pPr>
        <w:pStyle w:val="afa"/>
        <w:tabs>
          <w:tab w:val="left" w:pos="993"/>
        </w:tabs>
        <w:ind w:left="0" w:firstLine="709"/>
        <w:jc w:val="both"/>
        <w:rPr>
          <w:sz w:val="24"/>
          <w:szCs w:val="24"/>
          <w:u w:val="single"/>
        </w:rPr>
      </w:pPr>
      <w:r w:rsidRPr="00C20F28">
        <w:rPr>
          <w:sz w:val="24"/>
          <w:szCs w:val="24"/>
          <w:u w:val="single"/>
        </w:rPr>
        <w:t>1.1.3</w:t>
      </w:r>
      <w:r w:rsidR="00241483" w:rsidRPr="00C20F28">
        <w:rPr>
          <w:sz w:val="24"/>
          <w:szCs w:val="24"/>
          <w:u w:val="single"/>
        </w:rPr>
        <w:t>.</w:t>
      </w:r>
      <w:r w:rsidR="0024653B" w:rsidRPr="00C20F28">
        <w:rPr>
          <w:sz w:val="24"/>
          <w:szCs w:val="24"/>
          <w:u w:val="single"/>
        </w:rPr>
        <w:t xml:space="preserve"> </w:t>
      </w:r>
      <w:r w:rsidRPr="00C20F28">
        <w:rPr>
          <w:sz w:val="24"/>
          <w:szCs w:val="24"/>
          <w:u w:val="single"/>
        </w:rPr>
        <w:t>Доходы населения.</w:t>
      </w:r>
      <w:r w:rsidR="000675B8" w:rsidRPr="00C20F28">
        <w:rPr>
          <w:sz w:val="24"/>
          <w:szCs w:val="24"/>
          <w:u w:val="single"/>
        </w:rPr>
        <w:t xml:space="preserve"> </w:t>
      </w:r>
    </w:p>
    <w:p w:rsidR="004108D4" w:rsidRPr="00C20F28" w:rsidRDefault="00E07930" w:rsidP="00E07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28">
        <w:rPr>
          <w:rFonts w:ascii="Times New Roman" w:eastAsia="Times New Roman" w:hAnsi="Times New Roman" w:cs="Times New Roman"/>
          <w:sz w:val="24"/>
          <w:szCs w:val="24"/>
          <w:lang w:eastAsia="ru-RU"/>
        </w:rPr>
        <w:t>По предварительным данным Территориального органа Федеральной службы государственной статистики по Амурской области в 201</w:t>
      </w:r>
      <w:r w:rsidR="00C20F28" w:rsidRPr="00C20F28">
        <w:rPr>
          <w:rFonts w:ascii="Times New Roman" w:eastAsia="Times New Roman" w:hAnsi="Times New Roman" w:cs="Times New Roman"/>
          <w:sz w:val="24"/>
          <w:szCs w:val="24"/>
          <w:lang w:eastAsia="ru-RU"/>
        </w:rPr>
        <w:t>5</w:t>
      </w:r>
      <w:r w:rsidRPr="00C20F28">
        <w:rPr>
          <w:rFonts w:ascii="Times New Roman" w:eastAsia="Times New Roman" w:hAnsi="Times New Roman" w:cs="Times New Roman"/>
          <w:sz w:val="24"/>
          <w:szCs w:val="24"/>
          <w:lang w:eastAsia="ru-RU"/>
        </w:rPr>
        <w:t xml:space="preserve"> году </w:t>
      </w:r>
      <w:r w:rsidRPr="00C20F28">
        <w:rPr>
          <w:rFonts w:ascii="Times New Roman" w:eastAsia="Times New Roman" w:hAnsi="Times New Roman" w:cs="Times New Roman"/>
          <w:i/>
          <w:sz w:val="24"/>
          <w:szCs w:val="24"/>
          <w:lang w:eastAsia="ru-RU"/>
        </w:rPr>
        <w:t xml:space="preserve">денежные доходы </w:t>
      </w:r>
      <w:r w:rsidR="004108D4" w:rsidRPr="00C20F28">
        <w:rPr>
          <w:rFonts w:ascii="Times New Roman" w:eastAsia="Times New Roman" w:hAnsi="Times New Roman" w:cs="Times New Roman"/>
          <w:i/>
          <w:sz w:val="24"/>
          <w:szCs w:val="24"/>
          <w:lang w:eastAsia="ru-RU"/>
        </w:rPr>
        <w:t>в среднем на душу населения</w:t>
      </w:r>
      <w:r w:rsidR="004108D4" w:rsidRPr="00C20F28">
        <w:rPr>
          <w:rFonts w:ascii="Times New Roman" w:eastAsia="Times New Roman" w:hAnsi="Times New Roman" w:cs="Times New Roman"/>
          <w:sz w:val="24"/>
          <w:szCs w:val="24"/>
          <w:lang w:eastAsia="ru-RU"/>
        </w:rPr>
        <w:t xml:space="preserve"> </w:t>
      </w:r>
      <w:r w:rsidR="004108D4" w:rsidRPr="00C20F28">
        <w:rPr>
          <w:rFonts w:ascii="Times New Roman" w:eastAsia="Times New Roman" w:hAnsi="Times New Roman" w:cs="Times New Roman"/>
          <w:i/>
          <w:sz w:val="24"/>
          <w:szCs w:val="24"/>
          <w:lang w:eastAsia="ru-RU"/>
        </w:rPr>
        <w:t>Амурской области в месяц</w:t>
      </w:r>
      <w:r w:rsidRPr="00C20F28">
        <w:rPr>
          <w:rFonts w:ascii="Times New Roman" w:eastAsia="Times New Roman" w:hAnsi="Times New Roman" w:cs="Times New Roman"/>
          <w:sz w:val="24"/>
          <w:szCs w:val="24"/>
          <w:lang w:eastAsia="ru-RU"/>
        </w:rPr>
        <w:t xml:space="preserve"> </w:t>
      </w:r>
      <w:r w:rsidR="004108D4" w:rsidRPr="00C20F28">
        <w:rPr>
          <w:rFonts w:ascii="Times New Roman" w:eastAsia="Times New Roman" w:hAnsi="Times New Roman" w:cs="Times New Roman"/>
          <w:sz w:val="24"/>
          <w:szCs w:val="24"/>
          <w:lang w:eastAsia="ru-RU"/>
        </w:rPr>
        <w:t xml:space="preserve">составили </w:t>
      </w:r>
      <w:r w:rsidR="00C20F28" w:rsidRPr="00C20F28">
        <w:rPr>
          <w:rFonts w:ascii="Times New Roman" w:eastAsia="Times New Roman" w:hAnsi="Times New Roman" w:cs="Times New Roman"/>
          <w:sz w:val="24"/>
          <w:szCs w:val="24"/>
          <w:lang w:eastAsia="ru-RU"/>
        </w:rPr>
        <w:t>29703,9</w:t>
      </w:r>
      <w:r w:rsidR="00CC7C7B" w:rsidRPr="00C20F28">
        <w:rPr>
          <w:rFonts w:ascii="Times New Roman" w:eastAsia="Times New Roman" w:hAnsi="Times New Roman" w:cs="Times New Roman"/>
          <w:sz w:val="24"/>
          <w:szCs w:val="24"/>
          <w:lang w:eastAsia="ru-RU"/>
        </w:rPr>
        <w:t xml:space="preserve"> рубля</w:t>
      </w:r>
      <w:r w:rsidR="004108D4" w:rsidRPr="00C20F28">
        <w:rPr>
          <w:rFonts w:ascii="Times New Roman" w:eastAsia="Times New Roman" w:hAnsi="Times New Roman" w:cs="Times New Roman"/>
          <w:sz w:val="24"/>
          <w:szCs w:val="24"/>
          <w:lang w:eastAsia="ru-RU"/>
        </w:rPr>
        <w:t xml:space="preserve"> (в 201</w:t>
      </w:r>
      <w:r w:rsidR="00C20F28" w:rsidRPr="00C20F28">
        <w:rPr>
          <w:rFonts w:ascii="Times New Roman" w:eastAsia="Times New Roman" w:hAnsi="Times New Roman" w:cs="Times New Roman"/>
          <w:sz w:val="24"/>
          <w:szCs w:val="24"/>
          <w:lang w:eastAsia="ru-RU"/>
        </w:rPr>
        <w:t>4</w:t>
      </w:r>
      <w:r w:rsidR="004108D4" w:rsidRPr="00C20F28">
        <w:rPr>
          <w:rFonts w:ascii="Times New Roman" w:eastAsia="Times New Roman" w:hAnsi="Times New Roman" w:cs="Times New Roman"/>
          <w:sz w:val="24"/>
          <w:szCs w:val="24"/>
          <w:lang w:eastAsia="ru-RU"/>
        </w:rPr>
        <w:t xml:space="preserve"> году – </w:t>
      </w:r>
      <w:r w:rsidR="00306089" w:rsidRPr="00C20F28">
        <w:rPr>
          <w:rFonts w:ascii="Times New Roman" w:eastAsia="Times New Roman" w:hAnsi="Times New Roman" w:cs="Times New Roman"/>
          <w:sz w:val="24"/>
          <w:szCs w:val="24"/>
          <w:lang w:eastAsia="ru-RU"/>
        </w:rPr>
        <w:br/>
      </w:r>
      <w:r w:rsidR="00C20F28" w:rsidRPr="00C20F28">
        <w:rPr>
          <w:rFonts w:ascii="Times New Roman" w:eastAsia="Times New Roman" w:hAnsi="Times New Roman" w:cs="Times New Roman"/>
          <w:sz w:val="24"/>
          <w:szCs w:val="24"/>
          <w:lang w:eastAsia="ru-RU"/>
        </w:rPr>
        <w:t>26765,3</w:t>
      </w:r>
      <w:r w:rsidR="004108D4" w:rsidRPr="00C20F28">
        <w:rPr>
          <w:rFonts w:ascii="Times New Roman" w:eastAsia="Times New Roman" w:hAnsi="Times New Roman" w:cs="Times New Roman"/>
          <w:sz w:val="24"/>
          <w:szCs w:val="24"/>
          <w:lang w:eastAsia="ru-RU"/>
        </w:rPr>
        <w:t xml:space="preserve"> рубл</w:t>
      </w:r>
      <w:r w:rsidR="00CC7C7B" w:rsidRPr="00C20F28">
        <w:rPr>
          <w:rFonts w:ascii="Times New Roman" w:eastAsia="Times New Roman" w:hAnsi="Times New Roman" w:cs="Times New Roman"/>
          <w:sz w:val="24"/>
          <w:szCs w:val="24"/>
          <w:lang w:eastAsia="ru-RU"/>
        </w:rPr>
        <w:t>я</w:t>
      </w:r>
      <w:r w:rsidR="004108D4" w:rsidRPr="00C20F28">
        <w:rPr>
          <w:rFonts w:ascii="Times New Roman" w:eastAsia="Times New Roman" w:hAnsi="Times New Roman" w:cs="Times New Roman"/>
          <w:sz w:val="24"/>
          <w:szCs w:val="24"/>
          <w:lang w:eastAsia="ru-RU"/>
        </w:rPr>
        <w:t>).</w:t>
      </w:r>
      <w:r w:rsidR="00966B78" w:rsidRPr="00C20F28">
        <w:rPr>
          <w:rFonts w:ascii="Times New Roman" w:eastAsia="Times New Roman" w:hAnsi="Times New Roman" w:cs="Times New Roman"/>
          <w:sz w:val="24"/>
          <w:szCs w:val="24"/>
          <w:lang w:eastAsia="ru-RU"/>
        </w:rPr>
        <w:t xml:space="preserve"> Ожидаемое значение денежных доходов на душу населения, установленное на 201</w:t>
      </w:r>
      <w:r w:rsidR="00C20F28" w:rsidRPr="00C20F28">
        <w:rPr>
          <w:rFonts w:ascii="Times New Roman" w:eastAsia="Times New Roman" w:hAnsi="Times New Roman" w:cs="Times New Roman"/>
          <w:sz w:val="24"/>
          <w:szCs w:val="24"/>
          <w:lang w:eastAsia="ru-RU"/>
        </w:rPr>
        <w:t>5</w:t>
      </w:r>
      <w:r w:rsidR="00966B78" w:rsidRPr="00C20F28">
        <w:rPr>
          <w:rFonts w:ascii="Times New Roman" w:eastAsia="Times New Roman" w:hAnsi="Times New Roman" w:cs="Times New Roman"/>
          <w:sz w:val="24"/>
          <w:szCs w:val="24"/>
          <w:lang w:eastAsia="ru-RU"/>
        </w:rPr>
        <w:t xml:space="preserve"> год программой социально-экономического развития Амурской области на </w:t>
      </w:r>
      <w:r w:rsidR="00313D3F">
        <w:rPr>
          <w:rFonts w:ascii="Times New Roman" w:eastAsia="Times New Roman" w:hAnsi="Times New Roman" w:cs="Times New Roman"/>
          <w:sz w:val="24"/>
          <w:szCs w:val="24"/>
          <w:lang w:eastAsia="ru-RU"/>
        </w:rPr>
        <w:br/>
      </w:r>
      <w:r w:rsidR="00966B78" w:rsidRPr="00C20F28">
        <w:rPr>
          <w:rFonts w:ascii="Times New Roman" w:eastAsia="Times New Roman" w:hAnsi="Times New Roman" w:cs="Times New Roman"/>
          <w:sz w:val="24"/>
          <w:szCs w:val="24"/>
          <w:lang w:eastAsia="ru-RU"/>
        </w:rPr>
        <w:t>2013-2017 годы, утвержденной Законом Амурской области от 13.11.2013 № 277-ОЗ,</w:t>
      </w:r>
      <w:r w:rsidR="00C20F28" w:rsidRPr="00C20F28">
        <w:rPr>
          <w:rFonts w:ascii="Times New Roman" w:eastAsia="Times New Roman" w:hAnsi="Times New Roman" w:cs="Times New Roman"/>
          <w:sz w:val="24"/>
          <w:szCs w:val="24"/>
          <w:lang w:eastAsia="ru-RU"/>
        </w:rPr>
        <w:t xml:space="preserve"> выше сложившегося в 2015</w:t>
      </w:r>
      <w:r w:rsidR="00966B78" w:rsidRPr="00C20F28">
        <w:rPr>
          <w:rFonts w:ascii="Times New Roman" w:eastAsia="Times New Roman" w:hAnsi="Times New Roman" w:cs="Times New Roman"/>
          <w:sz w:val="24"/>
          <w:szCs w:val="24"/>
          <w:lang w:eastAsia="ru-RU"/>
        </w:rPr>
        <w:t xml:space="preserve"> году значения на </w:t>
      </w:r>
      <w:r w:rsidR="00C20F28" w:rsidRPr="00C20F28">
        <w:rPr>
          <w:rFonts w:ascii="Times New Roman" w:eastAsia="Times New Roman" w:hAnsi="Times New Roman" w:cs="Times New Roman"/>
          <w:sz w:val="24"/>
          <w:szCs w:val="24"/>
          <w:lang w:eastAsia="ru-RU"/>
        </w:rPr>
        <w:t xml:space="preserve">0,9 </w:t>
      </w:r>
      <w:r w:rsidR="002A2787" w:rsidRPr="00C20F28">
        <w:rPr>
          <w:rFonts w:ascii="Times New Roman" w:eastAsia="Times New Roman" w:hAnsi="Times New Roman" w:cs="Times New Roman"/>
          <w:sz w:val="24"/>
          <w:szCs w:val="24"/>
          <w:lang w:eastAsia="ru-RU"/>
        </w:rPr>
        <w:t>тыс. рублей (программой в 201</w:t>
      </w:r>
      <w:r w:rsidR="00C20F28" w:rsidRPr="00C20F28">
        <w:rPr>
          <w:rFonts w:ascii="Times New Roman" w:eastAsia="Times New Roman" w:hAnsi="Times New Roman" w:cs="Times New Roman"/>
          <w:sz w:val="24"/>
          <w:szCs w:val="24"/>
          <w:lang w:eastAsia="ru-RU"/>
        </w:rPr>
        <w:t>5</w:t>
      </w:r>
      <w:r w:rsidR="002A2787" w:rsidRPr="00C20F28">
        <w:rPr>
          <w:rFonts w:ascii="Times New Roman" w:eastAsia="Times New Roman" w:hAnsi="Times New Roman" w:cs="Times New Roman"/>
          <w:sz w:val="24"/>
          <w:szCs w:val="24"/>
          <w:lang w:eastAsia="ru-RU"/>
        </w:rPr>
        <w:t xml:space="preserve"> году предусмотрено </w:t>
      </w:r>
      <w:r w:rsidR="00C20F28" w:rsidRPr="00C20F28">
        <w:rPr>
          <w:rFonts w:ascii="Times New Roman" w:eastAsia="Times New Roman" w:hAnsi="Times New Roman" w:cs="Times New Roman"/>
          <w:sz w:val="24"/>
          <w:szCs w:val="24"/>
          <w:lang w:eastAsia="ru-RU"/>
        </w:rPr>
        <w:t>30,6</w:t>
      </w:r>
      <w:r w:rsidR="002A2787" w:rsidRPr="00C20F28">
        <w:rPr>
          <w:rFonts w:ascii="Times New Roman" w:eastAsia="Times New Roman" w:hAnsi="Times New Roman" w:cs="Times New Roman"/>
          <w:sz w:val="24"/>
          <w:szCs w:val="24"/>
          <w:lang w:eastAsia="ru-RU"/>
        </w:rPr>
        <w:t xml:space="preserve"> тыс. рублей на душу населения в месяц).</w:t>
      </w:r>
    </w:p>
    <w:p w:rsidR="004108D4" w:rsidRPr="00C20F28" w:rsidRDefault="00C20F28" w:rsidP="004108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28">
        <w:rPr>
          <w:rFonts w:ascii="Times New Roman" w:eastAsia="Times New Roman" w:hAnsi="Times New Roman" w:cs="Times New Roman"/>
          <w:sz w:val="24"/>
          <w:szCs w:val="24"/>
          <w:lang w:eastAsia="ru-RU"/>
        </w:rPr>
        <w:t>В 2015</w:t>
      </w:r>
      <w:r w:rsidR="001F35B5" w:rsidRPr="00C20F28">
        <w:rPr>
          <w:rFonts w:ascii="Times New Roman" w:eastAsia="Times New Roman" w:hAnsi="Times New Roman" w:cs="Times New Roman"/>
          <w:sz w:val="24"/>
          <w:szCs w:val="24"/>
          <w:lang w:eastAsia="ru-RU"/>
        </w:rPr>
        <w:t xml:space="preserve"> году д</w:t>
      </w:r>
      <w:r w:rsidR="004108D4" w:rsidRPr="00C20F28">
        <w:rPr>
          <w:rFonts w:ascii="Times New Roman" w:eastAsia="Times New Roman" w:hAnsi="Times New Roman" w:cs="Times New Roman"/>
          <w:sz w:val="24"/>
          <w:szCs w:val="24"/>
          <w:lang w:eastAsia="ru-RU"/>
        </w:rPr>
        <w:t xml:space="preserve">енежные доходы </w:t>
      </w:r>
      <w:r w:rsidR="001F35B5" w:rsidRPr="00C20F28">
        <w:rPr>
          <w:rFonts w:ascii="Times New Roman" w:eastAsia="Times New Roman" w:hAnsi="Times New Roman" w:cs="Times New Roman"/>
          <w:sz w:val="24"/>
          <w:szCs w:val="24"/>
          <w:lang w:eastAsia="ru-RU"/>
        </w:rPr>
        <w:t xml:space="preserve">превысили денежные расходы на </w:t>
      </w:r>
      <w:r w:rsidRPr="00C20F28">
        <w:rPr>
          <w:rFonts w:ascii="Times New Roman" w:eastAsia="Times New Roman" w:hAnsi="Times New Roman" w:cs="Times New Roman"/>
          <w:sz w:val="24"/>
          <w:szCs w:val="24"/>
          <w:lang w:eastAsia="ru-RU"/>
        </w:rPr>
        <w:t>3240,8 млн.</w:t>
      </w:r>
      <w:r w:rsidR="001F35B5" w:rsidRPr="00C20F28">
        <w:rPr>
          <w:rFonts w:ascii="Times New Roman" w:eastAsia="Times New Roman" w:hAnsi="Times New Roman" w:cs="Times New Roman"/>
          <w:sz w:val="24"/>
          <w:szCs w:val="24"/>
          <w:lang w:eastAsia="ru-RU"/>
        </w:rPr>
        <w:t xml:space="preserve"> рубл</w:t>
      </w:r>
      <w:r w:rsidRPr="00C20F28">
        <w:rPr>
          <w:rFonts w:ascii="Times New Roman" w:eastAsia="Times New Roman" w:hAnsi="Times New Roman" w:cs="Times New Roman"/>
          <w:sz w:val="24"/>
          <w:szCs w:val="24"/>
          <w:lang w:eastAsia="ru-RU"/>
        </w:rPr>
        <w:t>ей</w:t>
      </w:r>
      <w:r w:rsidR="001F35B5" w:rsidRPr="00C20F28">
        <w:rPr>
          <w:rFonts w:ascii="Times New Roman" w:eastAsia="Times New Roman" w:hAnsi="Times New Roman" w:cs="Times New Roman"/>
          <w:sz w:val="24"/>
          <w:szCs w:val="24"/>
          <w:lang w:eastAsia="ru-RU"/>
        </w:rPr>
        <w:t>. В структуре использования денежных доходов населения традиционно преобладают расходы на</w:t>
      </w:r>
      <w:r w:rsidR="004108D4" w:rsidRPr="00C20F28">
        <w:rPr>
          <w:rFonts w:ascii="Times New Roman" w:eastAsia="Times New Roman" w:hAnsi="Times New Roman" w:cs="Times New Roman"/>
          <w:sz w:val="24"/>
          <w:szCs w:val="24"/>
          <w:lang w:eastAsia="ru-RU"/>
        </w:rPr>
        <w:t xml:space="preserve"> покупку товаров, оплату услуг – </w:t>
      </w:r>
      <w:r w:rsidR="007B27E1" w:rsidRPr="007B27E1">
        <w:rPr>
          <w:rFonts w:ascii="Times New Roman" w:eastAsia="Times New Roman" w:hAnsi="Times New Roman" w:cs="Times New Roman"/>
          <w:sz w:val="24"/>
          <w:szCs w:val="24"/>
          <w:lang w:eastAsia="ru-RU"/>
        </w:rPr>
        <w:t>69,6</w:t>
      </w:r>
      <w:r w:rsidR="004108D4" w:rsidRPr="007B27E1">
        <w:rPr>
          <w:rFonts w:ascii="Times New Roman" w:eastAsia="Times New Roman" w:hAnsi="Times New Roman" w:cs="Times New Roman"/>
          <w:sz w:val="24"/>
          <w:szCs w:val="24"/>
          <w:lang w:eastAsia="ru-RU"/>
        </w:rPr>
        <w:t xml:space="preserve"> процента</w:t>
      </w:r>
      <w:r w:rsidR="001F35B5" w:rsidRPr="00C20F28">
        <w:rPr>
          <w:rFonts w:ascii="Times New Roman" w:eastAsia="Times New Roman" w:hAnsi="Times New Roman" w:cs="Times New Roman"/>
          <w:sz w:val="24"/>
          <w:szCs w:val="24"/>
          <w:lang w:eastAsia="ru-RU"/>
        </w:rPr>
        <w:t>. Расходы на</w:t>
      </w:r>
      <w:r w:rsidR="004108D4" w:rsidRPr="00C20F28">
        <w:rPr>
          <w:rFonts w:ascii="Times New Roman" w:eastAsia="Times New Roman" w:hAnsi="Times New Roman" w:cs="Times New Roman"/>
          <w:sz w:val="24"/>
          <w:szCs w:val="24"/>
          <w:lang w:eastAsia="ru-RU"/>
        </w:rPr>
        <w:t xml:space="preserve"> обязательные платежи и добровольные взносы </w:t>
      </w:r>
      <w:r w:rsidR="001F35B5" w:rsidRPr="00C20F28">
        <w:rPr>
          <w:rFonts w:ascii="Times New Roman" w:eastAsia="Times New Roman" w:hAnsi="Times New Roman" w:cs="Times New Roman"/>
          <w:sz w:val="24"/>
          <w:szCs w:val="24"/>
          <w:lang w:eastAsia="ru-RU"/>
        </w:rPr>
        <w:t>в структуре использования денежных доходов населения составили</w:t>
      </w:r>
      <w:r w:rsidR="004108D4" w:rsidRPr="00C20F28">
        <w:rPr>
          <w:rFonts w:ascii="Times New Roman" w:eastAsia="Times New Roman" w:hAnsi="Times New Roman" w:cs="Times New Roman"/>
          <w:sz w:val="24"/>
          <w:szCs w:val="24"/>
          <w:lang w:eastAsia="ru-RU"/>
        </w:rPr>
        <w:t xml:space="preserve"> </w:t>
      </w:r>
      <w:r w:rsidR="007B27E1">
        <w:rPr>
          <w:rFonts w:ascii="Times New Roman" w:eastAsia="Times New Roman" w:hAnsi="Times New Roman" w:cs="Times New Roman"/>
          <w:sz w:val="24"/>
          <w:szCs w:val="24"/>
          <w:lang w:eastAsia="ru-RU"/>
        </w:rPr>
        <w:br/>
      </w:r>
      <w:r w:rsidR="007B27E1" w:rsidRPr="007B27E1">
        <w:rPr>
          <w:rFonts w:ascii="Times New Roman" w:eastAsia="Times New Roman" w:hAnsi="Times New Roman" w:cs="Times New Roman"/>
          <w:sz w:val="24"/>
          <w:szCs w:val="24"/>
          <w:lang w:eastAsia="ru-RU"/>
        </w:rPr>
        <w:t>9,9</w:t>
      </w:r>
      <w:r w:rsidR="004108D4" w:rsidRPr="007B27E1">
        <w:rPr>
          <w:rFonts w:ascii="Times New Roman" w:eastAsia="Times New Roman" w:hAnsi="Times New Roman" w:cs="Times New Roman"/>
          <w:sz w:val="24"/>
          <w:szCs w:val="24"/>
          <w:lang w:eastAsia="ru-RU"/>
        </w:rPr>
        <w:t xml:space="preserve"> процент</w:t>
      </w:r>
      <w:r w:rsidR="007B27E1" w:rsidRPr="007B27E1">
        <w:rPr>
          <w:rFonts w:ascii="Times New Roman" w:eastAsia="Times New Roman" w:hAnsi="Times New Roman" w:cs="Times New Roman"/>
          <w:sz w:val="24"/>
          <w:szCs w:val="24"/>
          <w:lang w:eastAsia="ru-RU"/>
        </w:rPr>
        <w:t>а</w:t>
      </w:r>
      <w:r w:rsidR="004108D4" w:rsidRPr="00C20F28">
        <w:rPr>
          <w:rFonts w:ascii="Times New Roman" w:eastAsia="Times New Roman" w:hAnsi="Times New Roman" w:cs="Times New Roman"/>
          <w:sz w:val="24"/>
          <w:szCs w:val="24"/>
          <w:lang w:eastAsia="ru-RU"/>
        </w:rPr>
        <w:t>, прирост сбережений во вкладах и ценных бумагах –</w:t>
      </w:r>
      <w:r w:rsidR="00270CD7" w:rsidRPr="00C20F28">
        <w:rPr>
          <w:rFonts w:ascii="Times New Roman" w:eastAsia="Times New Roman" w:hAnsi="Times New Roman" w:cs="Times New Roman"/>
          <w:sz w:val="24"/>
          <w:szCs w:val="24"/>
          <w:lang w:eastAsia="ru-RU"/>
        </w:rPr>
        <w:t xml:space="preserve"> </w:t>
      </w:r>
      <w:r w:rsidRPr="00C20F28">
        <w:rPr>
          <w:rFonts w:ascii="Times New Roman" w:eastAsia="Times New Roman" w:hAnsi="Times New Roman" w:cs="Times New Roman"/>
          <w:sz w:val="24"/>
          <w:szCs w:val="24"/>
          <w:lang w:eastAsia="ru-RU"/>
        </w:rPr>
        <w:t>3,</w:t>
      </w:r>
      <w:r w:rsidR="007B27E1">
        <w:rPr>
          <w:rFonts w:ascii="Times New Roman" w:eastAsia="Times New Roman" w:hAnsi="Times New Roman" w:cs="Times New Roman"/>
          <w:sz w:val="24"/>
          <w:szCs w:val="24"/>
          <w:lang w:eastAsia="ru-RU"/>
        </w:rPr>
        <w:t>6</w:t>
      </w:r>
      <w:r w:rsidR="004108D4" w:rsidRPr="00C20F28">
        <w:rPr>
          <w:rFonts w:ascii="Times New Roman" w:eastAsia="Times New Roman" w:hAnsi="Times New Roman" w:cs="Times New Roman"/>
          <w:sz w:val="24"/>
          <w:szCs w:val="24"/>
          <w:lang w:eastAsia="ru-RU"/>
        </w:rPr>
        <w:t xml:space="preserve"> процент</w:t>
      </w:r>
      <w:r w:rsidRPr="00C20F28">
        <w:rPr>
          <w:rFonts w:ascii="Times New Roman" w:eastAsia="Times New Roman" w:hAnsi="Times New Roman" w:cs="Times New Roman"/>
          <w:sz w:val="24"/>
          <w:szCs w:val="24"/>
          <w:lang w:eastAsia="ru-RU"/>
        </w:rPr>
        <w:t>а</w:t>
      </w:r>
      <w:r w:rsidR="004108D4" w:rsidRPr="00C20F28">
        <w:rPr>
          <w:rFonts w:ascii="Times New Roman" w:eastAsia="Times New Roman" w:hAnsi="Times New Roman" w:cs="Times New Roman"/>
          <w:sz w:val="24"/>
          <w:szCs w:val="24"/>
          <w:lang w:eastAsia="ru-RU"/>
        </w:rPr>
        <w:t xml:space="preserve">, </w:t>
      </w:r>
      <w:r w:rsidR="00270CD7" w:rsidRPr="00C20F28">
        <w:rPr>
          <w:rFonts w:ascii="Times New Roman" w:eastAsia="Times New Roman" w:hAnsi="Times New Roman" w:cs="Times New Roman"/>
          <w:sz w:val="24"/>
          <w:szCs w:val="24"/>
          <w:lang w:eastAsia="ru-RU"/>
        </w:rPr>
        <w:t xml:space="preserve">приобретение недвижимости – </w:t>
      </w:r>
      <w:r w:rsidRPr="00C20F28">
        <w:rPr>
          <w:rFonts w:ascii="Times New Roman" w:eastAsia="Times New Roman" w:hAnsi="Times New Roman" w:cs="Times New Roman"/>
          <w:sz w:val="24"/>
          <w:szCs w:val="24"/>
          <w:lang w:eastAsia="ru-RU"/>
        </w:rPr>
        <w:t>0,8</w:t>
      </w:r>
      <w:r w:rsidR="00270CD7" w:rsidRPr="00C20F28">
        <w:rPr>
          <w:rFonts w:ascii="Times New Roman" w:eastAsia="Times New Roman" w:hAnsi="Times New Roman" w:cs="Times New Roman"/>
          <w:sz w:val="24"/>
          <w:szCs w:val="24"/>
          <w:lang w:eastAsia="ru-RU"/>
        </w:rPr>
        <w:t xml:space="preserve"> процента, </w:t>
      </w:r>
      <w:r w:rsidR="004108D4" w:rsidRPr="00C20F28">
        <w:rPr>
          <w:rFonts w:ascii="Times New Roman" w:eastAsia="Times New Roman" w:hAnsi="Times New Roman" w:cs="Times New Roman"/>
          <w:sz w:val="24"/>
          <w:szCs w:val="24"/>
          <w:lang w:eastAsia="ru-RU"/>
        </w:rPr>
        <w:t xml:space="preserve">приобретение иностранной валюты – </w:t>
      </w:r>
      <w:r w:rsidR="00446708">
        <w:rPr>
          <w:rFonts w:ascii="Times New Roman" w:eastAsia="Times New Roman" w:hAnsi="Times New Roman" w:cs="Times New Roman"/>
          <w:sz w:val="24"/>
          <w:szCs w:val="24"/>
          <w:lang w:eastAsia="ru-RU"/>
        </w:rPr>
        <w:br/>
      </w:r>
      <w:r w:rsidRPr="007B27E1">
        <w:rPr>
          <w:rFonts w:ascii="Times New Roman" w:eastAsia="Times New Roman" w:hAnsi="Times New Roman" w:cs="Times New Roman"/>
          <w:sz w:val="24"/>
          <w:szCs w:val="24"/>
          <w:lang w:eastAsia="ru-RU"/>
        </w:rPr>
        <w:t>2,</w:t>
      </w:r>
      <w:r w:rsidR="007B27E1" w:rsidRPr="007B27E1">
        <w:rPr>
          <w:rFonts w:ascii="Times New Roman" w:eastAsia="Times New Roman" w:hAnsi="Times New Roman" w:cs="Times New Roman"/>
          <w:sz w:val="24"/>
          <w:szCs w:val="24"/>
          <w:lang w:eastAsia="ru-RU"/>
        </w:rPr>
        <w:t>6</w:t>
      </w:r>
      <w:r w:rsidR="004108D4" w:rsidRPr="007B27E1">
        <w:rPr>
          <w:rFonts w:ascii="Times New Roman" w:eastAsia="Times New Roman" w:hAnsi="Times New Roman" w:cs="Times New Roman"/>
          <w:sz w:val="24"/>
          <w:szCs w:val="24"/>
          <w:lang w:eastAsia="ru-RU"/>
        </w:rPr>
        <w:t xml:space="preserve"> процента.</w:t>
      </w:r>
      <w:r w:rsidR="00853249" w:rsidRPr="007B27E1">
        <w:rPr>
          <w:rFonts w:ascii="Times New Roman" w:eastAsia="Times New Roman" w:hAnsi="Times New Roman" w:cs="Times New Roman"/>
          <w:sz w:val="24"/>
          <w:szCs w:val="24"/>
          <w:lang w:eastAsia="ru-RU"/>
        </w:rPr>
        <w:t xml:space="preserve"> </w:t>
      </w:r>
      <w:r w:rsidR="004108D4" w:rsidRPr="007B27E1">
        <w:rPr>
          <w:rFonts w:ascii="Times New Roman" w:eastAsia="Times New Roman" w:hAnsi="Times New Roman" w:cs="Times New Roman"/>
          <w:sz w:val="24"/>
          <w:szCs w:val="24"/>
          <w:lang w:eastAsia="ru-RU"/>
        </w:rPr>
        <w:t>Структура использования денежных доходов в 201</w:t>
      </w:r>
      <w:r w:rsidRPr="007B27E1">
        <w:rPr>
          <w:rFonts w:ascii="Times New Roman" w:eastAsia="Times New Roman" w:hAnsi="Times New Roman" w:cs="Times New Roman"/>
          <w:sz w:val="24"/>
          <w:szCs w:val="24"/>
          <w:lang w:eastAsia="ru-RU"/>
        </w:rPr>
        <w:t>4</w:t>
      </w:r>
      <w:r w:rsidR="004108D4" w:rsidRPr="007B27E1">
        <w:rPr>
          <w:rFonts w:ascii="Times New Roman" w:eastAsia="Times New Roman" w:hAnsi="Times New Roman" w:cs="Times New Roman"/>
          <w:sz w:val="24"/>
          <w:szCs w:val="24"/>
          <w:lang w:eastAsia="ru-RU"/>
        </w:rPr>
        <w:t>-201</w:t>
      </w:r>
      <w:r w:rsidRPr="007B27E1">
        <w:rPr>
          <w:rFonts w:ascii="Times New Roman" w:eastAsia="Times New Roman" w:hAnsi="Times New Roman" w:cs="Times New Roman"/>
          <w:sz w:val="24"/>
          <w:szCs w:val="24"/>
          <w:lang w:eastAsia="ru-RU"/>
        </w:rPr>
        <w:t>5</w:t>
      </w:r>
      <w:r w:rsidR="004108D4" w:rsidRPr="007B27E1">
        <w:rPr>
          <w:rFonts w:ascii="Times New Roman" w:eastAsia="Times New Roman" w:hAnsi="Times New Roman" w:cs="Times New Roman"/>
          <w:sz w:val="24"/>
          <w:szCs w:val="24"/>
          <w:lang w:eastAsia="ru-RU"/>
        </w:rPr>
        <w:t xml:space="preserve"> годах приведена на</w:t>
      </w:r>
      <w:r w:rsidR="004108D4" w:rsidRPr="00C20F28">
        <w:rPr>
          <w:rFonts w:ascii="Times New Roman" w:eastAsia="Times New Roman" w:hAnsi="Times New Roman" w:cs="Times New Roman"/>
          <w:sz w:val="24"/>
          <w:szCs w:val="24"/>
          <w:lang w:eastAsia="ru-RU"/>
        </w:rPr>
        <w:t xml:space="preserve"> </w:t>
      </w:r>
      <w:r w:rsidR="004108D4" w:rsidRPr="00C20F28">
        <w:rPr>
          <w:rFonts w:ascii="Times New Roman" w:eastAsia="Times New Roman" w:hAnsi="Times New Roman" w:cs="Times New Roman"/>
          <w:sz w:val="24"/>
          <w:szCs w:val="24"/>
          <w:lang w:eastAsia="ru-RU"/>
        </w:rPr>
        <w:br/>
        <w:t>рисунке 2.</w:t>
      </w:r>
    </w:p>
    <w:p w:rsidR="004108D4" w:rsidRPr="00BE4E86" w:rsidRDefault="004108D4" w:rsidP="004108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574F">
        <w:rPr>
          <w:noProof/>
          <w:color w:val="FF0000"/>
          <w:lang w:eastAsia="ru-RU"/>
        </w:rPr>
        <w:drawing>
          <wp:inline distT="0" distB="0" distL="0" distR="0" wp14:anchorId="5434A057" wp14:editId="01F81AAD">
            <wp:extent cx="6010275" cy="2743200"/>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08D4" w:rsidRPr="00C20F28" w:rsidRDefault="004108D4" w:rsidP="004108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0F28">
        <w:rPr>
          <w:rFonts w:ascii="Times New Roman" w:eastAsia="Times New Roman" w:hAnsi="Times New Roman" w:cs="Times New Roman"/>
          <w:b/>
          <w:sz w:val="24"/>
          <w:szCs w:val="24"/>
          <w:lang w:eastAsia="ru-RU"/>
        </w:rPr>
        <w:t xml:space="preserve">Рис. 2 – Структура использования денежных доходов населения Амурской области </w:t>
      </w:r>
      <w:r w:rsidRPr="00C20F28">
        <w:rPr>
          <w:rFonts w:ascii="Times New Roman" w:eastAsia="Times New Roman" w:hAnsi="Times New Roman" w:cs="Times New Roman"/>
          <w:b/>
          <w:sz w:val="24"/>
          <w:szCs w:val="24"/>
          <w:lang w:eastAsia="ru-RU"/>
        </w:rPr>
        <w:br/>
        <w:t>в 201</w:t>
      </w:r>
      <w:r w:rsidR="00C20F28" w:rsidRPr="00C20F28">
        <w:rPr>
          <w:rFonts w:ascii="Times New Roman" w:eastAsia="Times New Roman" w:hAnsi="Times New Roman" w:cs="Times New Roman"/>
          <w:b/>
          <w:sz w:val="24"/>
          <w:szCs w:val="24"/>
          <w:lang w:eastAsia="ru-RU"/>
        </w:rPr>
        <w:t>4</w:t>
      </w:r>
      <w:r w:rsidRPr="00C20F28">
        <w:rPr>
          <w:rFonts w:ascii="Times New Roman" w:eastAsia="Times New Roman" w:hAnsi="Times New Roman" w:cs="Times New Roman"/>
          <w:b/>
          <w:sz w:val="24"/>
          <w:szCs w:val="24"/>
          <w:lang w:eastAsia="ru-RU"/>
        </w:rPr>
        <w:t>-201</w:t>
      </w:r>
      <w:r w:rsidR="00C20F28" w:rsidRPr="00C20F28">
        <w:rPr>
          <w:rFonts w:ascii="Times New Roman" w:eastAsia="Times New Roman" w:hAnsi="Times New Roman" w:cs="Times New Roman"/>
          <w:b/>
          <w:sz w:val="24"/>
          <w:szCs w:val="24"/>
          <w:lang w:eastAsia="ru-RU"/>
        </w:rPr>
        <w:t>5</w:t>
      </w:r>
      <w:r w:rsidRPr="00C20F28">
        <w:rPr>
          <w:rFonts w:ascii="Times New Roman" w:eastAsia="Times New Roman" w:hAnsi="Times New Roman" w:cs="Times New Roman"/>
          <w:b/>
          <w:sz w:val="24"/>
          <w:szCs w:val="24"/>
          <w:lang w:eastAsia="ru-RU"/>
        </w:rPr>
        <w:t xml:space="preserve"> годах, в процентах</w:t>
      </w:r>
    </w:p>
    <w:p w:rsidR="003B0EF1" w:rsidRPr="00446708" w:rsidRDefault="003B0EF1" w:rsidP="003B0E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6708">
        <w:rPr>
          <w:rFonts w:ascii="Times New Roman" w:eastAsia="Times New Roman" w:hAnsi="Times New Roman" w:cs="Times New Roman"/>
          <w:i/>
          <w:sz w:val="24"/>
          <w:szCs w:val="24"/>
          <w:lang w:eastAsia="ru-RU"/>
        </w:rPr>
        <w:t>Среднемесячная начисленная заработная плата работников</w:t>
      </w:r>
      <w:r w:rsidRPr="00446708">
        <w:rPr>
          <w:rFonts w:ascii="Times New Roman" w:eastAsia="Times New Roman" w:hAnsi="Times New Roman" w:cs="Times New Roman"/>
          <w:sz w:val="24"/>
          <w:szCs w:val="24"/>
          <w:lang w:eastAsia="ru-RU"/>
        </w:rPr>
        <w:t xml:space="preserve"> в среднем по Амурской области в 201</w:t>
      </w:r>
      <w:r w:rsidR="00446708" w:rsidRPr="00446708">
        <w:rPr>
          <w:rFonts w:ascii="Times New Roman" w:eastAsia="Times New Roman" w:hAnsi="Times New Roman" w:cs="Times New Roman"/>
          <w:sz w:val="24"/>
          <w:szCs w:val="24"/>
          <w:lang w:eastAsia="ru-RU"/>
        </w:rPr>
        <w:t>5</w:t>
      </w:r>
      <w:r w:rsidRPr="00446708">
        <w:rPr>
          <w:rFonts w:ascii="Times New Roman" w:eastAsia="Times New Roman" w:hAnsi="Times New Roman" w:cs="Times New Roman"/>
          <w:sz w:val="24"/>
          <w:szCs w:val="24"/>
          <w:lang w:eastAsia="ru-RU"/>
        </w:rPr>
        <w:t xml:space="preserve"> году сложилась в размере </w:t>
      </w:r>
      <w:r w:rsidR="00446708" w:rsidRPr="00446708">
        <w:rPr>
          <w:rFonts w:ascii="Times New Roman" w:eastAsia="Times New Roman" w:hAnsi="Times New Roman" w:cs="Times New Roman"/>
          <w:sz w:val="24"/>
          <w:szCs w:val="24"/>
          <w:lang w:eastAsia="ru-RU"/>
        </w:rPr>
        <w:t>32895,5</w:t>
      </w:r>
      <w:r w:rsidRPr="00446708">
        <w:rPr>
          <w:rFonts w:ascii="Times New Roman" w:eastAsia="Times New Roman" w:hAnsi="Times New Roman" w:cs="Times New Roman"/>
          <w:sz w:val="24"/>
          <w:szCs w:val="24"/>
          <w:lang w:eastAsia="ru-RU"/>
        </w:rPr>
        <w:t xml:space="preserve"> рубл</w:t>
      </w:r>
      <w:r w:rsidR="00306089" w:rsidRPr="00446708">
        <w:rPr>
          <w:rFonts w:ascii="Times New Roman" w:eastAsia="Times New Roman" w:hAnsi="Times New Roman" w:cs="Times New Roman"/>
          <w:sz w:val="24"/>
          <w:szCs w:val="24"/>
          <w:lang w:eastAsia="ru-RU"/>
        </w:rPr>
        <w:t xml:space="preserve">я </w:t>
      </w:r>
      <w:r w:rsidRPr="00446708">
        <w:rPr>
          <w:rFonts w:ascii="Times New Roman" w:eastAsia="Times New Roman" w:hAnsi="Times New Roman" w:cs="Times New Roman"/>
          <w:sz w:val="24"/>
          <w:szCs w:val="24"/>
          <w:lang w:eastAsia="ru-RU"/>
        </w:rPr>
        <w:t>(</w:t>
      </w:r>
      <w:r w:rsidR="00CC7C7B" w:rsidRPr="00446708">
        <w:rPr>
          <w:rFonts w:ascii="Times New Roman" w:eastAsia="Times New Roman" w:hAnsi="Times New Roman" w:cs="Times New Roman"/>
          <w:sz w:val="24"/>
          <w:szCs w:val="24"/>
          <w:lang w:eastAsia="ru-RU"/>
        </w:rPr>
        <w:t>при</w:t>
      </w:r>
      <w:r w:rsidRPr="00446708">
        <w:rPr>
          <w:rFonts w:ascii="Times New Roman" w:eastAsia="Times New Roman" w:hAnsi="Times New Roman" w:cs="Times New Roman"/>
          <w:sz w:val="24"/>
          <w:szCs w:val="24"/>
          <w:lang w:eastAsia="ru-RU"/>
        </w:rPr>
        <w:t xml:space="preserve">рост по отношению к уровню </w:t>
      </w:r>
      <w:r w:rsidR="00FD5D14" w:rsidRPr="00446708">
        <w:rPr>
          <w:rFonts w:ascii="Times New Roman" w:eastAsia="Times New Roman" w:hAnsi="Times New Roman" w:cs="Times New Roman"/>
          <w:sz w:val="24"/>
          <w:szCs w:val="24"/>
          <w:lang w:eastAsia="ru-RU"/>
        </w:rPr>
        <w:br/>
      </w:r>
      <w:r w:rsidRPr="00446708">
        <w:rPr>
          <w:rFonts w:ascii="Times New Roman" w:eastAsia="Times New Roman" w:hAnsi="Times New Roman" w:cs="Times New Roman"/>
          <w:sz w:val="24"/>
          <w:szCs w:val="24"/>
          <w:lang w:eastAsia="ru-RU"/>
        </w:rPr>
        <w:t>201</w:t>
      </w:r>
      <w:r w:rsidR="00B00992">
        <w:rPr>
          <w:rFonts w:ascii="Times New Roman" w:eastAsia="Times New Roman" w:hAnsi="Times New Roman" w:cs="Times New Roman"/>
          <w:sz w:val="24"/>
          <w:szCs w:val="24"/>
          <w:lang w:eastAsia="ru-RU"/>
        </w:rPr>
        <w:t>4</w:t>
      </w:r>
      <w:r w:rsidRPr="00446708">
        <w:rPr>
          <w:rFonts w:ascii="Times New Roman" w:eastAsia="Times New Roman" w:hAnsi="Times New Roman" w:cs="Times New Roman"/>
          <w:sz w:val="24"/>
          <w:szCs w:val="24"/>
          <w:lang w:eastAsia="ru-RU"/>
        </w:rPr>
        <w:t xml:space="preserve"> года составил </w:t>
      </w:r>
      <w:r w:rsidR="00446708" w:rsidRPr="00446708">
        <w:rPr>
          <w:rFonts w:ascii="Times New Roman" w:eastAsia="Times New Roman" w:hAnsi="Times New Roman" w:cs="Times New Roman"/>
          <w:sz w:val="24"/>
          <w:szCs w:val="24"/>
          <w:lang w:eastAsia="ru-RU"/>
        </w:rPr>
        <w:t>1,5</w:t>
      </w:r>
      <w:r w:rsidRPr="00446708">
        <w:rPr>
          <w:rFonts w:ascii="Times New Roman" w:eastAsia="Times New Roman" w:hAnsi="Times New Roman" w:cs="Times New Roman"/>
          <w:sz w:val="24"/>
          <w:szCs w:val="24"/>
          <w:lang w:eastAsia="ru-RU"/>
        </w:rPr>
        <w:t xml:space="preserve"> процент</w:t>
      </w:r>
      <w:r w:rsidR="00446708" w:rsidRPr="00446708">
        <w:rPr>
          <w:rFonts w:ascii="Times New Roman" w:eastAsia="Times New Roman" w:hAnsi="Times New Roman" w:cs="Times New Roman"/>
          <w:sz w:val="24"/>
          <w:szCs w:val="24"/>
          <w:lang w:eastAsia="ru-RU"/>
        </w:rPr>
        <w:t>а</w:t>
      </w:r>
      <w:r w:rsidR="00BE4E86">
        <w:rPr>
          <w:rFonts w:ascii="Times New Roman" w:eastAsia="Times New Roman" w:hAnsi="Times New Roman" w:cs="Times New Roman"/>
          <w:sz w:val="24"/>
          <w:szCs w:val="24"/>
          <w:lang w:eastAsia="ru-RU"/>
        </w:rPr>
        <w:t>).</w:t>
      </w:r>
    </w:p>
    <w:p w:rsidR="005857E0" w:rsidRPr="00446708" w:rsidRDefault="00270CD7" w:rsidP="00E07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6708">
        <w:rPr>
          <w:rFonts w:ascii="Times New Roman" w:eastAsia="Times New Roman" w:hAnsi="Times New Roman" w:cs="Times New Roman"/>
          <w:i/>
          <w:sz w:val="24"/>
          <w:szCs w:val="24"/>
          <w:lang w:eastAsia="ru-RU"/>
        </w:rPr>
        <w:t>Реальная начисленная заработная плата одного работника</w:t>
      </w:r>
      <w:r w:rsidRPr="00446708">
        <w:rPr>
          <w:rFonts w:ascii="Times New Roman" w:eastAsia="Times New Roman" w:hAnsi="Times New Roman" w:cs="Times New Roman"/>
          <w:sz w:val="24"/>
          <w:szCs w:val="24"/>
          <w:lang w:eastAsia="ru-RU"/>
        </w:rPr>
        <w:t xml:space="preserve"> в 201</w:t>
      </w:r>
      <w:r w:rsidR="00446708" w:rsidRPr="00446708">
        <w:rPr>
          <w:rFonts w:ascii="Times New Roman" w:eastAsia="Times New Roman" w:hAnsi="Times New Roman" w:cs="Times New Roman"/>
          <w:sz w:val="24"/>
          <w:szCs w:val="24"/>
          <w:lang w:eastAsia="ru-RU"/>
        </w:rPr>
        <w:t>5</w:t>
      </w:r>
      <w:r w:rsidRPr="00446708">
        <w:rPr>
          <w:rFonts w:ascii="Times New Roman" w:eastAsia="Times New Roman" w:hAnsi="Times New Roman" w:cs="Times New Roman"/>
          <w:sz w:val="24"/>
          <w:szCs w:val="24"/>
          <w:lang w:eastAsia="ru-RU"/>
        </w:rPr>
        <w:t xml:space="preserve"> году по </w:t>
      </w:r>
      <w:r w:rsidR="00446708" w:rsidRPr="00446708">
        <w:rPr>
          <w:rFonts w:ascii="Times New Roman" w:eastAsia="Times New Roman" w:hAnsi="Times New Roman" w:cs="Times New Roman"/>
          <w:sz w:val="24"/>
          <w:szCs w:val="24"/>
          <w:lang w:eastAsia="ru-RU"/>
        </w:rPr>
        <w:t>отношению к показателю за 2014</w:t>
      </w:r>
      <w:r w:rsidRPr="00446708">
        <w:rPr>
          <w:rFonts w:ascii="Times New Roman" w:eastAsia="Times New Roman" w:hAnsi="Times New Roman" w:cs="Times New Roman"/>
          <w:sz w:val="24"/>
          <w:szCs w:val="24"/>
          <w:lang w:eastAsia="ru-RU"/>
        </w:rPr>
        <w:t xml:space="preserve"> год </w:t>
      </w:r>
      <w:r w:rsidR="00FD3D3A" w:rsidRPr="00446708">
        <w:rPr>
          <w:rFonts w:ascii="Times New Roman" w:eastAsia="Times New Roman" w:hAnsi="Times New Roman" w:cs="Times New Roman"/>
          <w:sz w:val="24"/>
          <w:szCs w:val="24"/>
          <w:lang w:eastAsia="ru-RU"/>
        </w:rPr>
        <w:t xml:space="preserve">снизилась </w:t>
      </w:r>
      <w:r w:rsidRPr="00446708">
        <w:rPr>
          <w:rFonts w:ascii="Times New Roman" w:eastAsia="Times New Roman" w:hAnsi="Times New Roman" w:cs="Times New Roman"/>
          <w:sz w:val="24"/>
          <w:szCs w:val="24"/>
          <w:lang w:eastAsia="ru-RU"/>
        </w:rPr>
        <w:t xml:space="preserve">на </w:t>
      </w:r>
      <w:r w:rsidR="00446708" w:rsidRPr="00446708">
        <w:rPr>
          <w:rFonts w:ascii="Times New Roman" w:eastAsia="Times New Roman" w:hAnsi="Times New Roman" w:cs="Times New Roman"/>
          <w:sz w:val="24"/>
          <w:szCs w:val="24"/>
          <w:lang w:eastAsia="ru-RU"/>
        </w:rPr>
        <w:t>12,0</w:t>
      </w:r>
      <w:r w:rsidRPr="00446708">
        <w:rPr>
          <w:rFonts w:ascii="Times New Roman" w:eastAsia="Times New Roman" w:hAnsi="Times New Roman" w:cs="Times New Roman"/>
          <w:sz w:val="24"/>
          <w:szCs w:val="24"/>
          <w:lang w:eastAsia="ru-RU"/>
        </w:rPr>
        <w:t xml:space="preserve"> процент</w:t>
      </w:r>
      <w:r w:rsidR="00446708" w:rsidRPr="00446708">
        <w:rPr>
          <w:rFonts w:ascii="Times New Roman" w:eastAsia="Times New Roman" w:hAnsi="Times New Roman" w:cs="Times New Roman"/>
          <w:sz w:val="24"/>
          <w:szCs w:val="24"/>
          <w:lang w:eastAsia="ru-RU"/>
        </w:rPr>
        <w:t>ов</w:t>
      </w:r>
      <w:r w:rsidRPr="00446708">
        <w:rPr>
          <w:rFonts w:ascii="Times New Roman" w:eastAsia="Times New Roman" w:hAnsi="Times New Roman" w:cs="Times New Roman"/>
          <w:sz w:val="24"/>
          <w:szCs w:val="24"/>
          <w:lang w:eastAsia="ru-RU"/>
        </w:rPr>
        <w:t>.</w:t>
      </w:r>
      <w:r w:rsidR="002A2787" w:rsidRPr="00446708">
        <w:rPr>
          <w:rFonts w:ascii="Times New Roman" w:eastAsia="Times New Roman" w:hAnsi="Times New Roman" w:cs="Times New Roman"/>
          <w:sz w:val="24"/>
          <w:szCs w:val="24"/>
          <w:lang w:eastAsia="ru-RU"/>
        </w:rPr>
        <w:t xml:space="preserve"> Следует отметить, что программой социально-экономического развития Амурской области на 2013-2017 годы, утвержденной Законом Амурской области от 13.11.2013 № 277-ОЗ,</w:t>
      </w:r>
      <w:r w:rsidR="00446708" w:rsidRPr="00446708">
        <w:rPr>
          <w:rFonts w:ascii="Times New Roman" w:eastAsia="Times New Roman" w:hAnsi="Times New Roman" w:cs="Times New Roman"/>
          <w:sz w:val="24"/>
          <w:szCs w:val="24"/>
          <w:lang w:eastAsia="ru-RU"/>
        </w:rPr>
        <w:t xml:space="preserve"> на 2015</w:t>
      </w:r>
      <w:r w:rsidR="002A2787" w:rsidRPr="00446708">
        <w:rPr>
          <w:rFonts w:ascii="Times New Roman" w:eastAsia="Times New Roman" w:hAnsi="Times New Roman" w:cs="Times New Roman"/>
          <w:sz w:val="24"/>
          <w:szCs w:val="24"/>
          <w:lang w:eastAsia="ru-RU"/>
        </w:rPr>
        <w:t xml:space="preserve"> год предусмотрен </w:t>
      </w:r>
      <w:r w:rsidR="00306089" w:rsidRPr="00446708">
        <w:rPr>
          <w:rFonts w:ascii="Times New Roman" w:eastAsia="Times New Roman" w:hAnsi="Times New Roman" w:cs="Times New Roman"/>
          <w:sz w:val="24"/>
          <w:szCs w:val="24"/>
          <w:lang w:eastAsia="ru-RU"/>
        </w:rPr>
        <w:t>при</w:t>
      </w:r>
      <w:r w:rsidR="002A2787" w:rsidRPr="00446708">
        <w:rPr>
          <w:rFonts w:ascii="Times New Roman" w:eastAsia="Times New Roman" w:hAnsi="Times New Roman" w:cs="Times New Roman"/>
          <w:sz w:val="24"/>
          <w:szCs w:val="24"/>
          <w:lang w:eastAsia="ru-RU"/>
        </w:rPr>
        <w:t>рос</w:t>
      </w:r>
      <w:r w:rsidR="00446708" w:rsidRPr="00446708">
        <w:rPr>
          <w:rFonts w:ascii="Times New Roman" w:eastAsia="Times New Roman" w:hAnsi="Times New Roman" w:cs="Times New Roman"/>
          <w:sz w:val="24"/>
          <w:szCs w:val="24"/>
          <w:lang w:eastAsia="ru-RU"/>
        </w:rPr>
        <w:t>т реальной заработной платы на 6</w:t>
      </w:r>
      <w:r w:rsidR="004B1480">
        <w:rPr>
          <w:rFonts w:ascii="Times New Roman" w:eastAsia="Times New Roman" w:hAnsi="Times New Roman" w:cs="Times New Roman"/>
          <w:sz w:val="24"/>
          <w:szCs w:val="24"/>
          <w:lang w:eastAsia="ru-RU"/>
        </w:rPr>
        <w:t>,0 процентов относительно 2014</w:t>
      </w:r>
      <w:r w:rsidR="002A2787" w:rsidRPr="00446708">
        <w:rPr>
          <w:rFonts w:ascii="Times New Roman" w:eastAsia="Times New Roman" w:hAnsi="Times New Roman" w:cs="Times New Roman"/>
          <w:sz w:val="24"/>
          <w:szCs w:val="24"/>
          <w:lang w:eastAsia="ru-RU"/>
        </w:rPr>
        <w:t xml:space="preserve"> года.</w:t>
      </w:r>
    </w:p>
    <w:p w:rsidR="00012C3C" w:rsidRPr="00DA7F91" w:rsidRDefault="001414CA" w:rsidP="00E07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7F91">
        <w:rPr>
          <w:rFonts w:ascii="Times New Roman" w:eastAsia="Times New Roman" w:hAnsi="Times New Roman" w:cs="Times New Roman"/>
          <w:sz w:val="24"/>
          <w:szCs w:val="24"/>
          <w:lang w:eastAsia="ru-RU"/>
        </w:rPr>
        <w:t>Соотношение денежных доходов в среднем на душу населения в месяц, величины прожиточного минимума и численность населения с доходами ниже прожиточного минимума приведены на рисунке 3.</w:t>
      </w:r>
    </w:p>
    <w:p w:rsidR="001414CA" w:rsidRPr="00BE4E86" w:rsidRDefault="00202D7E" w:rsidP="00F070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574F">
        <w:rPr>
          <w:rFonts w:ascii="Times New Roman" w:eastAsia="Times New Roman" w:hAnsi="Times New Roman" w:cs="Times New Roman"/>
          <w:noProof/>
          <w:color w:val="FF0000"/>
          <w:sz w:val="24"/>
          <w:szCs w:val="24"/>
          <w:shd w:val="clear" w:color="auto" w:fill="92D050"/>
          <w:lang w:eastAsia="ru-RU"/>
        </w:rPr>
        <w:lastRenderedPageBreak/>
        <w:drawing>
          <wp:inline distT="0" distB="0" distL="0" distR="0" wp14:anchorId="2B62737D" wp14:editId="7AF55DBF">
            <wp:extent cx="6315075" cy="33147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14CA" w:rsidRPr="00DA7F91" w:rsidRDefault="001414CA" w:rsidP="00F070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A7F91">
        <w:rPr>
          <w:rFonts w:ascii="Times New Roman" w:eastAsia="Times New Roman" w:hAnsi="Times New Roman" w:cs="Times New Roman"/>
          <w:b/>
          <w:sz w:val="24"/>
          <w:szCs w:val="24"/>
          <w:lang w:eastAsia="ru-RU"/>
        </w:rPr>
        <w:t xml:space="preserve">Рис. 3 - Денежные доходы в среднем на душу населения в месяц, величина прожиточного минимума и </w:t>
      </w:r>
      <w:r w:rsidR="00F07011" w:rsidRPr="00DA7F91">
        <w:rPr>
          <w:rFonts w:ascii="Times New Roman" w:eastAsia="Times New Roman" w:hAnsi="Times New Roman" w:cs="Times New Roman"/>
          <w:b/>
          <w:sz w:val="24"/>
          <w:szCs w:val="24"/>
          <w:lang w:eastAsia="ru-RU"/>
        </w:rPr>
        <w:t>доля</w:t>
      </w:r>
      <w:r w:rsidRPr="00DA7F91">
        <w:rPr>
          <w:rFonts w:ascii="Times New Roman" w:eastAsia="Times New Roman" w:hAnsi="Times New Roman" w:cs="Times New Roman"/>
          <w:b/>
          <w:sz w:val="24"/>
          <w:szCs w:val="24"/>
          <w:lang w:eastAsia="ru-RU"/>
        </w:rPr>
        <w:t xml:space="preserve"> населения с доходами ниже прожиточного минимума в Амурской области в 201</w:t>
      </w:r>
      <w:r w:rsidR="00DA7F91" w:rsidRPr="00DA7F91">
        <w:rPr>
          <w:rFonts w:ascii="Times New Roman" w:eastAsia="Times New Roman" w:hAnsi="Times New Roman" w:cs="Times New Roman"/>
          <w:b/>
          <w:sz w:val="24"/>
          <w:szCs w:val="24"/>
          <w:lang w:eastAsia="ru-RU"/>
        </w:rPr>
        <w:t>2</w:t>
      </w:r>
      <w:r w:rsidRPr="00DA7F91">
        <w:rPr>
          <w:rFonts w:ascii="Times New Roman" w:eastAsia="Times New Roman" w:hAnsi="Times New Roman" w:cs="Times New Roman"/>
          <w:b/>
          <w:sz w:val="24"/>
          <w:szCs w:val="24"/>
          <w:lang w:eastAsia="ru-RU"/>
        </w:rPr>
        <w:t>-201</w:t>
      </w:r>
      <w:r w:rsidR="00DA7F91" w:rsidRPr="00DA7F91">
        <w:rPr>
          <w:rFonts w:ascii="Times New Roman" w:eastAsia="Times New Roman" w:hAnsi="Times New Roman" w:cs="Times New Roman"/>
          <w:b/>
          <w:sz w:val="24"/>
          <w:szCs w:val="24"/>
          <w:lang w:eastAsia="ru-RU"/>
        </w:rPr>
        <w:t>5</w:t>
      </w:r>
      <w:r w:rsidRPr="00DA7F91">
        <w:rPr>
          <w:rFonts w:ascii="Times New Roman" w:eastAsia="Times New Roman" w:hAnsi="Times New Roman" w:cs="Times New Roman"/>
          <w:b/>
          <w:sz w:val="24"/>
          <w:szCs w:val="24"/>
          <w:lang w:eastAsia="ru-RU"/>
        </w:rPr>
        <w:t xml:space="preserve"> годах</w:t>
      </w:r>
    </w:p>
    <w:p w:rsidR="005857E0" w:rsidRPr="00626A9E" w:rsidRDefault="00DA7F91" w:rsidP="00987E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6A9E">
        <w:rPr>
          <w:rFonts w:ascii="Times New Roman" w:eastAsia="Times New Roman" w:hAnsi="Times New Roman" w:cs="Times New Roman"/>
          <w:sz w:val="24"/>
          <w:szCs w:val="24"/>
          <w:lang w:eastAsia="ru-RU"/>
        </w:rPr>
        <w:t>По состоянию на 01.01.2016</w:t>
      </w:r>
      <w:r w:rsidR="00987E40" w:rsidRPr="00626A9E">
        <w:rPr>
          <w:rFonts w:ascii="Times New Roman" w:eastAsia="Times New Roman" w:hAnsi="Times New Roman" w:cs="Times New Roman"/>
          <w:i/>
          <w:sz w:val="24"/>
          <w:szCs w:val="24"/>
          <w:lang w:eastAsia="ru-RU"/>
        </w:rPr>
        <w:t xml:space="preserve"> п</w:t>
      </w:r>
      <w:r w:rsidR="005857E0" w:rsidRPr="00626A9E">
        <w:rPr>
          <w:rFonts w:ascii="Times New Roman" w:eastAsia="Times New Roman" w:hAnsi="Times New Roman" w:cs="Times New Roman"/>
          <w:i/>
          <w:sz w:val="24"/>
          <w:szCs w:val="24"/>
          <w:lang w:eastAsia="ru-RU"/>
        </w:rPr>
        <w:t>росроченн</w:t>
      </w:r>
      <w:r w:rsidR="00987E40" w:rsidRPr="00626A9E">
        <w:rPr>
          <w:rFonts w:ascii="Times New Roman" w:eastAsia="Times New Roman" w:hAnsi="Times New Roman" w:cs="Times New Roman"/>
          <w:i/>
          <w:sz w:val="24"/>
          <w:szCs w:val="24"/>
          <w:lang w:eastAsia="ru-RU"/>
        </w:rPr>
        <w:t>ая</w:t>
      </w:r>
      <w:r w:rsidR="005857E0" w:rsidRPr="00626A9E">
        <w:rPr>
          <w:rFonts w:ascii="Times New Roman" w:eastAsia="Times New Roman" w:hAnsi="Times New Roman" w:cs="Times New Roman"/>
          <w:i/>
          <w:sz w:val="24"/>
          <w:szCs w:val="24"/>
          <w:lang w:eastAsia="ru-RU"/>
        </w:rPr>
        <w:t xml:space="preserve"> задолженность по заработной плате</w:t>
      </w:r>
      <w:r w:rsidR="005857E0" w:rsidRPr="00626A9E">
        <w:rPr>
          <w:rFonts w:ascii="Times New Roman" w:eastAsia="Times New Roman" w:hAnsi="Times New Roman" w:cs="Times New Roman"/>
          <w:sz w:val="24"/>
          <w:szCs w:val="24"/>
          <w:lang w:eastAsia="ru-RU"/>
        </w:rPr>
        <w:t xml:space="preserve"> </w:t>
      </w:r>
      <w:r w:rsidR="00987E40" w:rsidRPr="00626A9E">
        <w:rPr>
          <w:rFonts w:ascii="Times New Roman" w:eastAsia="Times New Roman" w:hAnsi="Times New Roman" w:cs="Times New Roman"/>
          <w:sz w:val="24"/>
          <w:szCs w:val="24"/>
          <w:lang w:eastAsia="ru-RU"/>
        </w:rPr>
        <w:t xml:space="preserve">в Амурской области </w:t>
      </w:r>
      <w:r w:rsidR="00626A9E" w:rsidRPr="00626A9E">
        <w:rPr>
          <w:rFonts w:ascii="Times New Roman" w:eastAsia="Times New Roman" w:hAnsi="Times New Roman" w:cs="Times New Roman"/>
          <w:sz w:val="24"/>
          <w:szCs w:val="24"/>
          <w:lang w:eastAsia="ru-RU"/>
        </w:rPr>
        <w:t xml:space="preserve">составила </w:t>
      </w:r>
      <w:r w:rsidR="00626A9E">
        <w:rPr>
          <w:rFonts w:ascii="Times New Roman" w:eastAsia="Times New Roman" w:hAnsi="Times New Roman" w:cs="Times New Roman"/>
          <w:sz w:val="24"/>
          <w:szCs w:val="24"/>
          <w:lang w:eastAsia="ru-RU"/>
        </w:rPr>
        <w:t>7100</w:t>
      </w:r>
      <w:r w:rsidR="00626A9E" w:rsidRPr="00626A9E">
        <w:rPr>
          <w:rFonts w:ascii="Times New Roman" w:eastAsia="Times New Roman" w:hAnsi="Times New Roman" w:cs="Times New Roman"/>
          <w:sz w:val="24"/>
          <w:szCs w:val="24"/>
          <w:lang w:eastAsia="ru-RU"/>
        </w:rPr>
        <w:t>,0 рублей</w:t>
      </w:r>
      <w:r w:rsidR="005857E0" w:rsidRPr="00626A9E">
        <w:rPr>
          <w:rFonts w:ascii="Times New Roman" w:eastAsia="Times New Roman" w:hAnsi="Times New Roman" w:cs="Times New Roman"/>
          <w:sz w:val="24"/>
          <w:szCs w:val="24"/>
          <w:lang w:eastAsia="ru-RU"/>
        </w:rPr>
        <w:t>. Динамика п</w:t>
      </w:r>
      <w:r w:rsidR="00987E40" w:rsidRPr="00626A9E">
        <w:rPr>
          <w:rFonts w:ascii="Times New Roman" w:eastAsia="Times New Roman" w:hAnsi="Times New Roman" w:cs="Times New Roman"/>
          <w:sz w:val="24"/>
          <w:szCs w:val="24"/>
          <w:lang w:eastAsia="ru-RU"/>
        </w:rPr>
        <w:t xml:space="preserve">росроченной задолженности </w:t>
      </w:r>
      <w:r w:rsidR="00BE4E86">
        <w:rPr>
          <w:rFonts w:ascii="Times New Roman" w:eastAsia="Times New Roman" w:hAnsi="Times New Roman" w:cs="Times New Roman"/>
          <w:sz w:val="24"/>
          <w:szCs w:val="24"/>
          <w:lang w:eastAsia="ru-RU"/>
        </w:rPr>
        <w:br/>
      </w:r>
      <w:r w:rsidR="00987E40" w:rsidRPr="00626A9E">
        <w:rPr>
          <w:rFonts w:ascii="Times New Roman" w:eastAsia="Times New Roman" w:hAnsi="Times New Roman" w:cs="Times New Roman"/>
          <w:sz w:val="24"/>
          <w:szCs w:val="24"/>
          <w:lang w:eastAsia="ru-RU"/>
        </w:rPr>
        <w:t>в 201</w:t>
      </w:r>
      <w:r w:rsidRPr="00626A9E">
        <w:rPr>
          <w:rFonts w:ascii="Times New Roman" w:eastAsia="Times New Roman" w:hAnsi="Times New Roman" w:cs="Times New Roman"/>
          <w:sz w:val="24"/>
          <w:szCs w:val="24"/>
          <w:lang w:eastAsia="ru-RU"/>
        </w:rPr>
        <w:t>5</w:t>
      </w:r>
      <w:r w:rsidR="005857E0" w:rsidRPr="00626A9E">
        <w:rPr>
          <w:rFonts w:ascii="Times New Roman" w:eastAsia="Times New Roman" w:hAnsi="Times New Roman" w:cs="Times New Roman"/>
          <w:sz w:val="24"/>
          <w:szCs w:val="24"/>
          <w:lang w:eastAsia="ru-RU"/>
        </w:rPr>
        <w:t xml:space="preserve"> году представлена на рисунке </w:t>
      </w:r>
      <w:r w:rsidR="00352763" w:rsidRPr="00626A9E">
        <w:rPr>
          <w:rFonts w:ascii="Times New Roman" w:eastAsia="Times New Roman" w:hAnsi="Times New Roman" w:cs="Times New Roman"/>
          <w:sz w:val="24"/>
          <w:szCs w:val="24"/>
          <w:lang w:eastAsia="ru-RU"/>
        </w:rPr>
        <w:t>4</w:t>
      </w:r>
      <w:r w:rsidR="005857E0" w:rsidRPr="00626A9E">
        <w:rPr>
          <w:rFonts w:ascii="Times New Roman" w:eastAsia="Times New Roman" w:hAnsi="Times New Roman" w:cs="Times New Roman"/>
          <w:sz w:val="24"/>
          <w:szCs w:val="24"/>
          <w:lang w:eastAsia="ru-RU"/>
        </w:rPr>
        <w:t>.</w:t>
      </w:r>
    </w:p>
    <w:p w:rsidR="000C75EE" w:rsidRPr="00BE4E86" w:rsidRDefault="000C75EE" w:rsidP="000C75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74F">
        <w:rPr>
          <w:rFonts w:ascii="Times New Roman" w:hAnsi="Times New Roman" w:cs="Times New Roman"/>
          <w:noProof/>
          <w:color w:val="FF0000"/>
          <w:lang w:eastAsia="ru-RU"/>
        </w:rPr>
        <w:drawing>
          <wp:inline distT="0" distB="0" distL="0" distR="0" wp14:anchorId="21756DA9" wp14:editId="30FCAB43">
            <wp:extent cx="6096000" cy="24860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75EE" w:rsidRPr="00626A9E" w:rsidRDefault="00352763" w:rsidP="000C75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6A9E">
        <w:rPr>
          <w:rFonts w:ascii="Times New Roman" w:eastAsia="Times New Roman" w:hAnsi="Times New Roman" w:cs="Times New Roman"/>
          <w:b/>
          <w:sz w:val="24"/>
          <w:szCs w:val="24"/>
          <w:lang w:eastAsia="ru-RU"/>
        </w:rPr>
        <w:t>Рис. 4</w:t>
      </w:r>
      <w:r w:rsidR="000C75EE" w:rsidRPr="00626A9E">
        <w:rPr>
          <w:rFonts w:ascii="Times New Roman" w:eastAsia="Times New Roman" w:hAnsi="Times New Roman" w:cs="Times New Roman"/>
          <w:b/>
          <w:sz w:val="24"/>
          <w:szCs w:val="24"/>
          <w:lang w:eastAsia="ru-RU"/>
        </w:rPr>
        <w:t xml:space="preserve"> – Просроченная задолженность по заработной плате на начало </w:t>
      </w:r>
      <w:r w:rsidR="000C75EE" w:rsidRPr="00626A9E">
        <w:rPr>
          <w:rFonts w:ascii="Times New Roman" w:eastAsia="Times New Roman" w:hAnsi="Times New Roman" w:cs="Times New Roman"/>
          <w:b/>
          <w:sz w:val="24"/>
          <w:szCs w:val="24"/>
          <w:lang w:eastAsia="ru-RU"/>
        </w:rPr>
        <w:br/>
        <w:t>месяца, млн. рублей</w:t>
      </w:r>
    </w:p>
    <w:p w:rsidR="000C75EE" w:rsidRPr="00BE4E86" w:rsidRDefault="000C75EE" w:rsidP="000C75EE">
      <w:pPr>
        <w:widowControl w:val="0"/>
        <w:autoSpaceDE w:val="0"/>
        <w:autoSpaceDN w:val="0"/>
        <w:adjustRightInd w:val="0"/>
        <w:spacing w:after="0" w:line="240" w:lineRule="auto"/>
        <w:jc w:val="center"/>
        <w:rPr>
          <w:rFonts w:ascii="Times New Roman" w:eastAsia="Times New Roman" w:hAnsi="Times New Roman" w:cs="Times New Roman"/>
          <w:b/>
          <w:sz w:val="12"/>
          <w:szCs w:val="24"/>
          <w:lang w:eastAsia="ru-RU"/>
        </w:rPr>
      </w:pPr>
    </w:p>
    <w:p w:rsidR="000C75EE" w:rsidRPr="00626A9E" w:rsidRDefault="0022323D" w:rsidP="00E079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26A9E">
        <w:rPr>
          <w:rFonts w:ascii="Times New Roman" w:eastAsia="Times New Roman" w:hAnsi="Times New Roman" w:cs="Times New Roman"/>
          <w:sz w:val="24"/>
          <w:szCs w:val="24"/>
          <w:u w:val="single"/>
          <w:lang w:eastAsia="ru-RU"/>
        </w:rPr>
        <w:t>1.1.4. Социальная поддержка населения.</w:t>
      </w:r>
    </w:p>
    <w:p w:rsidR="00BD37C5" w:rsidRPr="00AD0E51" w:rsidRDefault="00BD37C5" w:rsidP="00BD37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E51">
        <w:rPr>
          <w:rFonts w:ascii="Times New Roman" w:eastAsia="Times New Roman" w:hAnsi="Times New Roman" w:cs="Times New Roman"/>
          <w:i/>
          <w:sz w:val="24"/>
          <w:szCs w:val="24"/>
          <w:lang w:eastAsia="ru-RU"/>
        </w:rPr>
        <w:t>Расходы консолидированного бюджета за январь-декабрь 201</w:t>
      </w:r>
      <w:r w:rsidR="00626A9E" w:rsidRPr="00AD0E51">
        <w:rPr>
          <w:rFonts w:ascii="Times New Roman" w:eastAsia="Times New Roman" w:hAnsi="Times New Roman" w:cs="Times New Roman"/>
          <w:i/>
          <w:sz w:val="24"/>
          <w:szCs w:val="24"/>
          <w:lang w:eastAsia="ru-RU"/>
        </w:rPr>
        <w:t>5</w:t>
      </w:r>
      <w:r w:rsidRPr="00AD0E51">
        <w:rPr>
          <w:rFonts w:ascii="Times New Roman" w:eastAsia="Times New Roman" w:hAnsi="Times New Roman" w:cs="Times New Roman"/>
          <w:i/>
          <w:sz w:val="24"/>
          <w:szCs w:val="24"/>
          <w:lang w:eastAsia="ru-RU"/>
        </w:rPr>
        <w:t xml:space="preserve"> года на оказание мер социальной поддержки в части расходных обязательств субъекта Российской Федерации</w:t>
      </w:r>
      <w:r w:rsidRPr="00AD0E51">
        <w:rPr>
          <w:rFonts w:ascii="Times New Roman" w:eastAsia="Times New Roman" w:hAnsi="Times New Roman" w:cs="Times New Roman"/>
          <w:sz w:val="24"/>
          <w:szCs w:val="24"/>
          <w:lang w:eastAsia="ru-RU"/>
        </w:rPr>
        <w:t xml:space="preserve"> составили </w:t>
      </w:r>
      <w:r w:rsidR="00AD0E51" w:rsidRPr="00AD0E51">
        <w:rPr>
          <w:rFonts w:ascii="Times New Roman" w:eastAsia="Times New Roman" w:hAnsi="Times New Roman" w:cs="Times New Roman"/>
          <w:sz w:val="24"/>
          <w:szCs w:val="24"/>
          <w:lang w:eastAsia="ru-RU"/>
        </w:rPr>
        <w:t>4790710</w:t>
      </w:r>
      <w:r w:rsidRPr="00AD0E51">
        <w:rPr>
          <w:rFonts w:ascii="Times New Roman" w:eastAsia="Times New Roman" w:hAnsi="Times New Roman" w:cs="Times New Roman"/>
          <w:sz w:val="24"/>
          <w:szCs w:val="24"/>
          <w:lang w:eastAsia="ru-RU"/>
        </w:rPr>
        <w:t xml:space="preserve">,0 тыс. рублей, в том числе денежные выплаты – </w:t>
      </w:r>
      <w:r w:rsidR="00AD0E51" w:rsidRPr="00AD0E51">
        <w:rPr>
          <w:rFonts w:ascii="Times New Roman" w:eastAsia="Times New Roman" w:hAnsi="Times New Roman" w:cs="Times New Roman"/>
          <w:sz w:val="24"/>
          <w:szCs w:val="24"/>
          <w:lang w:eastAsia="ru-RU"/>
        </w:rPr>
        <w:t>175394</w:t>
      </w:r>
      <w:r w:rsidRPr="00AD0E51">
        <w:rPr>
          <w:rFonts w:ascii="Times New Roman" w:eastAsia="Times New Roman" w:hAnsi="Times New Roman" w:cs="Times New Roman"/>
          <w:sz w:val="24"/>
          <w:szCs w:val="24"/>
          <w:lang w:eastAsia="ru-RU"/>
        </w:rPr>
        <w:t>,0 тыс. рублей.</w:t>
      </w:r>
    </w:p>
    <w:p w:rsidR="00415A49" w:rsidRPr="00520125" w:rsidRDefault="00415A49" w:rsidP="00BD37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125">
        <w:rPr>
          <w:rFonts w:ascii="Times New Roman" w:eastAsia="Times New Roman" w:hAnsi="Times New Roman" w:cs="Times New Roman"/>
          <w:sz w:val="24"/>
          <w:szCs w:val="24"/>
          <w:lang w:eastAsia="ru-RU"/>
        </w:rPr>
        <w:t>В 201</w:t>
      </w:r>
      <w:r w:rsidR="00520125" w:rsidRPr="00520125">
        <w:rPr>
          <w:rFonts w:ascii="Times New Roman" w:eastAsia="Times New Roman" w:hAnsi="Times New Roman" w:cs="Times New Roman"/>
          <w:sz w:val="24"/>
          <w:szCs w:val="24"/>
          <w:lang w:eastAsia="ru-RU"/>
        </w:rPr>
        <w:t>5</w:t>
      </w:r>
      <w:r w:rsidRPr="00520125">
        <w:rPr>
          <w:rFonts w:ascii="Times New Roman" w:eastAsia="Times New Roman" w:hAnsi="Times New Roman" w:cs="Times New Roman"/>
          <w:sz w:val="24"/>
          <w:szCs w:val="24"/>
          <w:lang w:eastAsia="ru-RU"/>
        </w:rPr>
        <w:t xml:space="preserve"> году увеличилось количество получателей мер социальной поддержки за счет средств консолидированного бюджета Амурской области по следующим категориям:</w:t>
      </w:r>
    </w:p>
    <w:p w:rsidR="00415A49" w:rsidRPr="00520125" w:rsidRDefault="00520125" w:rsidP="00F60552">
      <w:pPr>
        <w:pStyle w:val="afa"/>
        <w:numPr>
          <w:ilvl w:val="0"/>
          <w:numId w:val="3"/>
        </w:numPr>
        <w:tabs>
          <w:tab w:val="left" w:pos="851"/>
        </w:tabs>
        <w:ind w:left="0" w:firstLine="709"/>
        <w:jc w:val="both"/>
        <w:rPr>
          <w:sz w:val="24"/>
          <w:szCs w:val="24"/>
        </w:rPr>
      </w:pPr>
      <w:r w:rsidRPr="00520125">
        <w:rPr>
          <w:sz w:val="24"/>
          <w:szCs w:val="24"/>
        </w:rPr>
        <w:t xml:space="preserve">реабилитированные лица и лица, признанные пострадавшими от политических репрессий </w:t>
      </w:r>
      <w:r w:rsidR="00415A49" w:rsidRPr="00520125">
        <w:rPr>
          <w:sz w:val="24"/>
          <w:szCs w:val="24"/>
        </w:rPr>
        <w:t xml:space="preserve">– число получателей составило </w:t>
      </w:r>
      <w:r w:rsidRPr="00520125">
        <w:rPr>
          <w:sz w:val="24"/>
          <w:szCs w:val="24"/>
        </w:rPr>
        <w:t>1251</w:t>
      </w:r>
      <w:r w:rsidR="00415A49" w:rsidRPr="00520125">
        <w:rPr>
          <w:sz w:val="24"/>
          <w:szCs w:val="24"/>
        </w:rPr>
        <w:t xml:space="preserve"> человек (больше, чем в 201</w:t>
      </w:r>
      <w:r w:rsidRPr="00520125">
        <w:rPr>
          <w:sz w:val="24"/>
          <w:szCs w:val="24"/>
        </w:rPr>
        <w:t>4</w:t>
      </w:r>
      <w:r w:rsidR="00415A49" w:rsidRPr="00520125">
        <w:rPr>
          <w:sz w:val="24"/>
          <w:szCs w:val="24"/>
        </w:rPr>
        <w:t xml:space="preserve"> году </w:t>
      </w:r>
      <w:r w:rsidR="00BE4E86">
        <w:rPr>
          <w:sz w:val="24"/>
          <w:szCs w:val="24"/>
        </w:rPr>
        <w:br/>
      </w:r>
      <w:r w:rsidR="00415A49" w:rsidRPr="00520125">
        <w:rPr>
          <w:sz w:val="24"/>
          <w:szCs w:val="24"/>
        </w:rPr>
        <w:t xml:space="preserve">на </w:t>
      </w:r>
      <w:r w:rsidRPr="00520125">
        <w:rPr>
          <w:sz w:val="24"/>
          <w:szCs w:val="24"/>
        </w:rPr>
        <w:t>34</w:t>
      </w:r>
      <w:r w:rsidR="00415A49" w:rsidRPr="00520125">
        <w:rPr>
          <w:sz w:val="24"/>
          <w:szCs w:val="24"/>
        </w:rPr>
        <w:t xml:space="preserve"> человек</w:t>
      </w:r>
      <w:r w:rsidRPr="00520125">
        <w:rPr>
          <w:sz w:val="24"/>
          <w:szCs w:val="24"/>
        </w:rPr>
        <w:t>а</w:t>
      </w:r>
      <w:r w:rsidR="00415A49" w:rsidRPr="00520125">
        <w:rPr>
          <w:sz w:val="24"/>
          <w:szCs w:val="24"/>
        </w:rPr>
        <w:t>);</w:t>
      </w:r>
    </w:p>
    <w:p w:rsidR="00520125" w:rsidRPr="00520125" w:rsidRDefault="00520125" w:rsidP="00BE4E86">
      <w:pPr>
        <w:pStyle w:val="afa"/>
        <w:numPr>
          <w:ilvl w:val="0"/>
          <w:numId w:val="3"/>
        </w:numPr>
        <w:tabs>
          <w:tab w:val="left" w:pos="851"/>
        </w:tabs>
        <w:ind w:left="0" w:firstLine="709"/>
        <w:jc w:val="both"/>
        <w:rPr>
          <w:sz w:val="24"/>
          <w:szCs w:val="24"/>
        </w:rPr>
      </w:pPr>
      <w:r w:rsidRPr="00520125">
        <w:rPr>
          <w:sz w:val="24"/>
          <w:szCs w:val="24"/>
        </w:rPr>
        <w:t>пенсионеры из числа бывших государственных служащих – 586 человек (больше, чем в 2014 году на 11 человек);</w:t>
      </w:r>
    </w:p>
    <w:p w:rsidR="00520125" w:rsidRPr="00520125" w:rsidRDefault="00520125" w:rsidP="00F60552">
      <w:pPr>
        <w:pStyle w:val="afa"/>
        <w:numPr>
          <w:ilvl w:val="0"/>
          <w:numId w:val="3"/>
        </w:numPr>
        <w:tabs>
          <w:tab w:val="left" w:pos="851"/>
        </w:tabs>
        <w:ind w:hanging="219"/>
        <w:jc w:val="both"/>
        <w:rPr>
          <w:sz w:val="24"/>
          <w:szCs w:val="24"/>
        </w:rPr>
      </w:pPr>
      <w:r w:rsidRPr="00520125">
        <w:rPr>
          <w:sz w:val="24"/>
          <w:szCs w:val="24"/>
        </w:rPr>
        <w:lastRenderedPageBreak/>
        <w:t>доноры – 2081 человек (больше, чем в 2014 году на 25 человек);</w:t>
      </w:r>
    </w:p>
    <w:p w:rsidR="00520125" w:rsidRPr="00520125" w:rsidRDefault="00520125" w:rsidP="00F60552">
      <w:pPr>
        <w:pStyle w:val="afa"/>
        <w:numPr>
          <w:ilvl w:val="0"/>
          <w:numId w:val="3"/>
        </w:numPr>
        <w:tabs>
          <w:tab w:val="left" w:pos="851"/>
        </w:tabs>
        <w:ind w:left="0" w:firstLine="709"/>
        <w:jc w:val="both"/>
        <w:rPr>
          <w:sz w:val="24"/>
          <w:szCs w:val="24"/>
        </w:rPr>
      </w:pPr>
      <w:r w:rsidRPr="00520125">
        <w:rPr>
          <w:sz w:val="24"/>
          <w:szCs w:val="24"/>
        </w:rPr>
        <w:t>ветераны военной службы – 1637 человек (больше, чем в 2014 году на 227 человек).</w:t>
      </w:r>
    </w:p>
    <w:p w:rsidR="00415A49" w:rsidRPr="00520125" w:rsidRDefault="00520125" w:rsidP="00415A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125">
        <w:rPr>
          <w:rFonts w:ascii="Times New Roman" w:eastAsia="Times New Roman" w:hAnsi="Times New Roman" w:cs="Times New Roman"/>
          <w:sz w:val="24"/>
          <w:szCs w:val="24"/>
          <w:lang w:eastAsia="ru-RU"/>
        </w:rPr>
        <w:t>Кроме того, в 2015</w:t>
      </w:r>
      <w:r w:rsidR="00415A49" w:rsidRPr="00520125">
        <w:rPr>
          <w:rFonts w:ascii="Times New Roman" w:eastAsia="Times New Roman" w:hAnsi="Times New Roman" w:cs="Times New Roman"/>
          <w:sz w:val="24"/>
          <w:szCs w:val="24"/>
          <w:lang w:eastAsia="ru-RU"/>
        </w:rPr>
        <w:t xml:space="preserve"> году за счет бюджетных средств </w:t>
      </w:r>
      <w:r w:rsidR="00415A49" w:rsidRPr="00520125">
        <w:rPr>
          <w:rFonts w:ascii="Times New Roman" w:eastAsia="Times New Roman" w:hAnsi="Times New Roman" w:cs="Times New Roman"/>
          <w:i/>
          <w:sz w:val="24"/>
          <w:szCs w:val="24"/>
          <w:lang w:eastAsia="ru-RU"/>
        </w:rPr>
        <w:t>единовременную денежную выплату получили</w:t>
      </w:r>
      <w:r w:rsidR="00415A49" w:rsidRPr="00520125">
        <w:rPr>
          <w:rFonts w:ascii="Times New Roman" w:eastAsia="Times New Roman" w:hAnsi="Times New Roman" w:cs="Times New Roman"/>
          <w:sz w:val="24"/>
          <w:szCs w:val="24"/>
          <w:lang w:eastAsia="ru-RU"/>
        </w:rPr>
        <w:t>:</w:t>
      </w:r>
    </w:p>
    <w:p w:rsidR="00415A49" w:rsidRPr="00520125" w:rsidRDefault="00520125" w:rsidP="00F60552">
      <w:pPr>
        <w:pStyle w:val="afa"/>
        <w:numPr>
          <w:ilvl w:val="0"/>
          <w:numId w:val="4"/>
        </w:numPr>
        <w:tabs>
          <w:tab w:val="left" w:pos="851"/>
        </w:tabs>
        <w:ind w:left="0" w:firstLine="709"/>
        <w:jc w:val="both"/>
        <w:rPr>
          <w:sz w:val="24"/>
          <w:szCs w:val="24"/>
        </w:rPr>
      </w:pPr>
      <w:r w:rsidRPr="00520125">
        <w:rPr>
          <w:sz w:val="24"/>
          <w:szCs w:val="24"/>
        </w:rPr>
        <w:t>944</w:t>
      </w:r>
      <w:r w:rsidR="00415A49" w:rsidRPr="00520125">
        <w:rPr>
          <w:sz w:val="24"/>
          <w:szCs w:val="24"/>
        </w:rPr>
        <w:t xml:space="preserve"> инвалидов войны (больше, чем в 201</w:t>
      </w:r>
      <w:r w:rsidRPr="00520125">
        <w:rPr>
          <w:sz w:val="24"/>
          <w:szCs w:val="24"/>
        </w:rPr>
        <w:t>4</w:t>
      </w:r>
      <w:r w:rsidR="00415A49" w:rsidRPr="00520125">
        <w:rPr>
          <w:sz w:val="24"/>
          <w:szCs w:val="24"/>
        </w:rPr>
        <w:t xml:space="preserve"> году на </w:t>
      </w:r>
      <w:r w:rsidRPr="00520125">
        <w:rPr>
          <w:sz w:val="24"/>
          <w:szCs w:val="24"/>
        </w:rPr>
        <w:t>96 человек</w:t>
      </w:r>
      <w:r w:rsidR="00415A49" w:rsidRPr="00520125">
        <w:rPr>
          <w:sz w:val="24"/>
          <w:szCs w:val="24"/>
        </w:rPr>
        <w:t>);</w:t>
      </w:r>
    </w:p>
    <w:p w:rsidR="00415A49" w:rsidRPr="00520125" w:rsidRDefault="00520125" w:rsidP="00F60552">
      <w:pPr>
        <w:pStyle w:val="afa"/>
        <w:numPr>
          <w:ilvl w:val="0"/>
          <w:numId w:val="4"/>
        </w:numPr>
        <w:tabs>
          <w:tab w:val="left" w:pos="851"/>
        </w:tabs>
        <w:ind w:left="0" w:firstLine="709"/>
        <w:jc w:val="both"/>
        <w:rPr>
          <w:sz w:val="24"/>
          <w:szCs w:val="24"/>
        </w:rPr>
      </w:pPr>
      <w:r w:rsidRPr="00520125">
        <w:rPr>
          <w:sz w:val="24"/>
          <w:szCs w:val="24"/>
        </w:rPr>
        <w:t>14731</w:t>
      </w:r>
      <w:r w:rsidR="00415A49" w:rsidRPr="00520125">
        <w:rPr>
          <w:sz w:val="24"/>
          <w:szCs w:val="24"/>
        </w:rPr>
        <w:t xml:space="preserve"> детей из малоимущих семей (больше, чем в 201</w:t>
      </w:r>
      <w:r w:rsidRPr="00520125">
        <w:rPr>
          <w:sz w:val="24"/>
          <w:szCs w:val="24"/>
        </w:rPr>
        <w:t>4</w:t>
      </w:r>
      <w:r w:rsidR="00415A49" w:rsidRPr="00520125">
        <w:rPr>
          <w:sz w:val="24"/>
          <w:szCs w:val="24"/>
        </w:rPr>
        <w:t xml:space="preserve"> году на </w:t>
      </w:r>
      <w:r w:rsidRPr="00520125">
        <w:rPr>
          <w:sz w:val="24"/>
          <w:szCs w:val="24"/>
        </w:rPr>
        <w:t>1300</w:t>
      </w:r>
      <w:r>
        <w:rPr>
          <w:sz w:val="24"/>
          <w:szCs w:val="24"/>
        </w:rPr>
        <w:t xml:space="preserve"> человек).</w:t>
      </w:r>
    </w:p>
    <w:p w:rsidR="0029038A" w:rsidRPr="00D83757" w:rsidRDefault="0029038A" w:rsidP="008C19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757">
        <w:rPr>
          <w:rFonts w:ascii="Times New Roman" w:eastAsia="Times New Roman" w:hAnsi="Times New Roman" w:cs="Times New Roman"/>
          <w:sz w:val="24"/>
          <w:szCs w:val="24"/>
          <w:lang w:eastAsia="ru-RU"/>
        </w:rPr>
        <w:t>За январь-декабрь 201</w:t>
      </w:r>
      <w:r w:rsidR="00B00992">
        <w:rPr>
          <w:rFonts w:ascii="Times New Roman" w:eastAsia="Times New Roman" w:hAnsi="Times New Roman" w:cs="Times New Roman"/>
          <w:sz w:val="24"/>
          <w:szCs w:val="24"/>
          <w:lang w:eastAsia="ru-RU"/>
        </w:rPr>
        <w:t>5</w:t>
      </w:r>
      <w:r w:rsidRPr="00D83757">
        <w:rPr>
          <w:rFonts w:ascii="Times New Roman" w:eastAsia="Times New Roman" w:hAnsi="Times New Roman" w:cs="Times New Roman"/>
          <w:sz w:val="24"/>
          <w:szCs w:val="24"/>
          <w:lang w:eastAsia="ru-RU"/>
        </w:rPr>
        <w:t xml:space="preserve"> года </w:t>
      </w:r>
      <w:r w:rsidRPr="00D83757">
        <w:rPr>
          <w:rFonts w:ascii="Times New Roman" w:eastAsia="Times New Roman" w:hAnsi="Times New Roman" w:cs="Times New Roman"/>
          <w:i/>
          <w:sz w:val="24"/>
          <w:szCs w:val="24"/>
          <w:lang w:eastAsia="ru-RU"/>
        </w:rPr>
        <w:t>общая численность граждан, пользующихся социальной поддержкой по оплате жилья и коммунальных услуг в денежной форме</w:t>
      </w:r>
      <w:r w:rsidRPr="00D83757">
        <w:rPr>
          <w:rFonts w:ascii="Times New Roman" w:eastAsia="Times New Roman" w:hAnsi="Times New Roman" w:cs="Times New Roman"/>
          <w:sz w:val="24"/>
          <w:szCs w:val="24"/>
          <w:lang w:eastAsia="ru-RU"/>
        </w:rPr>
        <w:t>, на основании действующег</w:t>
      </w:r>
      <w:r w:rsidR="00D83757" w:rsidRPr="00D83757">
        <w:rPr>
          <w:rFonts w:ascii="Times New Roman" w:eastAsia="Times New Roman" w:hAnsi="Times New Roman" w:cs="Times New Roman"/>
          <w:sz w:val="24"/>
          <w:szCs w:val="24"/>
          <w:lang w:eastAsia="ru-RU"/>
        </w:rPr>
        <w:t>о законодательства составила 188</w:t>
      </w:r>
      <w:r w:rsidRPr="00D83757">
        <w:rPr>
          <w:rFonts w:ascii="Times New Roman" w:eastAsia="Times New Roman" w:hAnsi="Times New Roman" w:cs="Times New Roman"/>
          <w:sz w:val="24"/>
          <w:szCs w:val="24"/>
          <w:lang w:eastAsia="ru-RU"/>
        </w:rPr>
        <w:t>,</w:t>
      </w:r>
      <w:r w:rsidR="00D83757" w:rsidRPr="00D83757">
        <w:rPr>
          <w:rFonts w:ascii="Times New Roman" w:eastAsia="Times New Roman" w:hAnsi="Times New Roman" w:cs="Times New Roman"/>
          <w:sz w:val="24"/>
          <w:szCs w:val="24"/>
          <w:lang w:eastAsia="ru-RU"/>
        </w:rPr>
        <w:t>7</w:t>
      </w:r>
      <w:r w:rsidRPr="00D83757">
        <w:rPr>
          <w:rFonts w:ascii="Times New Roman" w:eastAsia="Times New Roman" w:hAnsi="Times New Roman" w:cs="Times New Roman"/>
          <w:sz w:val="24"/>
          <w:szCs w:val="24"/>
          <w:lang w:eastAsia="ru-RU"/>
        </w:rPr>
        <w:t xml:space="preserve"> тыс. человек (за январь-декабрь 201</w:t>
      </w:r>
      <w:r w:rsidR="00D83757" w:rsidRPr="00D83757">
        <w:rPr>
          <w:rFonts w:ascii="Times New Roman" w:eastAsia="Times New Roman" w:hAnsi="Times New Roman" w:cs="Times New Roman"/>
          <w:sz w:val="24"/>
          <w:szCs w:val="24"/>
          <w:lang w:eastAsia="ru-RU"/>
        </w:rPr>
        <w:t>4</w:t>
      </w:r>
      <w:r w:rsidRPr="00D83757">
        <w:rPr>
          <w:rFonts w:ascii="Times New Roman" w:eastAsia="Times New Roman" w:hAnsi="Times New Roman" w:cs="Times New Roman"/>
          <w:sz w:val="24"/>
          <w:szCs w:val="24"/>
          <w:lang w:eastAsia="ru-RU"/>
        </w:rPr>
        <w:t xml:space="preserve"> года – </w:t>
      </w:r>
      <w:r w:rsidR="00D83757" w:rsidRPr="00D83757">
        <w:rPr>
          <w:rFonts w:ascii="Times New Roman" w:eastAsia="Times New Roman" w:hAnsi="Times New Roman" w:cs="Times New Roman"/>
          <w:sz w:val="24"/>
          <w:szCs w:val="24"/>
          <w:lang w:eastAsia="ru-RU"/>
        </w:rPr>
        <w:t>189,4</w:t>
      </w:r>
      <w:r w:rsidRPr="00D83757">
        <w:rPr>
          <w:rFonts w:ascii="Times New Roman" w:eastAsia="Times New Roman" w:hAnsi="Times New Roman" w:cs="Times New Roman"/>
          <w:sz w:val="24"/>
          <w:szCs w:val="24"/>
          <w:lang w:eastAsia="ru-RU"/>
        </w:rPr>
        <w:t>). Среднемесячный размер социальной поддержки на одного пользов</w:t>
      </w:r>
      <w:r w:rsidR="00D83757" w:rsidRPr="00D83757">
        <w:rPr>
          <w:rFonts w:ascii="Times New Roman" w:eastAsia="Times New Roman" w:hAnsi="Times New Roman" w:cs="Times New Roman"/>
          <w:sz w:val="24"/>
          <w:szCs w:val="24"/>
          <w:lang w:eastAsia="ru-RU"/>
        </w:rPr>
        <w:t>ателя в целом по области за 2015</w:t>
      </w:r>
      <w:r w:rsidRPr="00D83757">
        <w:rPr>
          <w:rFonts w:ascii="Times New Roman" w:eastAsia="Times New Roman" w:hAnsi="Times New Roman" w:cs="Times New Roman"/>
          <w:sz w:val="24"/>
          <w:szCs w:val="24"/>
          <w:lang w:eastAsia="ru-RU"/>
        </w:rPr>
        <w:t xml:space="preserve"> год составил </w:t>
      </w:r>
      <w:r w:rsidR="00D83757" w:rsidRPr="00D83757">
        <w:rPr>
          <w:rFonts w:ascii="Times New Roman" w:eastAsia="Times New Roman" w:hAnsi="Times New Roman" w:cs="Times New Roman"/>
          <w:sz w:val="24"/>
          <w:szCs w:val="24"/>
          <w:lang w:eastAsia="ru-RU"/>
        </w:rPr>
        <w:t xml:space="preserve">966,89 </w:t>
      </w:r>
      <w:r w:rsidRPr="00D83757">
        <w:rPr>
          <w:rFonts w:ascii="Times New Roman" w:eastAsia="Times New Roman" w:hAnsi="Times New Roman" w:cs="Times New Roman"/>
          <w:sz w:val="24"/>
          <w:szCs w:val="24"/>
          <w:lang w:eastAsia="ru-RU"/>
        </w:rPr>
        <w:t xml:space="preserve"> рубля (за январь-декабрь 201</w:t>
      </w:r>
      <w:r w:rsidR="00D83757" w:rsidRPr="00D83757">
        <w:rPr>
          <w:rFonts w:ascii="Times New Roman" w:eastAsia="Times New Roman" w:hAnsi="Times New Roman" w:cs="Times New Roman"/>
          <w:sz w:val="24"/>
          <w:szCs w:val="24"/>
          <w:lang w:eastAsia="ru-RU"/>
        </w:rPr>
        <w:t>4</w:t>
      </w:r>
      <w:r w:rsidRPr="00D83757">
        <w:rPr>
          <w:rFonts w:ascii="Times New Roman" w:eastAsia="Times New Roman" w:hAnsi="Times New Roman" w:cs="Times New Roman"/>
          <w:sz w:val="24"/>
          <w:szCs w:val="24"/>
          <w:lang w:eastAsia="ru-RU"/>
        </w:rPr>
        <w:t xml:space="preserve"> года - </w:t>
      </w:r>
      <w:r w:rsidR="00D83757" w:rsidRPr="00D83757">
        <w:rPr>
          <w:rFonts w:ascii="Times New Roman" w:eastAsia="Times New Roman" w:hAnsi="Times New Roman" w:cs="Times New Roman"/>
          <w:sz w:val="24"/>
          <w:szCs w:val="24"/>
          <w:lang w:eastAsia="ru-RU"/>
        </w:rPr>
        <w:t>945,13</w:t>
      </w:r>
      <w:r w:rsidR="00E81A6A">
        <w:rPr>
          <w:rFonts w:ascii="Times New Roman" w:eastAsia="Times New Roman" w:hAnsi="Times New Roman" w:cs="Times New Roman"/>
          <w:sz w:val="24"/>
          <w:szCs w:val="24"/>
          <w:lang w:eastAsia="ru-RU"/>
        </w:rPr>
        <w:t xml:space="preserve"> рубля).</w:t>
      </w:r>
    </w:p>
    <w:p w:rsidR="008C1951" w:rsidRPr="00D83757" w:rsidRDefault="008C1951" w:rsidP="008C19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757">
        <w:rPr>
          <w:rFonts w:ascii="Times New Roman" w:eastAsia="Times New Roman" w:hAnsi="Times New Roman" w:cs="Times New Roman"/>
          <w:i/>
          <w:sz w:val="24"/>
          <w:szCs w:val="24"/>
          <w:lang w:eastAsia="ru-RU"/>
        </w:rPr>
        <w:t xml:space="preserve">Численность получателей субсидий на оплату жилого помещения и коммунальных услуг </w:t>
      </w:r>
      <w:r w:rsidRPr="00D83757">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14.12.2005 № 761 в январе-декабре 201</w:t>
      </w:r>
      <w:r w:rsidR="00D83757" w:rsidRPr="00D83757">
        <w:rPr>
          <w:rFonts w:ascii="Times New Roman" w:eastAsia="Times New Roman" w:hAnsi="Times New Roman" w:cs="Times New Roman"/>
          <w:sz w:val="24"/>
          <w:szCs w:val="24"/>
          <w:lang w:eastAsia="ru-RU"/>
        </w:rPr>
        <w:t>5</w:t>
      </w:r>
      <w:r w:rsidRPr="00D83757">
        <w:rPr>
          <w:rFonts w:ascii="Times New Roman" w:eastAsia="Times New Roman" w:hAnsi="Times New Roman" w:cs="Times New Roman"/>
          <w:sz w:val="24"/>
          <w:szCs w:val="24"/>
          <w:lang w:eastAsia="ru-RU"/>
        </w:rPr>
        <w:t xml:space="preserve"> года составила </w:t>
      </w:r>
      <w:r w:rsidR="008A0DA0" w:rsidRPr="00D83757">
        <w:rPr>
          <w:rFonts w:ascii="Times New Roman" w:eastAsia="Times New Roman" w:hAnsi="Times New Roman" w:cs="Times New Roman"/>
          <w:sz w:val="24"/>
          <w:szCs w:val="24"/>
          <w:lang w:eastAsia="ru-RU"/>
        </w:rPr>
        <w:t>44,</w:t>
      </w:r>
      <w:r w:rsidR="00D83757" w:rsidRPr="00D83757">
        <w:rPr>
          <w:rFonts w:ascii="Times New Roman" w:eastAsia="Times New Roman" w:hAnsi="Times New Roman" w:cs="Times New Roman"/>
          <w:sz w:val="24"/>
          <w:szCs w:val="24"/>
          <w:lang w:eastAsia="ru-RU"/>
        </w:rPr>
        <w:t>1</w:t>
      </w:r>
      <w:r w:rsidR="008A0DA0" w:rsidRPr="00D83757">
        <w:rPr>
          <w:rFonts w:ascii="Times New Roman" w:eastAsia="Times New Roman" w:hAnsi="Times New Roman" w:cs="Times New Roman"/>
          <w:sz w:val="24"/>
          <w:szCs w:val="24"/>
          <w:lang w:eastAsia="ru-RU"/>
        </w:rPr>
        <w:t xml:space="preserve"> </w:t>
      </w:r>
      <w:r w:rsidRPr="00D83757">
        <w:rPr>
          <w:rFonts w:ascii="Times New Roman" w:eastAsia="Times New Roman" w:hAnsi="Times New Roman" w:cs="Times New Roman"/>
          <w:sz w:val="24"/>
          <w:szCs w:val="24"/>
          <w:lang w:eastAsia="ru-RU"/>
        </w:rPr>
        <w:t xml:space="preserve">тыс. семей, или </w:t>
      </w:r>
      <w:r w:rsidR="008A0DA0" w:rsidRPr="00D83757">
        <w:rPr>
          <w:rFonts w:ascii="Times New Roman" w:eastAsia="Times New Roman" w:hAnsi="Times New Roman" w:cs="Times New Roman"/>
          <w:sz w:val="24"/>
          <w:szCs w:val="24"/>
          <w:lang w:eastAsia="ru-RU"/>
        </w:rPr>
        <w:t>13,4</w:t>
      </w:r>
      <w:r w:rsidRPr="00D83757">
        <w:rPr>
          <w:rFonts w:ascii="Times New Roman" w:eastAsia="Times New Roman" w:hAnsi="Times New Roman" w:cs="Times New Roman"/>
          <w:sz w:val="24"/>
          <w:szCs w:val="24"/>
          <w:lang w:eastAsia="ru-RU"/>
        </w:rPr>
        <w:t xml:space="preserve"> процента от всех семей, проживающих в области (</w:t>
      </w:r>
      <w:r w:rsidR="00D83757" w:rsidRPr="00D83757">
        <w:rPr>
          <w:rFonts w:ascii="Times New Roman" w:eastAsia="Times New Roman" w:hAnsi="Times New Roman" w:cs="Times New Roman"/>
          <w:sz w:val="24"/>
          <w:szCs w:val="24"/>
          <w:lang w:eastAsia="ru-RU"/>
        </w:rPr>
        <w:t xml:space="preserve">за аналогичный период 2014 </w:t>
      </w:r>
      <w:r w:rsidR="008A0DA0" w:rsidRPr="00D83757">
        <w:rPr>
          <w:rFonts w:ascii="Times New Roman" w:eastAsia="Times New Roman" w:hAnsi="Times New Roman" w:cs="Times New Roman"/>
          <w:sz w:val="24"/>
          <w:szCs w:val="24"/>
          <w:lang w:eastAsia="ru-RU"/>
        </w:rPr>
        <w:t>г. – 1</w:t>
      </w:r>
      <w:r w:rsidR="00D83757" w:rsidRPr="00D83757">
        <w:rPr>
          <w:rFonts w:ascii="Times New Roman" w:eastAsia="Times New Roman" w:hAnsi="Times New Roman" w:cs="Times New Roman"/>
          <w:sz w:val="24"/>
          <w:szCs w:val="24"/>
          <w:lang w:eastAsia="ru-RU"/>
        </w:rPr>
        <w:t>3</w:t>
      </w:r>
      <w:r w:rsidR="008A0DA0" w:rsidRPr="00D83757">
        <w:rPr>
          <w:rFonts w:ascii="Times New Roman" w:eastAsia="Times New Roman" w:hAnsi="Times New Roman" w:cs="Times New Roman"/>
          <w:sz w:val="24"/>
          <w:szCs w:val="24"/>
          <w:lang w:eastAsia="ru-RU"/>
        </w:rPr>
        <w:t>,</w:t>
      </w:r>
      <w:r w:rsidR="00D83757" w:rsidRPr="00D83757">
        <w:rPr>
          <w:rFonts w:ascii="Times New Roman" w:eastAsia="Times New Roman" w:hAnsi="Times New Roman" w:cs="Times New Roman"/>
          <w:sz w:val="24"/>
          <w:szCs w:val="24"/>
          <w:lang w:eastAsia="ru-RU"/>
        </w:rPr>
        <w:t>4</w:t>
      </w:r>
      <w:r w:rsidR="008A0DA0" w:rsidRPr="00D83757">
        <w:rPr>
          <w:rFonts w:ascii="Times New Roman" w:eastAsia="Times New Roman" w:hAnsi="Times New Roman" w:cs="Times New Roman"/>
          <w:sz w:val="24"/>
          <w:szCs w:val="24"/>
          <w:lang w:eastAsia="ru-RU"/>
        </w:rPr>
        <w:t xml:space="preserve"> процента</w:t>
      </w:r>
      <w:r w:rsidRPr="00D83757">
        <w:rPr>
          <w:rFonts w:ascii="Times New Roman" w:eastAsia="Times New Roman" w:hAnsi="Times New Roman" w:cs="Times New Roman"/>
          <w:sz w:val="24"/>
          <w:szCs w:val="24"/>
          <w:lang w:eastAsia="ru-RU"/>
        </w:rPr>
        <w:t>).</w:t>
      </w:r>
      <w:r w:rsidRPr="00D83757">
        <w:t xml:space="preserve"> </w:t>
      </w:r>
      <w:r w:rsidRPr="00D83757">
        <w:rPr>
          <w:rFonts w:ascii="Times New Roman" w:eastAsia="Times New Roman" w:hAnsi="Times New Roman" w:cs="Times New Roman"/>
          <w:sz w:val="24"/>
          <w:szCs w:val="24"/>
          <w:lang w:eastAsia="ru-RU"/>
        </w:rPr>
        <w:t xml:space="preserve">Среднемесячный размер субсидий на одну семью составил </w:t>
      </w:r>
      <w:r w:rsidR="00D83757" w:rsidRPr="00D83757">
        <w:rPr>
          <w:rFonts w:ascii="Times New Roman" w:eastAsia="Times New Roman" w:hAnsi="Times New Roman" w:cs="Times New Roman"/>
          <w:sz w:val="24"/>
          <w:szCs w:val="24"/>
          <w:lang w:eastAsia="ru-RU"/>
        </w:rPr>
        <w:t>1871,21</w:t>
      </w:r>
      <w:r w:rsidRPr="00D83757">
        <w:rPr>
          <w:rFonts w:ascii="Times New Roman" w:eastAsia="Times New Roman" w:hAnsi="Times New Roman" w:cs="Times New Roman"/>
          <w:sz w:val="24"/>
          <w:szCs w:val="24"/>
          <w:lang w:eastAsia="ru-RU"/>
        </w:rPr>
        <w:t xml:space="preserve"> рубля, и у</w:t>
      </w:r>
      <w:r w:rsidR="008A0DA0" w:rsidRPr="00D83757">
        <w:rPr>
          <w:rFonts w:ascii="Times New Roman" w:eastAsia="Times New Roman" w:hAnsi="Times New Roman" w:cs="Times New Roman"/>
          <w:sz w:val="24"/>
          <w:szCs w:val="24"/>
          <w:lang w:eastAsia="ru-RU"/>
        </w:rPr>
        <w:t>меньшился</w:t>
      </w:r>
      <w:r w:rsidRPr="00D83757">
        <w:rPr>
          <w:rFonts w:ascii="Times New Roman" w:eastAsia="Times New Roman" w:hAnsi="Times New Roman" w:cs="Times New Roman"/>
          <w:sz w:val="24"/>
          <w:szCs w:val="24"/>
          <w:lang w:eastAsia="ru-RU"/>
        </w:rPr>
        <w:t xml:space="preserve"> по с</w:t>
      </w:r>
      <w:r w:rsidR="008A0DA0" w:rsidRPr="00D83757">
        <w:rPr>
          <w:rFonts w:ascii="Times New Roman" w:eastAsia="Times New Roman" w:hAnsi="Times New Roman" w:cs="Times New Roman"/>
          <w:sz w:val="24"/>
          <w:szCs w:val="24"/>
          <w:lang w:eastAsia="ru-RU"/>
        </w:rPr>
        <w:t>равнению с январем-декабрем 201</w:t>
      </w:r>
      <w:r w:rsidR="00D83757" w:rsidRPr="00D83757">
        <w:rPr>
          <w:rFonts w:ascii="Times New Roman" w:eastAsia="Times New Roman" w:hAnsi="Times New Roman" w:cs="Times New Roman"/>
          <w:sz w:val="24"/>
          <w:szCs w:val="24"/>
          <w:lang w:eastAsia="ru-RU"/>
        </w:rPr>
        <w:t>4</w:t>
      </w:r>
      <w:r w:rsidRPr="00D83757">
        <w:rPr>
          <w:rFonts w:ascii="Times New Roman" w:eastAsia="Times New Roman" w:hAnsi="Times New Roman" w:cs="Times New Roman"/>
          <w:sz w:val="24"/>
          <w:szCs w:val="24"/>
          <w:lang w:eastAsia="ru-RU"/>
        </w:rPr>
        <w:t xml:space="preserve"> года на </w:t>
      </w:r>
      <w:r w:rsidR="00D83757" w:rsidRPr="00D83757">
        <w:rPr>
          <w:rFonts w:ascii="Times New Roman" w:eastAsia="Times New Roman" w:hAnsi="Times New Roman" w:cs="Times New Roman"/>
          <w:sz w:val="24"/>
          <w:szCs w:val="24"/>
          <w:lang w:eastAsia="ru-RU"/>
        </w:rPr>
        <w:t>6</w:t>
      </w:r>
      <w:r w:rsidR="008A0DA0" w:rsidRPr="00D83757">
        <w:rPr>
          <w:rFonts w:ascii="Times New Roman" w:eastAsia="Times New Roman" w:hAnsi="Times New Roman" w:cs="Times New Roman"/>
          <w:sz w:val="24"/>
          <w:szCs w:val="24"/>
          <w:lang w:eastAsia="ru-RU"/>
        </w:rPr>
        <w:t>,6</w:t>
      </w:r>
      <w:r w:rsidRPr="00D83757">
        <w:rPr>
          <w:rFonts w:ascii="Times New Roman" w:eastAsia="Times New Roman" w:hAnsi="Times New Roman" w:cs="Times New Roman"/>
          <w:sz w:val="24"/>
          <w:szCs w:val="24"/>
          <w:lang w:eastAsia="ru-RU"/>
        </w:rPr>
        <w:t xml:space="preserve"> процента.</w:t>
      </w:r>
    </w:p>
    <w:p w:rsidR="00086906" w:rsidRPr="00B234B5" w:rsidRDefault="00086906" w:rsidP="008C19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34B5">
        <w:rPr>
          <w:rFonts w:ascii="Times New Roman" w:eastAsia="Times New Roman" w:hAnsi="Times New Roman" w:cs="Times New Roman"/>
          <w:sz w:val="24"/>
          <w:szCs w:val="24"/>
          <w:lang w:eastAsia="ru-RU"/>
        </w:rPr>
        <w:t>В 201</w:t>
      </w:r>
      <w:r w:rsidR="00B234B5" w:rsidRPr="00B234B5">
        <w:rPr>
          <w:rFonts w:ascii="Times New Roman" w:eastAsia="Times New Roman" w:hAnsi="Times New Roman" w:cs="Times New Roman"/>
          <w:sz w:val="24"/>
          <w:szCs w:val="24"/>
          <w:lang w:eastAsia="ru-RU"/>
        </w:rPr>
        <w:t>5</w:t>
      </w:r>
      <w:r w:rsidRPr="00B234B5">
        <w:rPr>
          <w:rFonts w:ascii="Times New Roman" w:eastAsia="Times New Roman" w:hAnsi="Times New Roman" w:cs="Times New Roman"/>
          <w:sz w:val="24"/>
          <w:szCs w:val="24"/>
          <w:lang w:eastAsia="ru-RU"/>
        </w:rPr>
        <w:t xml:space="preserve"> году </w:t>
      </w:r>
      <w:r w:rsidRPr="00B234B5">
        <w:rPr>
          <w:rFonts w:ascii="Times New Roman" w:eastAsia="Times New Roman" w:hAnsi="Times New Roman" w:cs="Times New Roman"/>
          <w:i/>
          <w:sz w:val="24"/>
          <w:szCs w:val="24"/>
          <w:lang w:eastAsia="ru-RU"/>
        </w:rPr>
        <w:t>капитально отремонтировано</w:t>
      </w:r>
      <w:r w:rsidRPr="00B234B5">
        <w:rPr>
          <w:rFonts w:ascii="Times New Roman" w:eastAsia="Times New Roman" w:hAnsi="Times New Roman" w:cs="Times New Roman"/>
          <w:sz w:val="24"/>
          <w:szCs w:val="24"/>
          <w:lang w:eastAsia="ru-RU"/>
        </w:rPr>
        <w:t xml:space="preserve"> </w:t>
      </w:r>
      <w:r w:rsidR="00B234B5" w:rsidRPr="00B234B5">
        <w:rPr>
          <w:rFonts w:ascii="Times New Roman" w:eastAsia="Times New Roman" w:hAnsi="Times New Roman" w:cs="Times New Roman"/>
          <w:sz w:val="24"/>
          <w:szCs w:val="24"/>
          <w:lang w:eastAsia="ru-RU"/>
        </w:rPr>
        <w:t>0,8</w:t>
      </w:r>
      <w:r w:rsidRPr="00B234B5">
        <w:rPr>
          <w:rFonts w:ascii="Times New Roman" w:eastAsia="Times New Roman" w:hAnsi="Times New Roman" w:cs="Times New Roman"/>
          <w:sz w:val="24"/>
          <w:szCs w:val="24"/>
          <w:lang w:eastAsia="ru-RU"/>
        </w:rPr>
        <w:t xml:space="preserve"> тыс. квадратных метров многоквартирных жилых домов, что </w:t>
      </w:r>
      <w:r w:rsidR="008A0DA0" w:rsidRPr="00B234B5">
        <w:rPr>
          <w:rFonts w:ascii="Times New Roman" w:eastAsia="Times New Roman" w:hAnsi="Times New Roman" w:cs="Times New Roman"/>
          <w:sz w:val="24"/>
          <w:szCs w:val="24"/>
          <w:lang w:eastAsia="ru-RU"/>
        </w:rPr>
        <w:t xml:space="preserve">ниже </w:t>
      </w:r>
      <w:r w:rsidRPr="00B234B5">
        <w:rPr>
          <w:rFonts w:ascii="Times New Roman" w:eastAsia="Times New Roman" w:hAnsi="Times New Roman" w:cs="Times New Roman"/>
          <w:sz w:val="24"/>
          <w:szCs w:val="24"/>
          <w:lang w:eastAsia="ru-RU"/>
        </w:rPr>
        <w:t>уровн</w:t>
      </w:r>
      <w:r w:rsidR="008A0DA0" w:rsidRPr="00B234B5">
        <w:rPr>
          <w:rFonts w:ascii="Times New Roman" w:eastAsia="Times New Roman" w:hAnsi="Times New Roman" w:cs="Times New Roman"/>
          <w:sz w:val="24"/>
          <w:szCs w:val="24"/>
          <w:lang w:eastAsia="ru-RU"/>
        </w:rPr>
        <w:t>я</w:t>
      </w:r>
      <w:r w:rsidRPr="00B234B5">
        <w:rPr>
          <w:rFonts w:ascii="Times New Roman" w:eastAsia="Times New Roman" w:hAnsi="Times New Roman" w:cs="Times New Roman"/>
          <w:sz w:val="24"/>
          <w:szCs w:val="24"/>
          <w:lang w:eastAsia="ru-RU"/>
        </w:rPr>
        <w:t xml:space="preserve"> 201</w:t>
      </w:r>
      <w:r w:rsidR="00B234B5" w:rsidRPr="00B234B5">
        <w:rPr>
          <w:rFonts w:ascii="Times New Roman" w:eastAsia="Times New Roman" w:hAnsi="Times New Roman" w:cs="Times New Roman"/>
          <w:sz w:val="24"/>
          <w:szCs w:val="24"/>
          <w:lang w:eastAsia="ru-RU"/>
        </w:rPr>
        <w:t>4</w:t>
      </w:r>
      <w:r w:rsidRPr="00B234B5">
        <w:rPr>
          <w:rFonts w:ascii="Times New Roman" w:eastAsia="Times New Roman" w:hAnsi="Times New Roman" w:cs="Times New Roman"/>
          <w:sz w:val="24"/>
          <w:szCs w:val="24"/>
          <w:lang w:eastAsia="ru-RU"/>
        </w:rPr>
        <w:t xml:space="preserve"> года на </w:t>
      </w:r>
      <w:r w:rsidR="00B234B5" w:rsidRPr="00B234B5">
        <w:rPr>
          <w:rFonts w:ascii="Times New Roman" w:eastAsia="Times New Roman" w:hAnsi="Times New Roman" w:cs="Times New Roman"/>
          <w:sz w:val="24"/>
          <w:szCs w:val="24"/>
          <w:lang w:eastAsia="ru-RU"/>
        </w:rPr>
        <w:t>95,4</w:t>
      </w:r>
      <w:r w:rsidRPr="00B234B5">
        <w:rPr>
          <w:rFonts w:ascii="Times New Roman" w:eastAsia="Times New Roman" w:hAnsi="Times New Roman" w:cs="Times New Roman"/>
          <w:sz w:val="24"/>
          <w:szCs w:val="24"/>
          <w:lang w:eastAsia="ru-RU"/>
        </w:rPr>
        <w:t xml:space="preserve"> процент</w:t>
      </w:r>
      <w:r w:rsidR="008A0DA0" w:rsidRPr="00B234B5">
        <w:rPr>
          <w:rFonts w:ascii="Times New Roman" w:eastAsia="Times New Roman" w:hAnsi="Times New Roman" w:cs="Times New Roman"/>
          <w:sz w:val="24"/>
          <w:szCs w:val="24"/>
          <w:lang w:eastAsia="ru-RU"/>
        </w:rPr>
        <w:t>а</w:t>
      </w:r>
      <w:r w:rsidRPr="00B234B5">
        <w:rPr>
          <w:rFonts w:ascii="Times New Roman" w:eastAsia="Times New Roman" w:hAnsi="Times New Roman" w:cs="Times New Roman"/>
          <w:sz w:val="24"/>
          <w:szCs w:val="24"/>
          <w:lang w:eastAsia="ru-RU"/>
        </w:rPr>
        <w:t>.</w:t>
      </w:r>
      <w:r w:rsidR="00B4652C" w:rsidRPr="00B234B5">
        <w:rPr>
          <w:rFonts w:ascii="Times New Roman" w:eastAsia="Times New Roman" w:hAnsi="Times New Roman" w:cs="Times New Roman"/>
          <w:sz w:val="24"/>
          <w:szCs w:val="24"/>
          <w:lang w:eastAsia="ru-RU"/>
        </w:rPr>
        <w:t xml:space="preserve"> Общие </w:t>
      </w:r>
      <w:r w:rsidR="00B4652C" w:rsidRPr="00B234B5">
        <w:rPr>
          <w:rFonts w:ascii="Times New Roman" w:eastAsia="Times New Roman" w:hAnsi="Times New Roman" w:cs="Times New Roman"/>
          <w:i/>
          <w:sz w:val="24"/>
          <w:szCs w:val="24"/>
          <w:lang w:eastAsia="ru-RU"/>
        </w:rPr>
        <w:t>затраты на капитальный ремонт многоквартирных жилых домов</w:t>
      </w:r>
      <w:r w:rsidR="00B4652C" w:rsidRPr="00B234B5">
        <w:rPr>
          <w:rFonts w:ascii="Times New Roman" w:eastAsia="Times New Roman" w:hAnsi="Times New Roman" w:cs="Times New Roman"/>
          <w:sz w:val="24"/>
          <w:szCs w:val="24"/>
          <w:lang w:eastAsia="ru-RU"/>
        </w:rPr>
        <w:t xml:space="preserve"> </w:t>
      </w:r>
      <w:r w:rsidR="00012C3C" w:rsidRPr="00B234B5">
        <w:rPr>
          <w:rFonts w:ascii="Times New Roman" w:eastAsia="Times New Roman" w:hAnsi="Times New Roman" w:cs="Times New Roman"/>
          <w:sz w:val="24"/>
          <w:szCs w:val="24"/>
          <w:lang w:eastAsia="ru-RU"/>
        </w:rPr>
        <w:t xml:space="preserve">за счет всех источников финансирования </w:t>
      </w:r>
      <w:r w:rsidR="008A0DA0" w:rsidRPr="00B234B5">
        <w:rPr>
          <w:rFonts w:ascii="Times New Roman" w:eastAsia="Times New Roman" w:hAnsi="Times New Roman" w:cs="Times New Roman"/>
          <w:sz w:val="24"/>
          <w:szCs w:val="24"/>
          <w:lang w:eastAsia="ru-RU"/>
        </w:rPr>
        <w:t>в 201</w:t>
      </w:r>
      <w:r w:rsidR="00B234B5" w:rsidRPr="00B234B5">
        <w:rPr>
          <w:rFonts w:ascii="Times New Roman" w:eastAsia="Times New Roman" w:hAnsi="Times New Roman" w:cs="Times New Roman"/>
          <w:sz w:val="24"/>
          <w:szCs w:val="24"/>
          <w:lang w:eastAsia="ru-RU"/>
        </w:rPr>
        <w:t>5</w:t>
      </w:r>
      <w:r w:rsidR="00B4652C" w:rsidRPr="00B234B5">
        <w:rPr>
          <w:rFonts w:ascii="Times New Roman" w:eastAsia="Times New Roman" w:hAnsi="Times New Roman" w:cs="Times New Roman"/>
          <w:sz w:val="24"/>
          <w:szCs w:val="24"/>
          <w:lang w:eastAsia="ru-RU"/>
        </w:rPr>
        <w:t xml:space="preserve"> году составили </w:t>
      </w:r>
      <w:r w:rsidR="00B234B5" w:rsidRPr="00B234B5">
        <w:rPr>
          <w:rFonts w:ascii="Times New Roman" w:eastAsia="Times New Roman" w:hAnsi="Times New Roman" w:cs="Times New Roman"/>
          <w:sz w:val="24"/>
          <w:szCs w:val="24"/>
          <w:lang w:eastAsia="ru-RU"/>
        </w:rPr>
        <w:t>111,9 млн. рублей</w:t>
      </w:r>
      <w:r w:rsidR="00B4652C" w:rsidRPr="00B234B5">
        <w:rPr>
          <w:rFonts w:ascii="Times New Roman" w:eastAsia="Times New Roman" w:hAnsi="Times New Roman" w:cs="Times New Roman"/>
          <w:sz w:val="24"/>
          <w:szCs w:val="24"/>
          <w:lang w:eastAsia="ru-RU"/>
        </w:rPr>
        <w:t>.</w:t>
      </w:r>
    </w:p>
    <w:p w:rsidR="002108DE" w:rsidRPr="00C74121" w:rsidRDefault="002108DE" w:rsidP="00210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74121">
        <w:rPr>
          <w:rFonts w:ascii="Times New Roman" w:eastAsia="Times New Roman" w:hAnsi="Times New Roman" w:cs="Times New Roman"/>
          <w:sz w:val="24"/>
          <w:szCs w:val="24"/>
          <w:lang w:eastAsia="ru-RU"/>
        </w:rPr>
        <w:t xml:space="preserve">Медицинскую помощь населению </w:t>
      </w:r>
      <w:r w:rsidR="008C4AF2" w:rsidRPr="00C74121">
        <w:rPr>
          <w:rFonts w:ascii="Times New Roman" w:eastAsia="Times New Roman" w:hAnsi="Times New Roman" w:cs="Times New Roman"/>
          <w:sz w:val="24"/>
          <w:szCs w:val="24"/>
          <w:lang w:eastAsia="ru-RU"/>
        </w:rPr>
        <w:t>в 201</w:t>
      </w:r>
      <w:r w:rsidR="00B234B5" w:rsidRPr="00C74121">
        <w:rPr>
          <w:rFonts w:ascii="Times New Roman" w:eastAsia="Times New Roman" w:hAnsi="Times New Roman" w:cs="Times New Roman"/>
          <w:sz w:val="24"/>
          <w:szCs w:val="24"/>
          <w:lang w:eastAsia="ru-RU"/>
        </w:rPr>
        <w:t>5</w:t>
      </w:r>
      <w:r w:rsidR="008C4AF2" w:rsidRPr="00C74121">
        <w:rPr>
          <w:rFonts w:ascii="Times New Roman" w:eastAsia="Times New Roman" w:hAnsi="Times New Roman" w:cs="Times New Roman"/>
          <w:sz w:val="24"/>
          <w:szCs w:val="24"/>
          <w:lang w:eastAsia="ru-RU"/>
        </w:rPr>
        <w:t xml:space="preserve"> году </w:t>
      </w:r>
      <w:r w:rsidRPr="00C74121">
        <w:rPr>
          <w:rFonts w:ascii="Times New Roman" w:eastAsia="Times New Roman" w:hAnsi="Times New Roman" w:cs="Times New Roman"/>
          <w:sz w:val="24"/>
          <w:szCs w:val="24"/>
          <w:lang w:eastAsia="ru-RU"/>
        </w:rPr>
        <w:t>оказывали 4</w:t>
      </w:r>
      <w:r w:rsidR="00B234B5" w:rsidRPr="00C74121">
        <w:rPr>
          <w:rFonts w:ascii="Times New Roman" w:eastAsia="Times New Roman" w:hAnsi="Times New Roman" w:cs="Times New Roman"/>
          <w:sz w:val="24"/>
          <w:szCs w:val="24"/>
          <w:lang w:eastAsia="ru-RU"/>
        </w:rPr>
        <w:t>1</w:t>
      </w:r>
      <w:r w:rsidRPr="00C74121">
        <w:rPr>
          <w:rFonts w:ascii="Times New Roman" w:eastAsia="Times New Roman" w:hAnsi="Times New Roman" w:cs="Times New Roman"/>
          <w:sz w:val="24"/>
          <w:szCs w:val="24"/>
          <w:lang w:eastAsia="ru-RU"/>
        </w:rPr>
        <w:t xml:space="preserve"> больничн</w:t>
      </w:r>
      <w:r w:rsidR="00B234B5" w:rsidRPr="00C74121">
        <w:rPr>
          <w:rFonts w:ascii="Times New Roman" w:eastAsia="Times New Roman" w:hAnsi="Times New Roman" w:cs="Times New Roman"/>
          <w:sz w:val="24"/>
          <w:szCs w:val="24"/>
          <w:lang w:eastAsia="ru-RU"/>
        </w:rPr>
        <w:t>ое учреждение</w:t>
      </w:r>
      <w:r w:rsidRPr="00C74121">
        <w:rPr>
          <w:rFonts w:ascii="Times New Roman" w:eastAsia="Times New Roman" w:hAnsi="Times New Roman" w:cs="Times New Roman"/>
          <w:sz w:val="24"/>
          <w:szCs w:val="24"/>
          <w:lang w:eastAsia="ru-RU"/>
        </w:rPr>
        <w:t xml:space="preserve"> на 8,</w:t>
      </w:r>
      <w:r w:rsidR="00C74121" w:rsidRPr="00C74121">
        <w:rPr>
          <w:rFonts w:ascii="Times New Roman" w:eastAsia="Times New Roman" w:hAnsi="Times New Roman" w:cs="Times New Roman"/>
          <w:sz w:val="24"/>
          <w:szCs w:val="24"/>
          <w:lang w:eastAsia="ru-RU"/>
        </w:rPr>
        <w:t>2</w:t>
      </w:r>
      <w:r w:rsidRPr="00C74121">
        <w:rPr>
          <w:rFonts w:ascii="Times New Roman" w:eastAsia="Times New Roman" w:hAnsi="Times New Roman" w:cs="Times New Roman"/>
          <w:sz w:val="24"/>
          <w:szCs w:val="24"/>
          <w:lang w:eastAsia="ru-RU"/>
        </w:rPr>
        <w:t xml:space="preserve"> тыс. коек</w:t>
      </w:r>
      <w:r w:rsidR="00C74121" w:rsidRPr="00C74121">
        <w:rPr>
          <w:rFonts w:ascii="Times New Roman" w:eastAsia="Times New Roman" w:hAnsi="Times New Roman" w:cs="Times New Roman"/>
          <w:sz w:val="24"/>
          <w:szCs w:val="24"/>
          <w:lang w:eastAsia="ru-RU"/>
        </w:rPr>
        <w:t xml:space="preserve"> (меньше уровня 2014 года на 0,6 тыс. коек)</w:t>
      </w:r>
      <w:r w:rsidRPr="00C74121">
        <w:rPr>
          <w:rFonts w:ascii="Times New Roman" w:eastAsia="Times New Roman" w:hAnsi="Times New Roman" w:cs="Times New Roman"/>
          <w:sz w:val="24"/>
          <w:szCs w:val="24"/>
          <w:lang w:eastAsia="ru-RU"/>
        </w:rPr>
        <w:t xml:space="preserve">, </w:t>
      </w:r>
      <w:r w:rsidR="007B27E1" w:rsidRPr="007B27E1">
        <w:rPr>
          <w:rFonts w:ascii="Times New Roman" w:eastAsia="Times New Roman" w:hAnsi="Times New Roman" w:cs="Times New Roman"/>
          <w:sz w:val="24"/>
          <w:szCs w:val="24"/>
          <w:lang w:eastAsia="ru-RU"/>
        </w:rPr>
        <w:t>169</w:t>
      </w:r>
      <w:r w:rsidRPr="007B27E1">
        <w:rPr>
          <w:rFonts w:ascii="Times New Roman" w:eastAsia="Times New Roman" w:hAnsi="Times New Roman" w:cs="Times New Roman"/>
          <w:sz w:val="24"/>
          <w:szCs w:val="24"/>
          <w:lang w:eastAsia="ru-RU"/>
        </w:rPr>
        <w:t xml:space="preserve"> амбулаторно</w:t>
      </w:r>
      <w:r w:rsidRPr="00C74121">
        <w:rPr>
          <w:rFonts w:ascii="Times New Roman" w:eastAsia="Times New Roman" w:hAnsi="Times New Roman" w:cs="Times New Roman"/>
          <w:sz w:val="24"/>
          <w:szCs w:val="24"/>
          <w:lang w:eastAsia="ru-RU"/>
        </w:rPr>
        <w:t>-поликлинических учреждени</w:t>
      </w:r>
      <w:r w:rsidR="00601BD5">
        <w:rPr>
          <w:rFonts w:ascii="Times New Roman" w:eastAsia="Times New Roman" w:hAnsi="Times New Roman" w:cs="Times New Roman"/>
          <w:sz w:val="24"/>
          <w:szCs w:val="24"/>
          <w:lang w:eastAsia="ru-RU"/>
        </w:rPr>
        <w:t>й</w:t>
      </w:r>
      <w:r w:rsidR="00C74121" w:rsidRPr="00C74121">
        <w:rPr>
          <w:rFonts w:ascii="Times New Roman" w:eastAsia="Times New Roman" w:hAnsi="Times New Roman" w:cs="Times New Roman"/>
          <w:sz w:val="24"/>
          <w:szCs w:val="24"/>
          <w:lang w:eastAsia="ru-RU"/>
        </w:rPr>
        <w:t xml:space="preserve"> (меньше, чем в 2014 году на 45 ед.)</w:t>
      </w:r>
      <w:r w:rsidRPr="00C74121">
        <w:rPr>
          <w:rFonts w:ascii="Times New Roman" w:eastAsia="Times New Roman" w:hAnsi="Times New Roman" w:cs="Times New Roman"/>
          <w:sz w:val="24"/>
          <w:szCs w:val="24"/>
          <w:lang w:eastAsia="ru-RU"/>
        </w:rPr>
        <w:t xml:space="preserve"> мощностью </w:t>
      </w:r>
      <w:r w:rsidR="00C74121" w:rsidRPr="00C74121">
        <w:rPr>
          <w:rFonts w:ascii="Times New Roman" w:eastAsia="Times New Roman" w:hAnsi="Times New Roman" w:cs="Times New Roman"/>
          <w:sz w:val="24"/>
          <w:szCs w:val="24"/>
          <w:lang w:eastAsia="ru-RU"/>
        </w:rPr>
        <w:t xml:space="preserve">25,4 </w:t>
      </w:r>
      <w:r w:rsidRPr="00C74121">
        <w:rPr>
          <w:rFonts w:ascii="Times New Roman" w:eastAsia="Times New Roman" w:hAnsi="Times New Roman" w:cs="Times New Roman"/>
          <w:sz w:val="24"/>
          <w:szCs w:val="24"/>
          <w:lang w:eastAsia="ru-RU"/>
        </w:rPr>
        <w:t>тыс. посещений в смену</w:t>
      </w:r>
      <w:r w:rsidR="00C74121" w:rsidRPr="00C74121">
        <w:rPr>
          <w:rFonts w:ascii="Times New Roman" w:eastAsia="Times New Roman" w:hAnsi="Times New Roman" w:cs="Times New Roman"/>
          <w:sz w:val="24"/>
          <w:szCs w:val="24"/>
          <w:lang w:eastAsia="ru-RU"/>
        </w:rPr>
        <w:t xml:space="preserve"> (больше, чем в 2014 году на 1,7 тыс. посещений в смену) </w:t>
      </w:r>
      <w:r w:rsidRPr="00C74121">
        <w:rPr>
          <w:rFonts w:ascii="Times New Roman" w:eastAsia="Times New Roman" w:hAnsi="Times New Roman" w:cs="Times New Roman"/>
          <w:sz w:val="24"/>
          <w:szCs w:val="24"/>
          <w:lang w:eastAsia="ru-RU"/>
        </w:rPr>
        <w:t xml:space="preserve">и </w:t>
      </w:r>
      <w:r w:rsidR="00C74121" w:rsidRPr="00C74121">
        <w:rPr>
          <w:rFonts w:ascii="Times New Roman" w:eastAsia="Times New Roman" w:hAnsi="Times New Roman" w:cs="Times New Roman"/>
          <w:sz w:val="24"/>
          <w:szCs w:val="24"/>
          <w:lang w:eastAsia="ru-RU"/>
        </w:rPr>
        <w:t xml:space="preserve">318 </w:t>
      </w:r>
      <w:r w:rsidRPr="00C74121">
        <w:rPr>
          <w:rFonts w:ascii="Times New Roman" w:eastAsia="Times New Roman" w:hAnsi="Times New Roman" w:cs="Times New Roman"/>
          <w:sz w:val="24"/>
          <w:szCs w:val="24"/>
          <w:lang w:eastAsia="ru-RU"/>
        </w:rPr>
        <w:t>фельдшерско-акушерских пунктов</w:t>
      </w:r>
      <w:r w:rsidR="00C74121" w:rsidRPr="00C74121">
        <w:rPr>
          <w:rFonts w:ascii="Times New Roman" w:eastAsia="Times New Roman" w:hAnsi="Times New Roman" w:cs="Times New Roman"/>
          <w:sz w:val="24"/>
          <w:szCs w:val="24"/>
          <w:lang w:eastAsia="ru-RU"/>
        </w:rPr>
        <w:t xml:space="preserve"> (меньше, чем в 2014 году на</w:t>
      </w:r>
      <w:proofErr w:type="gramEnd"/>
      <w:r w:rsidR="00C74121" w:rsidRPr="00C74121">
        <w:rPr>
          <w:rFonts w:ascii="Times New Roman" w:eastAsia="Times New Roman" w:hAnsi="Times New Roman" w:cs="Times New Roman"/>
          <w:sz w:val="24"/>
          <w:szCs w:val="24"/>
          <w:lang w:eastAsia="ru-RU"/>
        </w:rPr>
        <w:t xml:space="preserve"> </w:t>
      </w:r>
      <w:proofErr w:type="gramStart"/>
      <w:r w:rsidR="00C74121" w:rsidRPr="00C74121">
        <w:rPr>
          <w:rFonts w:ascii="Times New Roman" w:eastAsia="Times New Roman" w:hAnsi="Times New Roman" w:cs="Times New Roman"/>
          <w:sz w:val="24"/>
          <w:szCs w:val="24"/>
          <w:lang w:eastAsia="ru-RU"/>
        </w:rPr>
        <w:t>11 ед.)</w:t>
      </w:r>
      <w:r w:rsidRPr="00C74121">
        <w:rPr>
          <w:rFonts w:ascii="Times New Roman" w:eastAsia="Times New Roman" w:hAnsi="Times New Roman" w:cs="Times New Roman"/>
          <w:sz w:val="24"/>
          <w:szCs w:val="24"/>
          <w:lang w:eastAsia="ru-RU"/>
        </w:rPr>
        <w:t>.</w:t>
      </w:r>
      <w:proofErr w:type="gramEnd"/>
    </w:p>
    <w:p w:rsidR="00235F5B" w:rsidRPr="00C74121" w:rsidRDefault="00A56E07" w:rsidP="00A56E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4121">
        <w:rPr>
          <w:rFonts w:ascii="Times New Roman" w:eastAsia="Times New Roman" w:hAnsi="Times New Roman" w:cs="Times New Roman"/>
          <w:sz w:val="24"/>
          <w:szCs w:val="24"/>
          <w:lang w:eastAsia="ru-RU"/>
        </w:rPr>
        <w:t>На конец 201</w:t>
      </w:r>
      <w:r w:rsidR="00C74121" w:rsidRPr="00C74121">
        <w:rPr>
          <w:rFonts w:ascii="Times New Roman" w:eastAsia="Times New Roman" w:hAnsi="Times New Roman" w:cs="Times New Roman"/>
          <w:sz w:val="24"/>
          <w:szCs w:val="24"/>
          <w:lang w:eastAsia="ru-RU"/>
        </w:rPr>
        <w:t>5</w:t>
      </w:r>
      <w:r w:rsidRPr="00C74121">
        <w:rPr>
          <w:rFonts w:ascii="Times New Roman" w:eastAsia="Times New Roman" w:hAnsi="Times New Roman" w:cs="Times New Roman"/>
          <w:sz w:val="24"/>
          <w:szCs w:val="24"/>
          <w:lang w:eastAsia="ru-RU"/>
        </w:rPr>
        <w:t xml:space="preserve"> года в области работало </w:t>
      </w:r>
      <w:r w:rsidR="00C74121" w:rsidRPr="00C74121">
        <w:rPr>
          <w:rFonts w:ascii="Times New Roman" w:eastAsia="Times New Roman" w:hAnsi="Times New Roman" w:cs="Times New Roman"/>
          <w:sz w:val="24"/>
          <w:szCs w:val="24"/>
          <w:lang w:eastAsia="ru-RU"/>
        </w:rPr>
        <w:t xml:space="preserve">145 </w:t>
      </w:r>
      <w:r w:rsidRPr="00C74121">
        <w:rPr>
          <w:rFonts w:ascii="Times New Roman" w:eastAsia="Times New Roman" w:hAnsi="Times New Roman" w:cs="Times New Roman"/>
          <w:sz w:val="24"/>
          <w:szCs w:val="24"/>
          <w:lang w:eastAsia="ru-RU"/>
        </w:rPr>
        <w:t>самостоятельных дошкольных образовательных организаци</w:t>
      </w:r>
      <w:r w:rsidR="00601BD5">
        <w:rPr>
          <w:rFonts w:ascii="Times New Roman" w:eastAsia="Times New Roman" w:hAnsi="Times New Roman" w:cs="Times New Roman"/>
          <w:sz w:val="24"/>
          <w:szCs w:val="24"/>
          <w:lang w:eastAsia="ru-RU"/>
        </w:rPr>
        <w:t>й</w:t>
      </w:r>
      <w:r w:rsidRPr="00C74121">
        <w:rPr>
          <w:rFonts w:ascii="Times New Roman" w:eastAsia="Times New Roman" w:hAnsi="Times New Roman" w:cs="Times New Roman"/>
          <w:sz w:val="24"/>
          <w:szCs w:val="24"/>
          <w:lang w:eastAsia="ru-RU"/>
        </w:rPr>
        <w:t xml:space="preserve">, </w:t>
      </w:r>
      <w:r w:rsidR="00C74121" w:rsidRPr="00C74121">
        <w:rPr>
          <w:rFonts w:ascii="Times New Roman" w:eastAsia="Times New Roman" w:hAnsi="Times New Roman" w:cs="Times New Roman"/>
          <w:sz w:val="24"/>
          <w:szCs w:val="24"/>
          <w:lang w:eastAsia="ru-RU"/>
        </w:rPr>
        <w:t>3</w:t>
      </w:r>
      <w:r w:rsidRPr="00C74121">
        <w:rPr>
          <w:rFonts w:ascii="Times New Roman" w:eastAsia="Times New Roman" w:hAnsi="Times New Roman" w:cs="Times New Roman"/>
          <w:sz w:val="24"/>
          <w:szCs w:val="24"/>
          <w:lang w:eastAsia="ru-RU"/>
        </w:rPr>
        <w:t xml:space="preserve"> обособ</w:t>
      </w:r>
      <w:r w:rsidR="00601BD5">
        <w:rPr>
          <w:rFonts w:ascii="Times New Roman" w:eastAsia="Times New Roman" w:hAnsi="Times New Roman" w:cs="Times New Roman"/>
          <w:sz w:val="24"/>
          <w:szCs w:val="24"/>
          <w:lang w:eastAsia="ru-RU"/>
        </w:rPr>
        <w:t>ленных структурных подразделения</w:t>
      </w:r>
      <w:r w:rsidRPr="00C74121">
        <w:rPr>
          <w:rFonts w:ascii="Times New Roman" w:eastAsia="Times New Roman" w:hAnsi="Times New Roman" w:cs="Times New Roman"/>
          <w:sz w:val="24"/>
          <w:szCs w:val="24"/>
          <w:lang w:eastAsia="ru-RU"/>
        </w:rPr>
        <w:t xml:space="preserve"> (филиал</w:t>
      </w:r>
      <w:r w:rsidR="00601BD5">
        <w:rPr>
          <w:rFonts w:ascii="Times New Roman" w:eastAsia="Times New Roman" w:hAnsi="Times New Roman" w:cs="Times New Roman"/>
          <w:sz w:val="24"/>
          <w:szCs w:val="24"/>
          <w:lang w:eastAsia="ru-RU"/>
        </w:rPr>
        <w:t>а</w:t>
      </w:r>
      <w:r w:rsidRPr="00C74121">
        <w:rPr>
          <w:rFonts w:ascii="Times New Roman" w:eastAsia="Times New Roman" w:hAnsi="Times New Roman" w:cs="Times New Roman"/>
          <w:sz w:val="24"/>
          <w:szCs w:val="24"/>
          <w:lang w:eastAsia="ru-RU"/>
        </w:rPr>
        <w:t>) дошкольных образовательных организаций, 2</w:t>
      </w:r>
      <w:r w:rsidR="00C74121" w:rsidRPr="00C74121">
        <w:rPr>
          <w:rFonts w:ascii="Times New Roman" w:eastAsia="Times New Roman" w:hAnsi="Times New Roman" w:cs="Times New Roman"/>
          <w:sz w:val="24"/>
          <w:szCs w:val="24"/>
          <w:lang w:eastAsia="ru-RU"/>
        </w:rPr>
        <w:t>4</w:t>
      </w:r>
      <w:r w:rsidRPr="00C74121">
        <w:rPr>
          <w:rFonts w:ascii="Times New Roman" w:eastAsia="Times New Roman" w:hAnsi="Times New Roman" w:cs="Times New Roman"/>
          <w:sz w:val="24"/>
          <w:szCs w:val="24"/>
          <w:lang w:eastAsia="ru-RU"/>
        </w:rPr>
        <w:t xml:space="preserve"> обособленных структурных подразделения (филиал</w:t>
      </w:r>
      <w:r w:rsidR="00601BD5">
        <w:rPr>
          <w:rFonts w:ascii="Times New Roman" w:eastAsia="Times New Roman" w:hAnsi="Times New Roman" w:cs="Times New Roman"/>
          <w:sz w:val="24"/>
          <w:szCs w:val="24"/>
          <w:lang w:eastAsia="ru-RU"/>
        </w:rPr>
        <w:t>а</w:t>
      </w:r>
      <w:r w:rsidRPr="00C74121">
        <w:rPr>
          <w:rFonts w:ascii="Times New Roman" w:eastAsia="Times New Roman" w:hAnsi="Times New Roman" w:cs="Times New Roman"/>
          <w:sz w:val="24"/>
          <w:szCs w:val="24"/>
          <w:lang w:eastAsia="ru-RU"/>
        </w:rPr>
        <w:t xml:space="preserve">) общеобразовательной организации и </w:t>
      </w:r>
      <w:r w:rsidR="00C74121" w:rsidRPr="00C74121">
        <w:rPr>
          <w:rFonts w:ascii="Times New Roman" w:eastAsia="Times New Roman" w:hAnsi="Times New Roman" w:cs="Times New Roman"/>
          <w:sz w:val="24"/>
          <w:szCs w:val="24"/>
          <w:lang w:eastAsia="ru-RU"/>
        </w:rPr>
        <w:t>105</w:t>
      </w:r>
      <w:r w:rsidRPr="00C74121">
        <w:rPr>
          <w:rFonts w:ascii="Times New Roman" w:eastAsia="Times New Roman" w:hAnsi="Times New Roman" w:cs="Times New Roman"/>
          <w:sz w:val="24"/>
          <w:szCs w:val="24"/>
          <w:lang w:eastAsia="ru-RU"/>
        </w:rPr>
        <w:t xml:space="preserve"> подразделени</w:t>
      </w:r>
      <w:r w:rsidR="00C74121" w:rsidRPr="00C74121">
        <w:rPr>
          <w:rFonts w:ascii="Times New Roman" w:eastAsia="Times New Roman" w:hAnsi="Times New Roman" w:cs="Times New Roman"/>
          <w:sz w:val="24"/>
          <w:szCs w:val="24"/>
          <w:lang w:eastAsia="ru-RU"/>
        </w:rPr>
        <w:t>й (групп</w:t>
      </w:r>
      <w:r w:rsidRPr="00C74121">
        <w:rPr>
          <w:rFonts w:ascii="Times New Roman" w:eastAsia="Times New Roman" w:hAnsi="Times New Roman" w:cs="Times New Roman"/>
          <w:sz w:val="24"/>
          <w:szCs w:val="24"/>
          <w:lang w:eastAsia="ru-RU"/>
        </w:rPr>
        <w:t>) дошкольного образования, организованные в общеобразовательных организациях</w:t>
      </w:r>
      <w:r w:rsidR="00235F5B" w:rsidRPr="00C74121">
        <w:rPr>
          <w:rFonts w:ascii="Times New Roman" w:eastAsia="Times New Roman" w:hAnsi="Times New Roman" w:cs="Times New Roman"/>
          <w:sz w:val="24"/>
          <w:szCs w:val="24"/>
          <w:lang w:eastAsia="ru-RU"/>
        </w:rPr>
        <w:t>.</w:t>
      </w:r>
    </w:p>
    <w:p w:rsidR="00235F5B" w:rsidRDefault="00541B26" w:rsidP="00235F5B">
      <w:pPr>
        <w:pStyle w:val="afa"/>
        <w:tabs>
          <w:tab w:val="left" w:pos="851"/>
        </w:tabs>
        <w:ind w:left="0" w:firstLine="709"/>
        <w:jc w:val="both"/>
        <w:rPr>
          <w:i/>
          <w:sz w:val="24"/>
          <w:szCs w:val="24"/>
        </w:rPr>
      </w:pPr>
      <w:r w:rsidRPr="00C74121">
        <w:rPr>
          <w:sz w:val="24"/>
          <w:szCs w:val="24"/>
        </w:rPr>
        <w:t>В 201</w:t>
      </w:r>
      <w:r w:rsidR="00C74121" w:rsidRPr="00C74121">
        <w:rPr>
          <w:sz w:val="24"/>
          <w:szCs w:val="24"/>
        </w:rPr>
        <w:t>5</w:t>
      </w:r>
      <w:r w:rsidRPr="00C74121">
        <w:rPr>
          <w:sz w:val="24"/>
          <w:szCs w:val="24"/>
        </w:rPr>
        <w:t xml:space="preserve"> году на 100 мест в дошкольных образовател</w:t>
      </w:r>
      <w:r w:rsidR="00A56E07" w:rsidRPr="00C74121">
        <w:rPr>
          <w:sz w:val="24"/>
          <w:szCs w:val="24"/>
        </w:rPr>
        <w:t>ьных учреждениях приходилось 103</w:t>
      </w:r>
      <w:r w:rsidRPr="00C74121">
        <w:rPr>
          <w:sz w:val="24"/>
          <w:szCs w:val="24"/>
        </w:rPr>
        <w:t xml:space="preserve"> ребенка.</w:t>
      </w:r>
      <w:r w:rsidRPr="00C74121">
        <w:rPr>
          <w:i/>
          <w:sz w:val="24"/>
          <w:szCs w:val="24"/>
        </w:rPr>
        <w:t xml:space="preserve"> Охват детей дошкольным образованием </w:t>
      </w:r>
      <w:r w:rsidRPr="00C74121">
        <w:rPr>
          <w:sz w:val="24"/>
          <w:szCs w:val="24"/>
        </w:rPr>
        <w:t xml:space="preserve">(в </w:t>
      </w:r>
      <w:r w:rsidR="001F472C" w:rsidRPr="00C74121">
        <w:rPr>
          <w:sz w:val="24"/>
          <w:szCs w:val="24"/>
        </w:rPr>
        <w:t>процентах</w:t>
      </w:r>
      <w:r w:rsidRPr="00C74121">
        <w:rPr>
          <w:sz w:val="24"/>
          <w:szCs w:val="24"/>
        </w:rPr>
        <w:t xml:space="preserve"> от численности детей соответствующего возраста) на конец 201</w:t>
      </w:r>
      <w:r w:rsidR="00C74121" w:rsidRPr="00C74121">
        <w:rPr>
          <w:sz w:val="24"/>
          <w:szCs w:val="24"/>
        </w:rPr>
        <w:t xml:space="preserve">5 года по предварительным данным составил </w:t>
      </w:r>
      <w:r w:rsidR="00C74121" w:rsidRPr="00C74121">
        <w:rPr>
          <w:sz w:val="24"/>
          <w:szCs w:val="24"/>
        </w:rPr>
        <w:br/>
        <w:t>62</w:t>
      </w:r>
      <w:r w:rsidR="00A56E07" w:rsidRPr="00C74121">
        <w:rPr>
          <w:sz w:val="24"/>
          <w:szCs w:val="24"/>
        </w:rPr>
        <w:t>,</w:t>
      </w:r>
      <w:r w:rsidR="00C74121" w:rsidRPr="00C74121">
        <w:rPr>
          <w:sz w:val="24"/>
          <w:szCs w:val="24"/>
        </w:rPr>
        <w:t>5</w:t>
      </w:r>
      <w:r w:rsidRPr="00C74121">
        <w:rPr>
          <w:sz w:val="24"/>
          <w:szCs w:val="24"/>
        </w:rPr>
        <w:t xml:space="preserve"> процента</w:t>
      </w:r>
      <w:r w:rsidRPr="00C74121">
        <w:rPr>
          <w:i/>
          <w:sz w:val="24"/>
          <w:szCs w:val="24"/>
        </w:rPr>
        <w:t>.</w:t>
      </w:r>
    </w:p>
    <w:p w:rsidR="006B57D3" w:rsidRPr="00C74121" w:rsidRDefault="006B57D3" w:rsidP="00235F5B">
      <w:pPr>
        <w:pStyle w:val="afa"/>
        <w:tabs>
          <w:tab w:val="left" w:pos="851"/>
        </w:tabs>
        <w:ind w:left="0" w:firstLine="709"/>
        <w:jc w:val="both"/>
        <w:rPr>
          <w:sz w:val="24"/>
          <w:szCs w:val="24"/>
        </w:rPr>
      </w:pPr>
    </w:p>
    <w:p w:rsidR="00E07930" w:rsidRPr="00C74121" w:rsidRDefault="00E07930" w:rsidP="00E07930">
      <w:pPr>
        <w:pStyle w:val="1"/>
        <w:ind w:firstLine="709"/>
        <w:rPr>
          <w:b/>
          <w:i/>
          <w:szCs w:val="20"/>
        </w:rPr>
      </w:pPr>
      <w:r w:rsidRPr="00C74121">
        <w:rPr>
          <w:b/>
          <w:i/>
        </w:rPr>
        <w:t>1.2. Экономическое развитие Амурской области</w:t>
      </w:r>
    </w:p>
    <w:p w:rsidR="00CA3F82" w:rsidRPr="00E94FBA" w:rsidRDefault="00CA3F82" w:rsidP="00CA3F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E94FBA">
        <w:rPr>
          <w:rFonts w:ascii="Times New Roman" w:eastAsia="Times New Roman" w:hAnsi="Times New Roman" w:cs="Times New Roman"/>
          <w:sz w:val="24"/>
          <w:szCs w:val="20"/>
          <w:lang w:eastAsia="ru-RU"/>
        </w:rPr>
        <w:t>По данным Правительства Амурской области (оценка) в 201</w:t>
      </w:r>
      <w:r w:rsidR="00E94FBA" w:rsidRPr="00E94FBA">
        <w:rPr>
          <w:rFonts w:ascii="Times New Roman" w:eastAsia="Times New Roman" w:hAnsi="Times New Roman" w:cs="Times New Roman"/>
          <w:sz w:val="24"/>
          <w:szCs w:val="20"/>
          <w:lang w:eastAsia="ru-RU"/>
        </w:rPr>
        <w:t>5</w:t>
      </w:r>
      <w:r w:rsidRPr="00E94FBA">
        <w:rPr>
          <w:rFonts w:ascii="Times New Roman" w:eastAsia="Times New Roman" w:hAnsi="Times New Roman" w:cs="Times New Roman"/>
          <w:sz w:val="24"/>
          <w:szCs w:val="20"/>
          <w:lang w:eastAsia="ru-RU"/>
        </w:rPr>
        <w:t xml:space="preserve"> году валовой региональный продукт </w:t>
      </w:r>
      <w:r w:rsidR="001C6A67" w:rsidRPr="00E94FBA">
        <w:rPr>
          <w:rFonts w:ascii="Times New Roman" w:eastAsia="Times New Roman" w:hAnsi="Times New Roman" w:cs="Times New Roman"/>
          <w:sz w:val="24"/>
          <w:szCs w:val="20"/>
          <w:lang w:eastAsia="ru-RU"/>
        </w:rPr>
        <w:t xml:space="preserve">(далее - ВРП) </w:t>
      </w:r>
      <w:r w:rsidRPr="00E94FBA">
        <w:rPr>
          <w:rFonts w:ascii="Times New Roman" w:eastAsia="Times New Roman" w:hAnsi="Times New Roman" w:cs="Times New Roman"/>
          <w:sz w:val="24"/>
          <w:szCs w:val="20"/>
          <w:lang w:eastAsia="ru-RU"/>
        </w:rPr>
        <w:t xml:space="preserve">составил </w:t>
      </w:r>
      <w:r w:rsidR="001C6A67" w:rsidRPr="00E94FBA">
        <w:rPr>
          <w:rFonts w:ascii="Times New Roman" w:eastAsia="Times New Roman" w:hAnsi="Times New Roman" w:cs="Times New Roman"/>
          <w:sz w:val="24"/>
          <w:szCs w:val="20"/>
          <w:lang w:eastAsia="ru-RU"/>
        </w:rPr>
        <w:t>2</w:t>
      </w:r>
      <w:r w:rsidR="00E94FBA" w:rsidRPr="00E94FBA">
        <w:rPr>
          <w:rFonts w:ascii="Times New Roman" w:eastAsia="Times New Roman" w:hAnsi="Times New Roman" w:cs="Times New Roman"/>
          <w:sz w:val="24"/>
          <w:szCs w:val="20"/>
          <w:lang w:eastAsia="ru-RU"/>
        </w:rPr>
        <w:t>53,2</w:t>
      </w:r>
      <w:r w:rsidR="001C6A67" w:rsidRPr="00E94FBA">
        <w:rPr>
          <w:rFonts w:ascii="Times New Roman" w:eastAsia="Times New Roman" w:hAnsi="Times New Roman" w:cs="Times New Roman"/>
          <w:sz w:val="24"/>
          <w:szCs w:val="20"/>
          <w:lang w:eastAsia="ru-RU"/>
        </w:rPr>
        <w:t xml:space="preserve"> </w:t>
      </w:r>
      <w:r w:rsidRPr="00E94FBA">
        <w:rPr>
          <w:rFonts w:ascii="Times New Roman" w:eastAsia="Times New Roman" w:hAnsi="Times New Roman" w:cs="Times New Roman"/>
          <w:sz w:val="24"/>
          <w:szCs w:val="20"/>
          <w:lang w:eastAsia="ru-RU"/>
        </w:rPr>
        <w:t>млрд. рублей (в 201</w:t>
      </w:r>
      <w:r w:rsidR="00E94FBA" w:rsidRPr="00E94FBA">
        <w:rPr>
          <w:rFonts w:ascii="Times New Roman" w:eastAsia="Times New Roman" w:hAnsi="Times New Roman" w:cs="Times New Roman"/>
          <w:sz w:val="24"/>
          <w:szCs w:val="20"/>
          <w:lang w:eastAsia="ru-RU"/>
        </w:rPr>
        <w:t>4</w:t>
      </w:r>
      <w:r w:rsidRPr="00E94FBA">
        <w:rPr>
          <w:rFonts w:ascii="Times New Roman" w:eastAsia="Times New Roman" w:hAnsi="Times New Roman" w:cs="Times New Roman"/>
          <w:sz w:val="24"/>
          <w:szCs w:val="20"/>
          <w:lang w:eastAsia="ru-RU"/>
        </w:rPr>
        <w:t xml:space="preserve"> году – 2</w:t>
      </w:r>
      <w:r w:rsidR="00E94FBA" w:rsidRPr="00E94FBA">
        <w:rPr>
          <w:rFonts w:ascii="Times New Roman" w:eastAsia="Times New Roman" w:hAnsi="Times New Roman" w:cs="Times New Roman"/>
          <w:sz w:val="24"/>
          <w:szCs w:val="20"/>
          <w:lang w:eastAsia="ru-RU"/>
        </w:rPr>
        <w:t>35</w:t>
      </w:r>
      <w:r w:rsidR="001C6A67" w:rsidRPr="00E94FBA">
        <w:rPr>
          <w:rFonts w:ascii="Times New Roman" w:eastAsia="Times New Roman" w:hAnsi="Times New Roman" w:cs="Times New Roman"/>
          <w:sz w:val="24"/>
          <w:szCs w:val="20"/>
          <w:lang w:eastAsia="ru-RU"/>
        </w:rPr>
        <w:t>,</w:t>
      </w:r>
      <w:r w:rsidR="00E94FBA" w:rsidRPr="00E94FBA">
        <w:rPr>
          <w:rFonts w:ascii="Times New Roman" w:eastAsia="Times New Roman" w:hAnsi="Times New Roman" w:cs="Times New Roman"/>
          <w:sz w:val="24"/>
          <w:szCs w:val="20"/>
          <w:lang w:eastAsia="ru-RU"/>
        </w:rPr>
        <w:t>4</w:t>
      </w:r>
      <w:r w:rsidRPr="00E94FBA">
        <w:rPr>
          <w:rFonts w:ascii="Times New Roman" w:eastAsia="Times New Roman" w:hAnsi="Times New Roman" w:cs="Times New Roman"/>
          <w:sz w:val="24"/>
          <w:szCs w:val="20"/>
          <w:lang w:eastAsia="ru-RU"/>
        </w:rPr>
        <w:t xml:space="preserve"> млрд. рублей</w:t>
      </w:r>
      <w:r w:rsidR="00364A5D" w:rsidRPr="00E94FBA">
        <w:rPr>
          <w:rFonts w:ascii="Times New Roman" w:eastAsia="Times New Roman" w:hAnsi="Times New Roman" w:cs="Times New Roman"/>
          <w:sz w:val="24"/>
          <w:szCs w:val="20"/>
          <w:lang w:eastAsia="ru-RU"/>
        </w:rPr>
        <w:t>)</w:t>
      </w:r>
      <w:r w:rsidRPr="00E94FBA">
        <w:rPr>
          <w:rFonts w:ascii="Times New Roman" w:eastAsia="Times New Roman" w:hAnsi="Times New Roman" w:cs="Times New Roman"/>
          <w:sz w:val="24"/>
          <w:szCs w:val="20"/>
          <w:lang w:eastAsia="ru-RU"/>
        </w:rPr>
        <w:t>.</w:t>
      </w:r>
    </w:p>
    <w:p w:rsidR="00302B16" w:rsidRPr="00E94FBA" w:rsidRDefault="002A2787" w:rsidP="00CA3F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E94FBA">
        <w:rPr>
          <w:rFonts w:ascii="Times New Roman" w:eastAsia="Times New Roman" w:hAnsi="Times New Roman" w:cs="Times New Roman"/>
          <w:sz w:val="24"/>
          <w:szCs w:val="20"/>
          <w:lang w:eastAsia="ru-RU"/>
        </w:rPr>
        <w:t xml:space="preserve">В </w:t>
      </w:r>
      <w:r w:rsidR="00F10188" w:rsidRPr="00E94FBA">
        <w:rPr>
          <w:rFonts w:ascii="Times New Roman" w:eastAsia="Times New Roman" w:hAnsi="Times New Roman" w:cs="Times New Roman"/>
          <w:sz w:val="24"/>
          <w:szCs w:val="20"/>
          <w:lang w:eastAsia="ru-RU"/>
        </w:rPr>
        <w:t>соответствии с прогнозом социально-экономического р</w:t>
      </w:r>
      <w:r w:rsidR="00E94FBA" w:rsidRPr="00E94FBA">
        <w:rPr>
          <w:rFonts w:ascii="Times New Roman" w:eastAsia="Times New Roman" w:hAnsi="Times New Roman" w:cs="Times New Roman"/>
          <w:sz w:val="24"/>
          <w:szCs w:val="20"/>
          <w:lang w:eastAsia="ru-RU"/>
        </w:rPr>
        <w:t>азвития Амурской области на 2015</w:t>
      </w:r>
      <w:r w:rsidR="00F10188" w:rsidRPr="00E94FBA">
        <w:rPr>
          <w:rFonts w:ascii="Times New Roman" w:eastAsia="Times New Roman" w:hAnsi="Times New Roman" w:cs="Times New Roman"/>
          <w:sz w:val="24"/>
          <w:szCs w:val="20"/>
          <w:lang w:eastAsia="ru-RU"/>
        </w:rPr>
        <w:t xml:space="preserve"> год и на период до 201</w:t>
      </w:r>
      <w:r w:rsidR="008D430E">
        <w:rPr>
          <w:rFonts w:ascii="Times New Roman" w:eastAsia="Times New Roman" w:hAnsi="Times New Roman" w:cs="Times New Roman"/>
          <w:sz w:val="24"/>
          <w:szCs w:val="20"/>
          <w:lang w:eastAsia="ru-RU"/>
        </w:rPr>
        <w:t>7</w:t>
      </w:r>
      <w:r w:rsidR="00F10188" w:rsidRPr="00E94FBA">
        <w:rPr>
          <w:rFonts w:ascii="Times New Roman" w:eastAsia="Times New Roman" w:hAnsi="Times New Roman" w:cs="Times New Roman"/>
          <w:sz w:val="24"/>
          <w:szCs w:val="20"/>
          <w:lang w:eastAsia="ru-RU"/>
        </w:rPr>
        <w:t xml:space="preserve"> года, одобренным распоряжением Правительства Амурской области от 24.10.201</w:t>
      </w:r>
      <w:r w:rsidR="00E94FBA" w:rsidRPr="00E94FBA">
        <w:rPr>
          <w:rFonts w:ascii="Times New Roman" w:eastAsia="Times New Roman" w:hAnsi="Times New Roman" w:cs="Times New Roman"/>
          <w:sz w:val="24"/>
          <w:szCs w:val="20"/>
          <w:lang w:eastAsia="ru-RU"/>
        </w:rPr>
        <w:t>4 № 272-</w:t>
      </w:r>
      <w:r w:rsidR="00F10188" w:rsidRPr="00E94FBA">
        <w:rPr>
          <w:rFonts w:ascii="Times New Roman" w:eastAsia="Times New Roman" w:hAnsi="Times New Roman" w:cs="Times New Roman"/>
          <w:sz w:val="24"/>
          <w:szCs w:val="20"/>
          <w:lang w:eastAsia="ru-RU"/>
        </w:rPr>
        <w:t xml:space="preserve">р, ожидаемый </w:t>
      </w:r>
      <w:r w:rsidR="00E94FBA" w:rsidRPr="00E94FBA">
        <w:rPr>
          <w:rFonts w:ascii="Times New Roman" w:eastAsia="Times New Roman" w:hAnsi="Times New Roman" w:cs="Times New Roman"/>
          <w:sz w:val="24"/>
          <w:szCs w:val="20"/>
          <w:lang w:eastAsia="ru-RU"/>
        </w:rPr>
        <w:t>ВРП на 2015</w:t>
      </w:r>
      <w:r w:rsidR="00302B16" w:rsidRPr="00E94FBA">
        <w:rPr>
          <w:rFonts w:ascii="Times New Roman" w:eastAsia="Times New Roman" w:hAnsi="Times New Roman" w:cs="Times New Roman"/>
          <w:sz w:val="24"/>
          <w:szCs w:val="20"/>
          <w:lang w:eastAsia="ru-RU"/>
        </w:rPr>
        <w:t xml:space="preserve"> год составлял 2</w:t>
      </w:r>
      <w:r w:rsidR="00E94FBA" w:rsidRPr="00E94FBA">
        <w:rPr>
          <w:rFonts w:ascii="Times New Roman" w:eastAsia="Times New Roman" w:hAnsi="Times New Roman" w:cs="Times New Roman"/>
          <w:sz w:val="24"/>
          <w:szCs w:val="20"/>
          <w:lang w:eastAsia="ru-RU"/>
        </w:rPr>
        <w:t>95</w:t>
      </w:r>
      <w:r w:rsidR="00302B16" w:rsidRPr="00E94FBA">
        <w:rPr>
          <w:rFonts w:ascii="Times New Roman" w:eastAsia="Times New Roman" w:hAnsi="Times New Roman" w:cs="Times New Roman"/>
          <w:sz w:val="24"/>
          <w:szCs w:val="20"/>
          <w:lang w:eastAsia="ru-RU"/>
        </w:rPr>
        <w:t>,</w:t>
      </w:r>
      <w:r w:rsidR="00E94FBA" w:rsidRPr="00E94FBA">
        <w:rPr>
          <w:rFonts w:ascii="Times New Roman" w:eastAsia="Times New Roman" w:hAnsi="Times New Roman" w:cs="Times New Roman"/>
          <w:sz w:val="24"/>
          <w:szCs w:val="20"/>
          <w:lang w:eastAsia="ru-RU"/>
        </w:rPr>
        <w:t>1</w:t>
      </w:r>
      <w:r w:rsidR="00302B16" w:rsidRPr="00E94FBA">
        <w:rPr>
          <w:rFonts w:ascii="Times New Roman" w:eastAsia="Times New Roman" w:hAnsi="Times New Roman" w:cs="Times New Roman"/>
          <w:sz w:val="24"/>
          <w:szCs w:val="20"/>
          <w:lang w:eastAsia="ru-RU"/>
        </w:rPr>
        <w:t>-2</w:t>
      </w:r>
      <w:r w:rsidR="00E94FBA" w:rsidRPr="00E94FBA">
        <w:rPr>
          <w:rFonts w:ascii="Times New Roman" w:eastAsia="Times New Roman" w:hAnsi="Times New Roman" w:cs="Times New Roman"/>
          <w:sz w:val="24"/>
          <w:szCs w:val="20"/>
          <w:lang w:eastAsia="ru-RU"/>
        </w:rPr>
        <w:t>99</w:t>
      </w:r>
      <w:r w:rsidR="00302B16" w:rsidRPr="00E94FBA">
        <w:rPr>
          <w:rFonts w:ascii="Times New Roman" w:eastAsia="Times New Roman" w:hAnsi="Times New Roman" w:cs="Times New Roman"/>
          <w:sz w:val="24"/>
          <w:szCs w:val="20"/>
          <w:lang w:eastAsia="ru-RU"/>
        </w:rPr>
        <w:t xml:space="preserve">,4 млрд. рублей (больше фактически сложившегося уровня на </w:t>
      </w:r>
      <w:r w:rsidR="00E94FBA" w:rsidRPr="00E94FBA">
        <w:rPr>
          <w:rFonts w:ascii="Times New Roman" w:eastAsia="Times New Roman" w:hAnsi="Times New Roman" w:cs="Times New Roman"/>
          <w:sz w:val="24"/>
          <w:szCs w:val="20"/>
          <w:lang w:eastAsia="ru-RU"/>
        </w:rPr>
        <w:t>41,9</w:t>
      </w:r>
      <w:r w:rsidR="00302B16" w:rsidRPr="00E94FBA">
        <w:rPr>
          <w:rFonts w:ascii="Times New Roman" w:eastAsia="Times New Roman" w:hAnsi="Times New Roman" w:cs="Times New Roman"/>
          <w:sz w:val="24"/>
          <w:szCs w:val="20"/>
          <w:lang w:eastAsia="ru-RU"/>
        </w:rPr>
        <w:t>-</w:t>
      </w:r>
      <w:r w:rsidR="00E94FBA" w:rsidRPr="00E94FBA">
        <w:rPr>
          <w:rFonts w:ascii="Times New Roman" w:eastAsia="Times New Roman" w:hAnsi="Times New Roman" w:cs="Times New Roman"/>
          <w:sz w:val="24"/>
          <w:szCs w:val="20"/>
          <w:lang w:eastAsia="ru-RU"/>
        </w:rPr>
        <w:t>46,2</w:t>
      </w:r>
      <w:r w:rsidR="00302B16" w:rsidRPr="00E94FBA">
        <w:rPr>
          <w:rFonts w:ascii="Times New Roman" w:eastAsia="Times New Roman" w:hAnsi="Times New Roman" w:cs="Times New Roman"/>
          <w:sz w:val="24"/>
          <w:szCs w:val="20"/>
          <w:lang w:eastAsia="ru-RU"/>
        </w:rPr>
        <w:t xml:space="preserve"> млрд. рублей).</w:t>
      </w:r>
      <w:r w:rsidR="00F10188" w:rsidRPr="00E94FBA">
        <w:rPr>
          <w:rFonts w:ascii="Times New Roman" w:eastAsia="Times New Roman" w:hAnsi="Times New Roman" w:cs="Times New Roman"/>
          <w:sz w:val="24"/>
          <w:szCs w:val="20"/>
          <w:lang w:eastAsia="ru-RU"/>
        </w:rPr>
        <w:t xml:space="preserve"> </w:t>
      </w:r>
      <w:r w:rsidR="00302B16" w:rsidRPr="00E94FBA">
        <w:rPr>
          <w:rFonts w:ascii="Times New Roman" w:eastAsia="Times New Roman" w:hAnsi="Times New Roman" w:cs="Times New Roman"/>
          <w:sz w:val="24"/>
          <w:szCs w:val="20"/>
          <w:lang w:eastAsia="ru-RU"/>
        </w:rPr>
        <w:t xml:space="preserve">Отклонение прогнозируемого </w:t>
      </w:r>
      <w:r w:rsidR="00A21CFE" w:rsidRPr="00E94FBA">
        <w:rPr>
          <w:rFonts w:ascii="Times New Roman" w:eastAsia="Times New Roman" w:hAnsi="Times New Roman" w:cs="Times New Roman"/>
          <w:sz w:val="24"/>
          <w:szCs w:val="20"/>
          <w:lang w:eastAsia="ru-RU"/>
        </w:rPr>
        <w:t xml:space="preserve">в соответствии с распоряжениями Правительства Амурской области на соответствующий финансовый год уровня ВРП </w:t>
      </w:r>
      <w:r w:rsidR="00302B16" w:rsidRPr="00E94FBA">
        <w:rPr>
          <w:rFonts w:ascii="Times New Roman" w:eastAsia="Times New Roman" w:hAnsi="Times New Roman" w:cs="Times New Roman"/>
          <w:sz w:val="24"/>
          <w:szCs w:val="20"/>
          <w:lang w:eastAsia="ru-RU"/>
        </w:rPr>
        <w:t>от фактически сложившегося</w:t>
      </w:r>
      <w:r w:rsidR="00A21CFE" w:rsidRPr="00E94FBA">
        <w:rPr>
          <w:rFonts w:ascii="Times New Roman" w:eastAsia="Times New Roman" w:hAnsi="Times New Roman" w:cs="Times New Roman"/>
          <w:sz w:val="24"/>
          <w:szCs w:val="20"/>
          <w:lang w:eastAsia="ru-RU"/>
        </w:rPr>
        <w:t>,</w:t>
      </w:r>
      <w:r w:rsidR="00302B16" w:rsidRPr="00E94FBA">
        <w:rPr>
          <w:rFonts w:ascii="Times New Roman" w:eastAsia="Times New Roman" w:hAnsi="Times New Roman" w:cs="Times New Roman"/>
          <w:sz w:val="24"/>
          <w:szCs w:val="20"/>
          <w:lang w:eastAsia="ru-RU"/>
        </w:rPr>
        <w:t xml:space="preserve"> приведено на рисунке 5.</w:t>
      </w:r>
    </w:p>
    <w:p w:rsidR="00302B16" w:rsidRPr="00E81A6A" w:rsidRDefault="00302B16" w:rsidP="001C2A5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E574F">
        <w:rPr>
          <w:rFonts w:ascii="Times New Roman" w:eastAsia="Times New Roman" w:hAnsi="Times New Roman" w:cs="Times New Roman"/>
          <w:noProof/>
          <w:color w:val="FF0000"/>
          <w:sz w:val="24"/>
          <w:szCs w:val="20"/>
          <w:lang w:eastAsia="ru-RU"/>
        </w:rPr>
        <w:lastRenderedPageBreak/>
        <w:drawing>
          <wp:inline distT="0" distB="0" distL="0" distR="0" wp14:anchorId="02C07836" wp14:editId="2CD061F8">
            <wp:extent cx="6276975" cy="29718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0188" w:rsidRPr="00A57FE1" w:rsidRDefault="00302B16" w:rsidP="00CA3F8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A57FE1">
        <w:rPr>
          <w:rFonts w:ascii="Times New Roman" w:eastAsia="Times New Roman" w:hAnsi="Times New Roman" w:cs="Times New Roman"/>
          <w:b/>
          <w:sz w:val="24"/>
          <w:szCs w:val="20"/>
          <w:lang w:eastAsia="ru-RU"/>
        </w:rPr>
        <w:t>Рис. 5 – Прогнозируемое и фактическое значение объема ВРП</w:t>
      </w:r>
      <w:r w:rsidR="00F10188" w:rsidRPr="00A57FE1">
        <w:rPr>
          <w:rFonts w:ascii="Times New Roman" w:eastAsia="Times New Roman" w:hAnsi="Times New Roman" w:cs="Times New Roman"/>
          <w:b/>
          <w:sz w:val="24"/>
          <w:szCs w:val="20"/>
          <w:lang w:eastAsia="ru-RU"/>
        </w:rPr>
        <w:t xml:space="preserve"> </w:t>
      </w:r>
      <w:r w:rsidR="00A21CFE" w:rsidRPr="00A57FE1">
        <w:rPr>
          <w:rFonts w:ascii="Times New Roman" w:eastAsia="Times New Roman" w:hAnsi="Times New Roman" w:cs="Times New Roman"/>
          <w:b/>
          <w:sz w:val="24"/>
          <w:szCs w:val="20"/>
          <w:lang w:eastAsia="ru-RU"/>
        </w:rPr>
        <w:t>в 201</w:t>
      </w:r>
      <w:r w:rsidR="00A57FE1" w:rsidRPr="00A57FE1">
        <w:rPr>
          <w:rFonts w:ascii="Times New Roman" w:eastAsia="Times New Roman" w:hAnsi="Times New Roman" w:cs="Times New Roman"/>
          <w:b/>
          <w:sz w:val="24"/>
          <w:szCs w:val="20"/>
          <w:lang w:eastAsia="ru-RU"/>
        </w:rPr>
        <w:t>2</w:t>
      </w:r>
      <w:r w:rsidR="00A21CFE" w:rsidRPr="00A57FE1">
        <w:rPr>
          <w:rFonts w:ascii="Times New Roman" w:eastAsia="Times New Roman" w:hAnsi="Times New Roman" w:cs="Times New Roman"/>
          <w:b/>
          <w:sz w:val="24"/>
          <w:szCs w:val="20"/>
          <w:lang w:eastAsia="ru-RU"/>
        </w:rPr>
        <w:t>-201</w:t>
      </w:r>
      <w:r w:rsidR="00A57FE1" w:rsidRPr="00A57FE1">
        <w:rPr>
          <w:rFonts w:ascii="Times New Roman" w:eastAsia="Times New Roman" w:hAnsi="Times New Roman" w:cs="Times New Roman"/>
          <w:b/>
          <w:sz w:val="24"/>
          <w:szCs w:val="20"/>
          <w:lang w:eastAsia="ru-RU"/>
        </w:rPr>
        <w:t>5</w:t>
      </w:r>
      <w:r w:rsidR="00A21CFE" w:rsidRPr="00A57FE1">
        <w:rPr>
          <w:rFonts w:ascii="Times New Roman" w:eastAsia="Times New Roman" w:hAnsi="Times New Roman" w:cs="Times New Roman"/>
          <w:b/>
          <w:sz w:val="24"/>
          <w:szCs w:val="20"/>
          <w:lang w:eastAsia="ru-RU"/>
        </w:rPr>
        <w:t xml:space="preserve"> годах</w:t>
      </w:r>
    </w:p>
    <w:p w:rsidR="00592C18" w:rsidRPr="00A57FE1" w:rsidRDefault="00592C18" w:rsidP="00CA3F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57FE1">
        <w:rPr>
          <w:rFonts w:ascii="Times New Roman" w:eastAsia="Times New Roman" w:hAnsi="Times New Roman" w:cs="Times New Roman"/>
          <w:sz w:val="24"/>
          <w:szCs w:val="20"/>
          <w:lang w:eastAsia="ru-RU"/>
        </w:rPr>
        <w:t>Программой социально-экономического ра</w:t>
      </w:r>
      <w:r w:rsidR="006B57D3">
        <w:rPr>
          <w:rFonts w:ascii="Times New Roman" w:eastAsia="Times New Roman" w:hAnsi="Times New Roman" w:cs="Times New Roman"/>
          <w:sz w:val="24"/>
          <w:szCs w:val="20"/>
          <w:lang w:eastAsia="ru-RU"/>
        </w:rPr>
        <w:t xml:space="preserve">звития Амурской области на </w:t>
      </w:r>
      <w:r w:rsidR="006B57D3">
        <w:rPr>
          <w:rFonts w:ascii="Times New Roman" w:eastAsia="Times New Roman" w:hAnsi="Times New Roman" w:cs="Times New Roman"/>
          <w:sz w:val="24"/>
          <w:szCs w:val="20"/>
          <w:lang w:eastAsia="ru-RU"/>
        </w:rPr>
        <w:br/>
        <w:t>2013</w:t>
      </w:r>
      <w:r w:rsidRPr="00A57FE1">
        <w:rPr>
          <w:rFonts w:ascii="Times New Roman" w:eastAsia="Times New Roman" w:hAnsi="Times New Roman" w:cs="Times New Roman"/>
          <w:sz w:val="24"/>
          <w:szCs w:val="20"/>
          <w:lang w:eastAsia="ru-RU"/>
        </w:rPr>
        <w:t>-2017 годы, утвержденной Законом Амурской области от 13</w:t>
      </w:r>
      <w:r w:rsidR="00A57FE1" w:rsidRPr="00A57FE1">
        <w:rPr>
          <w:rFonts w:ascii="Times New Roman" w:eastAsia="Times New Roman" w:hAnsi="Times New Roman" w:cs="Times New Roman"/>
          <w:sz w:val="24"/>
          <w:szCs w:val="20"/>
          <w:lang w:eastAsia="ru-RU"/>
        </w:rPr>
        <w:t>.11.2013 № 277-ОЗ, также на 2015</w:t>
      </w:r>
      <w:r w:rsidRPr="00A57FE1">
        <w:rPr>
          <w:rFonts w:ascii="Times New Roman" w:eastAsia="Times New Roman" w:hAnsi="Times New Roman" w:cs="Times New Roman"/>
          <w:sz w:val="24"/>
          <w:szCs w:val="20"/>
          <w:lang w:eastAsia="ru-RU"/>
        </w:rPr>
        <w:t xml:space="preserve"> год предусмотрен более высокий уровень данного показателя. Так, в соответствии с указанной программой на 201</w:t>
      </w:r>
      <w:r w:rsidR="00A57FE1" w:rsidRPr="00A57FE1">
        <w:rPr>
          <w:rFonts w:ascii="Times New Roman" w:eastAsia="Times New Roman" w:hAnsi="Times New Roman" w:cs="Times New Roman"/>
          <w:sz w:val="24"/>
          <w:szCs w:val="20"/>
          <w:lang w:eastAsia="ru-RU"/>
        </w:rPr>
        <w:t>5</w:t>
      </w:r>
      <w:r w:rsidRPr="00A57FE1">
        <w:rPr>
          <w:rFonts w:ascii="Times New Roman" w:eastAsia="Times New Roman" w:hAnsi="Times New Roman" w:cs="Times New Roman"/>
          <w:sz w:val="24"/>
          <w:szCs w:val="20"/>
          <w:lang w:eastAsia="ru-RU"/>
        </w:rPr>
        <w:t xml:space="preserve"> год ВРП запланирован в сумме </w:t>
      </w:r>
      <w:r w:rsidR="00A57FE1" w:rsidRPr="00A57FE1">
        <w:rPr>
          <w:rFonts w:ascii="Times New Roman" w:eastAsia="Times New Roman" w:hAnsi="Times New Roman" w:cs="Times New Roman"/>
          <w:sz w:val="24"/>
          <w:szCs w:val="20"/>
          <w:lang w:eastAsia="ru-RU"/>
        </w:rPr>
        <w:t>310,9</w:t>
      </w:r>
      <w:r w:rsidRPr="00A57FE1">
        <w:rPr>
          <w:rFonts w:ascii="Times New Roman" w:eastAsia="Times New Roman" w:hAnsi="Times New Roman" w:cs="Times New Roman"/>
          <w:sz w:val="24"/>
          <w:szCs w:val="20"/>
          <w:lang w:eastAsia="ru-RU"/>
        </w:rPr>
        <w:t xml:space="preserve"> млрд. рублей.</w:t>
      </w:r>
    </w:p>
    <w:p w:rsidR="00CA3F82" w:rsidRPr="00495303" w:rsidRDefault="00CA3F82" w:rsidP="00CA3F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495303">
        <w:rPr>
          <w:rFonts w:ascii="Times New Roman" w:eastAsia="Times New Roman" w:hAnsi="Times New Roman" w:cs="Times New Roman"/>
          <w:i/>
          <w:sz w:val="24"/>
          <w:szCs w:val="20"/>
          <w:lang w:eastAsia="ru-RU"/>
        </w:rPr>
        <w:t xml:space="preserve">Индекс физического объема </w:t>
      </w:r>
      <w:r w:rsidR="001C6A67" w:rsidRPr="00495303">
        <w:rPr>
          <w:rFonts w:ascii="Times New Roman" w:eastAsia="Times New Roman" w:hAnsi="Times New Roman" w:cs="Times New Roman"/>
          <w:i/>
          <w:sz w:val="24"/>
          <w:szCs w:val="20"/>
          <w:lang w:eastAsia="ru-RU"/>
        </w:rPr>
        <w:t>ВРП</w:t>
      </w:r>
      <w:r w:rsidRPr="00495303">
        <w:rPr>
          <w:rFonts w:ascii="Times New Roman" w:eastAsia="Times New Roman" w:hAnsi="Times New Roman" w:cs="Times New Roman"/>
          <w:sz w:val="24"/>
          <w:szCs w:val="20"/>
          <w:lang w:eastAsia="ru-RU"/>
        </w:rPr>
        <w:t xml:space="preserve"> </w:t>
      </w:r>
      <w:r w:rsidR="00364A5D" w:rsidRPr="00495303">
        <w:rPr>
          <w:rFonts w:ascii="Times New Roman" w:eastAsia="Times New Roman" w:hAnsi="Times New Roman" w:cs="Times New Roman"/>
          <w:sz w:val="24"/>
          <w:szCs w:val="20"/>
          <w:lang w:eastAsia="ru-RU"/>
        </w:rPr>
        <w:t>по оценке за 201</w:t>
      </w:r>
      <w:r w:rsidR="00A57FE1" w:rsidRPr="00495303">
        <w:rPr>
          <w:rFonts w:ascii="Times New Roman" w:eastAsia="Times New Roman" w:hAnsi="Times New Roman" w:cs="Times New Roman"/>
          <w:sz w:val="24"/>
          <w:szCs w:val="20"/>
          <w:lang w:eastAsia="ru-RU"/>
        </w:rPr>
        <w:t>5</w:t>
      </w:r>
      <w:r w:rsidR="00364A5D" w:rsidRPr="00495303">
        <w:rPr>
          <w:rFonts w:ascii="Times New Roman" w:eastAsia="Times New Roman" w:hAnsi="Times New Roman" w:cs="Times New Roman"/>
          <w:sz w:val="24"/>
          <w:szCs w:val="20"/>
          <w:lang w:eastAsia="ru-RU"/>
        </w:rPr>
        <w:t xml:space="preserve"> год составил </w:t>
      </w:r>
      <w:r w:rsidR="00A57FE1" w:rsidRPr="00495303">
        <w:rPr>
          <w:rFonts w:ascii="Times New Roman" w:eastAsia="Times New Roman" w:hAnsi="Times New Roman" w:cs="Times New Roman"/>
          <w:sz w:val="24"/>
          <w:szCs w:val="20"/>
          <w:lang w:eastAsia="ru-RU"/>
        </w:rPr>
        <w:t>98,6</w:t>
      </w:r>
      <w:r w:rsidRPr="00495303">
        <w:rPr>
          <w:rFonts w:ascii="Times New Roman" w:eastAsia="Times New Roman" w:hAnsi="Times New Roman" w:cs="Times New Roman"/>
          <w:sz w:val="24"/>
          <w:szCs w:val="20"/>
          <w:lang w:eastAsia="ru-RU"/>
        </w:rPr>
        <w:t xml:space="preserve"> процента</w:t>
      </w:r>
      <w:r w:rsidR="006B57D3">
        <w:rPr>
          <w:rFonts w:ascii="Times New Roman" w:eastAsia="Times New Roman" w:hAnsi="Times New Roman" w:cs="Times New Roman"/>
          <w:sz w:val="24"/>
          <w:szCs w:val="20"/>
          <w:lang w:eastAsia="ru-RU"/>
        </w:rPr>
        <w:br/>
      </w:r>
      <w:r w:rsidRPr="00495303">
        <w:rPr>
          <w:rFonts w:ascii="Times New Roman" w:eastAsia="Times New Roman" w:hAnsi="Times New Roman" w:cs="Times New Roman"/>
          <w:sz w:val="24"/>
          <w:szCs w:val="20"/>
          <w:lang w:eastAsia="ru-RU"/>
        </w:rPr>
        <w:t xml:space="preserve">(в </w:t>
      </w:r>
      <w:r w:rsidR="001C6A67" w:rsidRPr="00495303">
        <w:rPr>
          <w:rFonts w:ascii="Times New Roman" w:eastAsia="Times New Roman" w:hAnsi="Times New Roman" w:cs="Times New Roman"/>
          <w:sz w:val="24"/>
          <w:szCs w:val="20"/>
          <w:lang w:eastAsia="ru-RU"/>
        </w:rPr>
        <w:t>201</w:t>
      </w:r>
      <w:r w:rsidR="00A57FE1" w:rsidRPr="00495303">
        <w:rPr>
          <w:rFonts w:ascii="Times New Roman" w:eastAsia="Times New Roman" w:hAnsi="Times New Roman" w:cs="Times New Roman"/>
          <w:sz w:val="24"/>
          <w:szCs w:val="20"/>
          <w:lang w:eastAsia="ru-RU"/>
        </w:rPr>
        <w:t>4</w:t>
      </w:r>
      <w:r w:rsidRPr="00495303">
        <w:rPr>
          <w:rFonts w:ascii="Times New Roman" w:eastAsia="Times New Roman" w:hAnsi="Times New Roman" w:cs="Times New Roman"/>
          <w:sz w:val="24"/>
          <w:szCs w:val="20"/>
          <w:lang w:eastAsia="ru-RU"/>
        </w:rPr>
        <w:t xml:space="preserve"> году – </w:t>
      </w:r>
      <w:r w:rsidR="00495303" w:rsidRPr="00495303">
        <w:rPr>
          <w:rFonts w:ascii="Times New Roman" w:eastAsia="Times New Roman" w:hAnsi="Times New Roman" w:cs="Times New Roman"/>
          <w:sz w:val="24"/>
          <w:szCs w:val="20"/>
          <w:lang w:eastAsia="ru-RU"/>
        </w:rPr>
        <w:t>103,1</w:t>
      </w:r>
      <w:r w:rsidRPr="00495303">
        <w:rPr>
          <w:rFonts w:ascii="Times New Roman" w:eastAsia="Times New Roman" w:hAnsi="Times New Roman" w:cs="Times New Roman"/>
          <w:sz w:val="24"/>
          <w:szCs w:val="20"/>
          <w:lang w:eastAsia="ru-RU"/>
        </w:rPr>
        <w:t xml:space="preserve"> процента).</w:t>
      </w:r>
      <w:r w:rsidR="00B4652C" w:rsidRPr="00495303">
        <w:rPr>
          <w:rFonts w:ascii="Times New Roman" w:eastAsia="Times New Roman" w:hAnsi="Times New Roman" w:cs="Times New Roman"/>
          <w:sz w:val="24"/>
          <w:szCs w:val="20"/>
          <w:lang w:eastAsia="ru-RU"/>
        </w:rPr>
        <w:t xml:space="preserve"> Динамика индекса физического объема валового регионального продукта</w:t>
      </w:r>
      <w:r w:rsidR="00352763" w:rsidRPr="00495303">
        <w:rPr>
          <w:rFonts w:ascii="Times New Roman" w:eastAsia="Times New Roman" w:hAnsi="Times New Roman" w:cs="Times New Roman"/>
          <w:sz w:val="24"/>
          <w:szCs w:val="20"/>
          <w:lang w:eastAsia="ru-RU"/>
        </w:rPr>
        <w:t xml:space="preserve"> приведена на рисунке </w:t>
      </w:r>
      <w:r w:rsidR="00A21CFE" w:rsidRPr="00495303">
        <w:rPr>
          <w:rFonts w:ascii="Times New Roman" w:eastAsia="Times New Roman" w:hAnsi="Times New Roman" w:cs="Times New Roman"/>
          <w:sz w:val="24"/>
          <w:szCs w:val="20"/>
          <w:lang w:eastAsia="ru-RU"/>
        </w:rPr>
        <w:t>6</w:t>
      </w:r>
      <w:r w:rsidR="00B4652C" w:rsidRPr="00495303">
        <w:rPr>
          <w:rFonts w:ascii="Times New Roman" w:eastAsia="Times New Roman" w:hAnsi="Times New Roman" w:cs="Times New Roman"/>
          <w:sz w:val="24"/>
          <w:szCs w:val="20"/>
          <w:lang w:eastAsia="ru-RU"/>
        </w:rPr>
        <w:t>.</w:t>
      </w:r>
    </w:p>
    <w:p w:rsidR="00B4652C" w:rsidRPr="00E81A6A" w:rsidRDefault="00B4652C" w:rsidP="00B4652C">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95303">
        <w:rPr>
          <w:rFonts w:ascii="Times New Roman" w:eastAsia="Times New Roman" w:hAnsi="Times New Roman" w:cs="Times New Roman"/>
          <w:b/>
          <w:noProof/>
          <w:color w:val="FF0000"/>
          <w:sz w:val="24"/>
          <w:szCs w:val="20"/>
          <w:lang w:eastAsia="ru-RU"/>
        </w:rPr>
        <w:drawing>
          <wp:inline distT="0" distB="0" distL="0" distR="0" wp14:anchorId="525B2C5E" wp14:editId="0EC1FDC0">
            <wp:extent cx="6419850" cy="19145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23D0" w:rsidRPr="00495303" w:rsidRDefault="006823D0" w:rsidP="006823D0">
      <w:pPr>
        <w:widowControl w:val="0"/>
        <w:autoSpaceDE w:val="0"/>
        <w:autoSpaceDN w:val="0"/>
        <w:adjustRightInd w:val="0"/>
        <w:spacing w:after="0"/>
        <w:jc w:val="center"/>
        <w:rPr>
          <w:rFonts w:ascii="Times New Roman" w:eastAsia="Times New Roman" w:hAnsi="Times New Roman" w:cs="Times New Roman"/>
          <w:b/>
          <w:sz w:val="24"/>
          <w:szCs w:val="20"/>
          <w:lang w:eastAsia="ru-RU"/>
        </w:rPr>
      </w:pPr>
      <w:r w:rsidRPr="00495303">
        <w:rPr>
          <w:rFonts w:ascii="Times New Roman" w:eastAsia="Times New Roman" w:hAnsi="Times New Roman" w:cs="Times New Roman"/>
          <w:b/>
          <w:sz w:val="24"/>
          <w:szCs w:val="20"/>
          <w:lang w:eastAsia="ru-RU"/>
        </w:rPr>
        <w:t xml:space="preserve">Рис. </w:t>
      </w:r>
      <w:r w:rsidR="00A21CFE" w:rsidRPr="00495303">
        <w:rPr>
          <w:rFonts w:ascii="Times New Roman" w:eastAsia="Times New Roman" w:hAnsi="Times New Roman" w:cs="Times New Roman"/>
          <w:b/>
          <w:sz w:val="24"/>
          <w:szCs w:val="20"/>
          <w:lang w:eastAsia="ru-RU"/>
        </w:rPr>
        <w:t>6</w:t>
      </w:r>
      <w:r w:rsidRPr="00495303">
        <w:rPr>
          <w:rFonts w:ascii="Times New Roman" w:eastAsia="Times New Roman" w:hAnsi="Times New Roman" w:cs="Times New Roman"/>
          <w:b/>
          <w:sz w:val="24"/>
          <w:szCs w:val="20"/>
          <w:lang w:eastAsia="ru-RU"/>
        </w:rPr>
        <w:t xml:space="preserve"> –Динамика индекса физического объема валового регионального продукта Амурской области</w:t>
      </w:r>
      <w:r w:rsidR="002A52C7" w:rsidRPr="00495303">
        <w:rPr>
          <w:rFonts w:ascii="Times New Roman" w:eastAsia="Times New Roman" w:hAnsi="Times New Roman" w:cs="Times New Roman"/>
          <w:b/>
          <w:sz w:val="24"/>
          <w:szCs w:val="20"/>
          <w:lang w:eastAsia="ru-RU"/>
        </w:rPr>
        <w:t>, процентов</w:t>
      </w:r>
      <w:r w:rsidRPr="00495303">
        <w:rPr>
          <w:rFonts w:ascii="Times New Roman" w:eastAsia="Times New Roman" w:hAnsi="Times New Roman" w:cs="Times New Roman"/>
          <w:b/>
          <w:sz w:val="24"/>
          <w:szCs w:val="20"/>
          <w:lang w:eastAsia="ru-RU"/>
        </w:rPr>
        <w:t xml:space="preserve"> </w:t>
      </w:r>
    </w:p>
    <w:p w:rsidR="006D7885" w:rsidRPr="008D3228" w:rsidRDefault="006B57D3" w:rsidP="006D78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w:t>
      </w:r>
      <w:r w:rsidR="00495303" w:rsidRPr="008D3228">
        <w:rPr>
          <w:rFonts w:ascii="Times New Roman" w:eastAsia="Times New Roman" w:hAnsi="Times New Roman" w:cs="Times New Roman"/>
          <w:sz w:val="24"/>
          <w:szCs w:val="20"/>
          <w:lang w:eastAsia="ru-RU"/>
        </w:rPr>
        <w:t xml:space="preserve"> 2015</w:t>
      </w:r>
      <w:r w:rsidR="006D7885" w:rsidRPr="008D3228">
        <w:rPr>
          <w:rFonts w:ascii="Times New Roman" w:eastAsia="Times New Roman" w:hAnsi="Times New Roman" w:cs="Times New Roman"/>
          <w:sz w:val="24"/>
          <w:szCs w:val="20"/>
          <w:lang w:eastAsia="ru-RU"/>
        </w:rPr>
        <w:t xml:space="preserve"> году темп роста </w:t>
      </w:r>
      <w:r w:rsidR="00306089" w:rsidRPr="008D3228">
        <w:rPr>
          <w:rFonts w:ascii="Times New Roman" w:eastAsia="Times New Roman" w:hAnsi="Times New Roman" w:cs="Times New Roman"/>
          <w:sz w:val="24"/>
          <w:szCs w:val="20"/>
          <w:lang w:eastAsia="ru-RU"/>
        </w:rPr>
        <w:t xml:space="preserve">индекса </w:t>
      </w:r>
      <w:r w:rsidR="006D7885" w:rsidRPr="008D3228">
        <w:rPr>
          <w:rFonts w:ascii="Times New Roman" w:eastAsia="Times New Roman" w:hAnsi="Times New Roman" w:cs="Times New Roman"/>
          <w:sz w:val="24"/>
          <w:szCs w:val="20"/>
          <w:lang w:eastAsia="ru-RU"/>
        </w:rPr>
        <w:t xml:space="preserve">физического объема ВРП </w:t>
      </w:r>
      <w:r w:rsidR="00495303" w:rsidRPr="008D3228">
        <w:rPr>
          <w:rFonts w:ascii="Times New Roman" w:eastAsia="Times New Roman" w:hAnsi="Times New Roman" w:cs="Times New Roman"/>
          <w:sz w:val="24"/>
          <w:szCs w:val="20"/>
          <w:lang w:eastAsia="ru-RU"/>
        </w:rPr>
        <w:t>ниже значения показателя, определенного Программой социально-экономического ра</w:t>
      </w:r>
      <w:r>
        <w:rPr>
          <w:rFonts w:ascii="Times New Roman" w:eastAsia="Times New Roman" w:hAnsi="Times New Roman" w:cs="Times New Roman"/>
          <w:sz w:val="24"/>
          <w:szCs w:val="20"/>
          <w:lang w:eastAsia="ru-RU"/>
        </w:rPr>
        <w:t xml:space="preserve">звития Амурской области на </w:t>
      </w:r>
      <w:r>
        <w:rPr>
          <w:rFonts w:ascii="Times New Roman" w:eastAsia="Times New Roman" w:hAnsi="Times New Roman" w:cs="Times New Roman"/>
          <w:sz w:val="24"/>
          <w:szCs w:val="20"/>
          <w:lang w:eastAsia="ru-RU"/>
        </w:rPr>
        <w:br/>
        <w:t>2013</w:t>
      </w:r>
      <w:r w:rsidR="00495303" w:rsidRPr="008D3228">
        <w:rPr>
          <w:rFonts w:ascii="Times New Roman" w:eastAsia="Times New Roman" w:hAnsi="Times New Roman" w:cs="Times New Roman"/>
          <w:sz w:val="24"/>
          <w:szCs w:val="20"/>
          <w:lang w:eastAsia="ru-RU"/>
        </w:rPr>
        <w:t xml:space="preserve">-2017 годы, утвержденной Законом Амурской области от 13.11.2013 № 277-ОЗ </w:t>
      </w:r>
      <w:r>
        <w:rPr>
          <w:rFonts w:ascii="Times New Roman" w:eastAsia="Times New Roman" w:hAnsi="Times New Roman" w:cs="Times New Roman"/>
          <w:sz w:val="24"/>
          <w:szCs w:val="20"/>
          <w:lang w:eastAsia="ru-RU"/>
        </w:rPr>
        <w:br/>
      </w:r>
      <w:r w:rsidR="00495303" w:rsidRPr="008D3228">
        <w:rPr>
          <w:rFonts w:ascii="Times New Roman" w:eastAsia="Times New Roman" w:hAnsi="Times New Roman" w:cs="Times New Roman"/>
          <w:sz w:val="24"/>
          <w:szCs w:val="20"/>
          <w:lang w:eastAsia="ru-RU"/>
        </w:rPr>
        <w:t>(на 2015</w:t>
      </w:r>
      <w:r w:rsidR="006D7885" w:rsidRPr="008D3228">
        <w:rPr>
          <w:rFonts w:ascii="Times New Roman" w:eastAsia="Times New Roman" w:hAnsi="Times New Roman" w:cs="Times New Roman"/>
          <w:sz w:val="24"/>
          <w:szCs w:val="20"/>
          <w:lang w:eastAsia="ru-RU"/>
        </w:rPr>
        <w:t xml:space="preserve"> год предусмотрено 10</w:t>
      </w:r>
      <w:r w:rsidR="00495303" w:rsidRPr="008D3228">
        <w:rPr>
          <w:rFonts w:ascii="Times New Roman" w:eastAsia="Times New Roman" w:hAnsi="Times New Roman" w:cs="Times New Roman"/>
          <w:sz w:val="24"/>
          <w:szCs w:val="20"/>
          <w:lang w:eastAsia="ru-RU"/>
        </w:rPr>
        <w:t>3,8</w:t>
      </w:r>
      <w:r w:rsidR="000938F3">
        <w:rPr>
          <w:rFonts w:ascii="Times New Roman" w:eastAsia="Times New Roman" w:hAnsi="Times New Roman" w:cs="Times New Roman"/>
          <w:sz w:val="24"/>
          <w:szCs w:val="20"/>
          <w:lang w:eastAsia="ru-RU"/>
        </w:rPr>
        <w:t xml:space="preserve"> процента).</w:t>
      </w:r>
    </w:p>
    <w:p w:rsidR="00EF6BA1" w:rsidRPr="008D3228" w:rsidRDefault="00EF6BA1" w:rsidP="00C003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8D3228">
        <w:rPr>
          <w:rFonts w:ascii="Times New Roman" w:eastAsia="Times New Roman" w:hAnsi="Times New Roman" w:cs="Times New Roman"/>
          <w:sz w:val="24"/>
          <w:szCs w:val="20"/>
          <w:lang w:eastAsia="ru-RU"/>
        </w:rPr>
        <w:t xml:space="preserve">Стратегией социально-экономического развития Амурской области на период до </w:t>
      </w:r>
      <w:r w:rsidR="006B57D3">
        <w:rPr>
          <w:rFonts w:ascii="Times New Roman" w:eastAsia="Times New Roman" w:hAnsi="Times New Roman" w:cs="Times New Roman"/>
          <w:sz w:val="24"/>
          <w:szCs w:val="20"/>
          <w:lang w:eastAsia="ru-RU"/>
        </w:rPr>
        <w:br/>
      </w:r>
      <w:r w:rsidRPr="008D3228">
        <w:rPr>
          <w:rFonts w:ascii="Times New Roman" w:eastAsia="Times New Roman" w:hAnsi="Times New Roman" w:cs="Times New Roman"/>
          <w:sz w:val="24"/>
          <w:szCs w:val="20"/>
          <w:lang w:eastAsia="ru-RU"/>
        </w:rPr>
        <w:t xml:space="preserve">2025 года, утвержденной постановлением Правительства Амурской области от 13.07.2012 </w:t>
      </w:r>
      <w:r w:rsidR="006B57D3">
        <w:rPr>
          <w:rFonts w:ascii="Times New Roman" w:eastAsia="Times New Roman" w:hAnsi="Times New Roman" w:cs="Times New Roman"/>
          <w:sz w:val="24"/>
          <w:szCs w:val="20"/>
          <w:lang w:eastAsia="ru-RU"/>
        </w:rPr>
        <w:br/>
      </w:r>
      <w:r w:rsidRPr="008D3228">
        <w:rPr>
          <w:rFonts w:ascii="Times New Roman" w:eastAsia="Times New Roman" w:hAnsi="Times New Roman" w:cs="Times New Roman"/>
          <w:sz w:val="24"/>
          <w:szCs w:val="20"/>
          <w:lang w:eastAsia="ru-RU"/>
        </w:rPr>
        <w:t xml:space="preserve">№ 380, на 2015 год, среднегодовой темп роста ВРП до 2015 года утвержден в размере </w:t>
      </w:r>
      <w:r w:rsidR="006B57D3">
        <w:rPr>
          <w:rFonts w:ascii="Times New Roman" w:eastAsia="Times New Roman" w:hAnsi="Times New Roman" w:cs="Times New Roman"/>
          <w:sz w:val="24"/>
          <w:szCs w:val="20"/>
          <w:lang w:eastAsia="ru-RU"/>
        </w:rPr>
        <w:br/>
      </w:r>
      <w:r w:rsidRPr="008D3228">
        <w:rPr>
          <w:rFonts w:ascii="Times New Roman" w:eastAsia="Times New Roman" w:hAnsi="Times New Roman" w:cs="Times New Roman"/>
          <w:sz w:val="24"/>
          <w:szCs w:val="20"/>
          <w:lang w:eastAsia="ru-RU"/>
        </w:rPr>
        <w:t>6,0 процентов в год, с достижением к 2015 году объема ВРП в сумме 314,1 млрд. рублей.</w:t>
      </w:r>
    </w:p>
    <w:p w:rsidR="00EF6BA1" w:rsidRPr="008D3228" w:rsidRDefault="00EF6BA1" w:rsidP="00C003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8D3228">
        <w:rPr>
          <w:rFonts w:ascii="Times New Roman" w:eastAsia="Times New Roman" w:hAnsi="Times New Roman" w:cs="Times New Roman"/>
          <w:sz w:val="24"/>
          <w:szCs w:val="20"/>
          <w:lang w:eastAsia="ru-RU"/>
        </w:rPr>
        <w:t>Согласно данным, приведенным на рисунках 5 и 6</w:t>
      </w:r>
      <w:r w:rsidR="00C37C3B" w:rsidRPr="008D3228">
        <w:rPr>
          <w:rFonts w:ascii="Times New Roman" w:eastAsia="Times New Roman" w:hAnsi="Times New Roman" w:cs="Times New Roman"/>
          <w:sz w:val="24"/>
          <w:szCs w:val="20"/>
          <w:lang w:eastAsia="ru-RU"/>
        </w:rPr>
        <w:t>,</w:t>
      </w:r>
      <w:r w:rsidRPr="008D3228">
        <w:rPr>
          <w:rFonts w:ascii="Times New Roman" w:eastAsia="Times New Roman" w:hAnsi="Times New Roman" w:cs="Times New Roman"/>
          <w:sz w:val="24"/>
          <w:szCs w:val="20"/>
          <w:lang w:eastAsia="ru-RU"/>
        </w:rPr>
        <w:t xml:space="preserve"> </w:t>
      </w:r>
      <w:r w:rsidR="008D3228" w:rsidRPr="008D3228">
        <w:rPr>
          <w:rFonts w:ascii="Times New Roman" w:eastAsia="Times New Roman" w:hAnsi="Times New Roman" w:cs="Times New Roman"/>
          <w:sz w:val="24"/>
          <w:szCs w:val="20"/>
          <w:lang w:eastAsia="ru-RU"/>
        </w:rPr>
        <w:t>запланированные на 2015 год в Стратегии показатели темпов роста и номинальн</w:t>
      </w:r>
      <w:r w:rsidR="000938F3">
        <w:rPr>
          <w:rFonts w:ascii="Times New Roman" w:eastAsia="Times New Roman" w:hAnsi="Times New Roman" w:cs="Times New Roman"/>
          <w:sz w:val="24"/>
          <w:szCs w:val="20"/>
          <w:lang w:eastAsia="ru-RU"/>
        </w:rPr>
        <w:t>ого значения ВРП не достигнуты.</w:t>
      </w:r>
    </w:p>
    <w:p w:rsidR="00885DAC" w:rsidRPr="00AD63DB" w:rsidRDefault="00885DAC" w:rsidP="00C003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D63DB">
        <w:rPr>
          <w:rFonts w:ascii="Times New Roman" w:eastAsia="Times New Roman" w:hAnsi="Times New Roman" w:cs="Times New Roman"/>
          <w:sz w:val="24"/>
          <w:szCs w:val="20"/>
          <w:lang w:eastAsia="ru-RU"/>
        </w:rPr>
        <w:t xml:space="preserve">В структуре валового регионального продукта </w:t>
      </w:r>
      <w:r w:rsidR="00AD63DB" w:rsidRPr="00AD63DB">
        <w:rPr>
          <w:rFonts w:ascii="Times New Roman" w:eastAsia="Times New Roman" w:hAnsi="Times New Roman" w:cs="Times New Roman"/>
          <w:sz w:val="24"/>
          <w:szCs w:val="20"/>
          <w:lang w:eastAsia="ru-RU"/>
        </w:rPr>
        <w:t xml:space="preserve">по данным Правительства Амурской области </w:t>
      </w:r>
      <w:r w:rsidRPr="00AD63DB">
        <w:rPr>
          <w:rFonts w:ascii="Times New Roman" w:eastAsia="Times New Roman" w:hAnsi="Times New Roman" w:cs="Times New Roman"/>
          <w:sz w:val="24"/>
          <w:szCs w:val="20"/>
          <w:lang w:eastAsia="ru-RU"/>
        </w:rPr>
        <w:t xml:space="preserve">транспорт и связь </w:t>
      </w:r>
      <w:r w:rsidR="008C4AF2" w:rsidRPr="00AD63DB">
        <w:rPr>
          <w:rFonts w:ascii="Times New Roman" w:eastAsia="Times New Roman" w:hAnsi="Times New Roman" w:cs="Times New Roman"/>
          <w:sz w:val="24"/>
          <w:szCs w:val="20"/>
          <w:lang w:eastAsia="ru-RU"/>
        </w:rPr>
        <w:t>составля</w:t>
      </w:r>
      <w:r w:rsidR="00601BD5">
        <w:rPr>
          <w:rFonts w:ascii="Times New Roman" w:eastAsia="Times New Roman" w:hAnsi="Times New Roman" w:cs="Times New Roman"/>
          <w:sz w:val="24"/>
          <w:szCs w:val="20"/>
          <w:lang w:eastAsia="ru-RU"/>
        </w:rPr>
        <w:t>ю</w:t>
      </w:r>
      <w:r w:rsidR="008C4AF2" w:rsidRPr="00AD63DB">
        <w:rPr>
          <w:rFonts w:ascii="Times New Roman" w:eastAsia="Times New Roman" w:hAnsi="Times New Roman" w:cs="Times New Roman"/>
          <w:sz w:val="24"/>
          <w:szCs w:val="20"/>
          <w:lang w:eastAsia="ru-RU"/>
        </w:rPr>
        <w:t xml:space="preserve">т </w:t>
      </w:r>
      <w:r w:rsidRPr="00AD63DB">
        <w:rPr>
          <w:rFonts w:ascii="Times New Roman" w:eastAsia="Times New Roman" w:hAnsi="Times New Roman" w:cs="Times New Roman"/>
          <w:sz w:val="24"/>
          <w:szCs w:val="20"/>
          <w:lang w:eastAsia="ru-RU"/>
        </w:rPr>
        <w:t>2</w:t>
      </w:r>
      <w:r w:rsidR="00AD63DB" w:rsidRPr="00AD63DB">
        <w:rPr>
          <w:rFonts w:ascii="Times New Roman" w:eastAsia="Times New Roman" w:hAnsi="Times New Roman" w:cs="Times New Roman"/>
          <w:sz w:val="24"/>
          <w:szCs w:val="20"/>
          <w:lang w:eastAsia="ru-RU"/>
        </w:rPr>
        <w:t>1</w:t>
      </w:r>
      <w:r w:rsidRPr="00AD63DB">
        <w:rPr>
          <w:rFonts w:ascii="Times New Roman" w:eastAsia="Times New Roman" w:hAnsi="Times New Roman" w:cs="Times New Roman"/>
          <w:sz w:val="24"/>
          <w:szCs w:val="20"/>
          <w:lang w:eastAsia="ru-RU"/>
        </w:rPr>
        <w:t>,0 процент</w:t>
      </w:r>
      <w:r w:rsidR="00AD63DB" w:rsidRPr="00AD63DB">
        <w:rPr>
          <w:rFonts w:ascii="Times New Roman" w:eastAsia="Times New Roman" w:hAnsi="Times New Roman" w:cs="Times New Roman"/>
          <w:sz w:val="24"/>
          <w:szCs w:val="20"/>
          <w:lang w:eastAsia="ru-RU"/>
        </w:rPr>
        <w:t>;</w:t>
      </w:r>
      <w:r w:rsidRPr="00AD63DB">
        <w:rPr>
          <w:rFonts w:ascii="Times New Roman" w:eastAsia="Times New Roman" w:hAnsi="Times New Roman" w:cs="Times New Roman"/>
          <w:sz w:val="24"/>
          <w:szCs w:val="20"/>
          <w:lang w:eastAsia="ru-RU"/>
        </w:rPr>
        <w:t xml:space="preserve"> добыча полезных ископаемых</w:t>
      </w:r>
      <w:r w:rsidR="00AD63DB" w:rsidRPr="00AD63DB">
        <w:rPr>
          <w:rFonts w:ascii="Times New Roman" w:eastAsia="Times New Roman" w:hAnsi="Times New Roman" w:cs="Times New Roman"/>
          <w:sz w:val="24"/>
          <w:szCs w:val="20"/>
          <w:lang w:eastAsia="ru-RU"/>
        </w:rPr>
        <w:t xml:space="preserve"> и </w:t>
      </w:r>
      <w:r w:rsidRPr="00AD63DB">
        <w:rPr>
          <w:rFonts w:ascii="Times New Roman" w:eastAsia="Times New Roman" w:hAnsi="Times New Roman" w:cs="Times New Roman"/>
          <w:sz w:val="24"/>
          <w:szCs w:val="20"/>
          <w:lang w:eastAsia="ru-RU"/>
        </w:rPr>
        <w:t xml:space="preserve">оптовая и розничная торговля – </w:t>
      </w:r>
      <w:r w:rsidR="00AD63DB" w:rsidRPr="00AD63DB">
        <w:rPr>
          <w:rFonts w:ascii="Times New Roman" w:eastAsia="Times New Roman" w:hAnsi="Times New Roman" w:cs="Times New Roman"/>
          <w:sz w:val="24"/>
          <w:szCs w:val="20"/>
          <w:lang w:eastAsia="ru-RU"/>
        </w:rPr>
        <w:t xml:space="preserve">по </w:t>
      </w:r>
      <w:r w:rsidRPr="00AD63DB">
        <w:rPr>
          <w:rFonts w:ascii="Times New Roman" w:eastAsia="Times New Roman" w:hAnsi="Times New Roman" w:cs="Times New Roman"/>
          <w:sz w:val="24"/>
          <w:szCs w:val="20"/>
          <w:lang w:eastAsia="ru-RU"/>
        </w:rPr>
        <w:t>1</w:t>
      </w:r>
      <w:r w:rsidR="00AD63DB" w:rsidRPr="00AD63DB">
        <w:rPr>
          <w:rFonts w:ascii="Times New Roman" w:eastAsia="Times New Roman" w:hAnsi="Times New Roman" w:cs="Times New Roman"/>
          <w:sz w:val="24"/>
          <w:szCs w:val="20"/>
          <w:lang w:eastAsia="ru-RU"/>
        </w:rPr>
        <w:t>2</w:t>
      </w:r>
      <w:r w:rsidRPr="00AD63DB">
        <w:rPr>
          <w:rFonts w:ascii="Times New Roman" w:eastAsia="Times New Roman" w:hAnsi="Times New Roman" w:cs="Times New Roman"/>
          <w:sz w:val="24"/>
          <w:szCs w:val="20"/>
          <w:lang w:eastAsia="ru-RU"/>
        </w:rPr>
        <w:t>,0 процентов</w:t>
      </w:r>
      <w:r w:rsidR="00AD63DB" w:rsidRPr="00AD63DB">
        <w:rPr>
          <w:rFonts w:ascii="Times New Roman" w:eastAsia="Times New Roman" w:hAnsi="Times New Roman" w:cs="Times New Roman"/>
          <w:sz w:val="24"/>
          <w:szCs w:val="20"/>
          <w:lang w:eastAsia="ru-RU"/>
        </w:rPr>
        <w:t xml:space="preserve">; </w:t>
      </w:r>
      <w:r w:rsidRPr="00AD63DB">
        <w:rPr>
          <w:rFonts w:ascii="Times New Roman" w:eastAsia="Times New Roman" w:hAnsi="Times New Roman" w:cs="Times New Roman"/>
          <w:sz w:val="24"/>
          <w:szCs w:val="20"/>
          <w:lang w:eastAsia="ru-RU"/>
        </w:rPr>
        <w:t>сельское хозяйство, охота и лесное хозяйство</w:t>
      </w:r>
      <w:r w:rsidR="00AD63DB" w:rsidRPr="00AD63DB">
        <w:rPr>
          <w:rFonts w:ascii="Times New Roman" w:eastAsia="Times New Roman" w:hAnsi="Times New Roman" w:cs="Times New Roman"/>
          <w:sz w:val="24"/>
          <w:szCs w:val="20"/>
          <w:lang w:eastAsia="ru-RU"/>
        </w:rPr>
        <w:t xml:space="preserve"> – 9,0 процентов; строительство, а также производство и распределение электроэнергии, газа и воды </w:t>
      </w:r>
      <w:r w:rsidR="00375D55">
        <w:rPr>
          <w:rFonts w:ascii="Times New Roman" w:eastAsia="Times New Roman" w:hAnsi="Times New Roman" w:cs="Times New Roman"/>
          <w:sz w:val="24"/>
          <w:szCs w:val="20"/>
          <w:lang w:eastAsia="ru-RU"/>
        </w:rPr>
        <w:t xml:space="preserve">– </w:t>
      </w:r>
      <w:r w:rsidR="00AD63DB" w:rsidRPr="00AD63DB">
        <w:rPr>
          <w:rFonts w:ascii="Times New Roman" w:eastAsia="Times New Roman" w:hAnsi="Times New Roman" w:cs="Times New Roman"/>
          <w:sz w:val="24"/>
          <w:szCs w:val="20"/>
          <w:lang w:eastAsia="ru-RU"/>
        </w:rPr>
        <w:t>по 6</w:t>
      </w:r>
      <w:r w:rsidR="00282DF9">
        <w:rPr>
          <w:rFonts w:ascii="Times New Roman" w:eastAsia="Times New Roman" w:hAnsi="Times New Roman" w:cs="Times New Roman"/>
          <w:sz w:val="24"/>
          <w:szCs w:val="20"/>
          <w:lang w:eastAsia="ru-RU"/>
        </w:rPr>
        <w:t>,0</w:t>
      </w:r>
      <w:r w:rsidR="00AD63DB" w:rsidRPr="00AD63DB">
        <w:rPr>
          <w:rFonts w:ascii="Times New Roman" w:eastAsia="Times New Roman" w:hAnsi="Times New Roman" w:cs="Times New Roman"/>
          <w:sz w:val="24"/>
          <w:szCs w:val="20"/>
          <w:lang w:eastAsia="ru-RU"/>
        </w:rPr>
        <w:t xml:space="preserve"> процентов; обрабатывающие производства - </w:t>
      </w:r>
      <w:r w:rsidR="000938F3">
        <w:rPr>
          <w:rFonts w:ascii="Times New Roman" w:eastAsia="Times New Roman" w:hAnsi="Times New Roman" w:cs="Times New Roman"/>
          <w:sz w:val="24"/>
          <w:szCs w:val="20"/>
          <w:lang w:eastAsia="ru-RU"/>
        </w:rPr>
        <w:t>5,0 процентов.</w:t>
      </w:r>
    </w:p>
    <w:p w:rsidR="00E07930" w:rsidRPr="00AD63DB" w:rsidRDefault="006823D0" w:rsidP="00C003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u w:val="single"/>
          <w:lang w:eastAsia="ru-RU"/>
        </w:rPr>
      </w:pPr>
      <w:r w:rsidRPr="00AD63DB">
        <w:rPr>
          <w:rFonts w:ascii="Times New Roman" w:eastAsia="Times New Roman" w:hAnsi="Times New Roman" w:cs="Times New Roman"/>
          <w:sz w:val="24"/>
          <w:szCs w:val="20"/>
          <w:u w:val="single"/>
          <w:lang w:eastAsia="ru-RU"/>
        </w:rPr>
        <w:lastRenderedPageBreak/>
        <w:t>1.2.1. Промышленность Амурской области.</w:t>
      </w:r>
    </w:p>
    <w:p w:rsidR="004E2B06" w:rsidRPr="00522068" w:rsidRDefault="001F472C" w:rsidP="003A15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22068">
        <w:rPr>
          <w:rFonts w:ascii="Times New Roman" w:eastAsia="Times New Roman" w:hAnsi="Times New Roman" w:cs="Times New Roman"/>
          <w:sz w:val="24"/>
          <w:szCs w:val="24"/>
          <w:lang w:eastAsia="ru-RU"/>
        </w:rPr>
        <w:t>В</w:t>
      </w:r>
      <w:r w:rsidR="00885DAC" w:rsidRPr="00522068">
        <w:rPr>
          <w:rFonts w:ascii="Times New Roman" w:eastAsia="Times New Roman" w:hAnsi="Times New Roman" w:cs="Times New Roman"/>
          <w:sz w:val="24"/>
          <w:szCs w:val="24"/>
          <w:lang w:eastAsia="ru-RU"/>
        </w:rPr>
        <w:t xml:space="preserve"> 201</w:t>
      </w:r>
      <w:r w:rsidR="00522068" w:rsidRPr="00522068">
        <w:rPr>
          <w:rFonts w:ascii="Times New Roman" w:eastAsia="Times New Roman" w:hAnsi="Times New Roman" w:cs="Times New Roman"/>
          <w:sz w:val="24"/>
          <w:szCs w:val="24"/>
          <w:lang w:eastAsia="ru-RU"/>
        </w:rPr>
        <w:t>5</w:t>
      </w:r>
      <w:r w:rsidR="004E2B06" w:rsidRPr="00522068">
        <w:rPr>
          <w:rFonts w:ascii="Times New Roman" w:eastAsia="Times New Roman" w:hAnsi="Times New Roman" w:cs="Times New Roman"/>
          <w:sz w:val="24"/>
          <w:szCs w:val="24"/>
          <w:lang w:eastAsia="ru-RU"/>
        </w:rPr>
        <w:t xml:space="preserve"> году </w:t>
      </w:r>
      <w:r w:rsidR="004E2B06" w:rsidRPr="00522068">
        <w:rPr>
          <w:rFonts w:ascii="Times New Roman" w:eastAsia="Times New Roman" w:hAnsi="Times New Roman" w:cs="Times New Roman"/>
          <w:i/>
          <w:sz w:val="24"/>
          <w:szCs w:val="24"/>
          <w:lang w:eastAsia="ru-RU"/>
        </w:rPr>
        <w:t xml:space="preserve">объем отгруженной продукции промышленного производства </w:t>
      </w:r>
      <w:r w:rsidR="004E2B06" w:rsidRPr="00522068">
        <w:rPr>
          <w:rFonts w:ascii="Times New Roman" w:eastAsia="Times New Roman" w:hAnsi="Times New Roman" w:cs="Times New Roman"/>
          <w:sz w:val="24"/>
          <w:szCs w:val="24"/>
          <w:lang w:eastAsia="ru-RU"/>
        </w:rPr>
        <w:t xml:space="preserve">составил </w:t>
      </w:r>
      <w:r w:rsidR="00522068" w:rsidRPr="00522068">
        <w:rPr>
          <w:rFonts w:ascii="Times New Roman" w:eastAsia="Times New Roman" w:hAnsi="Times New Roman" w:cs="Times New Roman"/>
          <w:sz w:val="24"/>
          <w:szCs w:val="24"/>
          <w:lang w:eastAsia="ru-RU"/>
        </w:rPr>
        <w:t>123,7</w:t>
      </w:r>
      <w:r w:rsidR="004E2B06" w:rsidRPr="00522068">
        <w:rPr>
          <w:rFonts w:ascii="Times New Roman" w:eastAsia="Times New Roman" w:hAnsi="Times New Roman" w:cs="Times New Roman"/>
          <w:sz w:val="24"/>
          <w:szCs w:val="24"/>
          <w:lang w:eastAsia="ru-RU"/>
        </w:rPr>
        <w:t xml:space="preserve"> млрд. рублей (в 201</w:t>
      </w:r>
      <w:r w:rsidR="00522068" w:rsidRPr="00522068">
        <w:rPr>
          <w:rFonts w:ascii="Times New Roman" w:eastAsia="Times New Roman" w:hAnsi="Times New Roman" w:cs="Times New Roman"/>
          <w:sz w:val="24"/>
          <w:szCs w:val="24"/>
          <w:lang w:eastAsia="ru-RU"/>
        </w:rPr>
        <w:t>4</w:t>
      </w:r>
      <w:r w:rsidR="004E2B06" w:rsidRPr="00522068">
        <w:rPr>
          <w:rFonts w:ascii="Times New Roman" w:eastAsia="Times New Roman" w:hAnsi="Times New Roman" w:cs="Times New Roman"/>
          <w:sz w:val="24"/>
          <w:szCs w:val="24"/>
          <w:lang w:eastAsia="ru-RU"/>
        </w:rPr>
        <w:t xml:space="preserve"> году – </w:t>
      </w:r>
      <w:r w:rsidR="00522068" w:rsidRPr="00522068">
        <w:rPr>
          <w:rFonts w:ascii="Times New Roman" w:eastAsia="Times New Roman" w:hAnsi="Times New Roman" w:cs="Times New Roman"/>
          <w:sz w:val="24"/>
          <w:szCs w:val="24"/>
          <w:lang w:eastAsia="ru-RU"/>
        </w:rPr>
        <w:t>109,4</w:t>
      </w:r>
      <w:r w:rsidR="004E2B06" w:rsidRPr="00522068">
        <w:rPr>
          <w:rFonts w:ascii="Times New Roman" w:eastAsia="Times New Roman" w:hAnsi="Times New Roman" w:cs="Times New Roman"/>
          <w:sz w:val="24"/>
          <w:szCs w:val="24"/>
          <w:lang w:eastAsia="ru-RU"/>
        </w:rPr>
        <w:t xml:space="preserve"> млрд. рублей)</w:t>
      </w:r>
      <w:r w:rsidR="00586785" w:rsidRPr="00522068">
        <w:rPr>
          <w:rFonts w:ascii="Times New Roman" w:eastAsia="Times New Roman" w:hAnsi="Times New Roman" w:cs="Times New Roman"/>
          <w:sz w:val="24"/>
          <w:szCs w:val="24"/>
          <w:lang w:eastAsia="ru-RU"/>
        </w:rPr>
        <w:t>,</w:t>
      </w:r>
      <w:r w:rsidR="004E2B06" w:rsidRPr="00522068">
        <w:rPr>
          <w:rFonts w:ascii="Times New Roman" w:eastAsia="Times New Roman" w:hAnsi="Times New Roman" w:cs="Times New Roman"/>
          <w:sz w:val="24"/>
          <w:szCs w:val="24"/>
          <w:lang w:eastAsia="ru-RU"/>
        </w:rPr>
        <w:t xml:space="preserve"> в том числе добыча полезных ископаемых – </w:t>
      </w:r>
      <w:r w:rsidR="00522068" w:rsidRPr="00522068">
        <w:rPr>
          <w:rFonts w:ascii="Times New Roman" w:eastAsia="Times New Roman" w:hAnsi="Times New Roman" w:cs="Times New Roman"/>
          <w:sz w:val="24"/>
          <w:szCs w:val="24"/>
          <w:lang w:eastAsia="ru-RU"/>
        </w:rPr>
        <w:t>60,2</w:t>
      </w:r>
      <w:r w:rsidR="004E2B06" w:rsidRPr="00522068">
        <w:rPr>
          <w:rFonts w:ascii="Times New Roman" w:eastAsia="Times New Roman" w:hAnsi="Times New Roman" w:cs="Times New Roman"/>
          <w:sz w:val="24"/>
          <w:szCs w:val="24"/>
          <w:lang w:eastAsia="ru-RU"/>
        </w:rPr>
        <w:t xml:space="preserve"> мл</w:t>
      </w:r>
      <w:r w:rsidR="00885DAC" w:rsidRPr="00522068">
        <w:rPr>
          <w:rFonts w:ascii="Times New Roman" w:eastAsia="Times New Roman" w:hAnsi="Times New Roman" w:cs="Times New Roman"/>
          <w:sz w:val="24"/>
          <w:szCs w:val="24"/>
          <w:lang w:eastAsia="ru-RU"/>
        </w:rPr>
        <w:t>рд</w:t>
      </w:r>
      <w:r w:rsidR="004E2B06" w:rsidRPr="00522068">
        <w:rPr>
          <w:rFonts w:ascii="Times New Roman" w:eastAsia="Times New Roman" w:hAnsi="Times New Roman" w:cs="Times New Roman"/>
          <w:sz w:val="24"/>
          <w:szCs w:val="24"/>
          <w:lang w:eastAsia="ru-RU"/>
        </w:rPr>
        <w:t>. рублей (</w:t>
      </w:r>
      <w:r w:rsidR="00522068" w:rsidRPr="00522068">
        <w:rPr>
          <w:rFonts w:ascii="Times New Roman" w:eastAsia="Times New Roman" w:hAnsi="Times New Roman" w:cs="Times New Roman"/>
          <w:sz w:val="24"/>
          <w:szCs w:val="24"/>
          <w:lang w:eastAsia="ru-RU"/>
        </w:rPr>
        <w:t>108,1</w:t>
      </w:r>
      <w:r w:rsidR="00885DAC" w:rsidRPr="00522068">
        <w:rPr>
          <w:rFonts w:ascii="Times New Roman" w:eastAsia="Times New Roman" w:hAnsi="Times New Roman" w:cs="Times New Roman"/>
          <w:sz w:val="24"/>
          <w:szCs w:val="24"/>
          <w:lang w:eastAsia="ru-RU"/>
        </w:rPr>
        <w:t xml:space="preserve"> </w:t>
      </w:r>
      <w:r w:rsidR="00586785" w:rsidRPr="00522068">
        <w:rPr>
          <w:rFonts w:ascii="Times New Roman" w:eastAsia="Times New Roman" w:hAnsi="Times New Roman" w:cs="Times New Roman"/>
          <w:sz w:val="24"/>
          <w:szCs w:val="24"/>
          <w:lang w:eastAsia="ru-RU"/>
        </w:rPr>
        <w:t xml:space="preserve">процента </w:t>
      </w:r>
      <w:r w:rsidR="00F43492" w:rsidRPr="00522068">
        <w:rPr>
          <w:rFonts w:ascii="Times New Roman" w:eastAsia="Times New Roman" w:hAnsi="Times New Roman" w:cs="Times New Roman"/>
          <w:sz w:val="24"/>
          <w:szCs w:val="24"/>
          <w:lang w:eastAsia="ru-RU"/>
        </w:rPr>
        <w:t>к уровню</w:t>
      </w:r>
      <w:r w:rsidR="00586785" w:rsidRPr="00522068">
        <w:rPr>
          <w:rFonts w:ascii="Times New Roman" w:eastAsia="Times New Roman" w:hAnsi="Times New Roman" w:cs="Times New Roman"/>
          <w:sz w:val="24"/>
          <w:szCs w:val="24"/>
          <w:lang w:eastAsia="ru-RU"/>
        </w:rPr>
        <w:t xml:space="preserve"> 201</w:t>
      </w:r>
      <w:r w:rsidR="00522068" w:rsidRPr="00522068">
        <w:rPr>
          <w:rFonts w:ascii="Times New Roman" w:eastAsia="Times New Roman" w:hAnsi="Times New Roman" w:cs="Times New Roman"/>
          <w:sz w:val="24"/>
          <w:szCs w:val="24"/>
          <w:lang w:eastAsia="ru-RU"/>
        </w:rPr>
        <w:t>4</w:t>
      </w:r>
      <w:r w:rsidR="00586785" w:rsidRPr="00522068">
        <w:rPr>
          <w:rFonts w:ascii="Times New Roman" w:eastAsia="Times New Roman" w:hAnsi="Times New Roman" w:cs="Times New Roman"/>
          <w:sz w:val="24"/>
          <w:szCs w:val="24"/>
          <w:lang w:eastAsia="ru-RU"/>
        </w:rPr>
        <w:t xml:space="preserve"> года</w:t>
      </w:r>
      <w:r w:rsidR="004E2B06" w:rsidRPr="00522068">
        <w:rPr>
          <w:rFonts w:ascii="Times New Roman" w:eastAsia="Times New Roman" w:hAnsi="Times New Roman" w:cs="Times New Roman"/>
          <w:sz w:val="24"/>
          <w:szCs w:val="24"/>
          <w:lang w:eastAsia="ru-RU"/>
        </w:rPr>
        <w:t xml:space="preserve">), обрабатывающие производства – </w:t>
      </w:r>
      <w:r w:rsidR="00522068" w:rsidRPr="00522068">
        <w:rPr>
          <w:rFonts w:ascii="Times New Roman" w:eastAsia="Times New Roman" w:hAnsi="Times New Roman" w:cs="Times New Roman"/>
          <w:sz w:val="24"/>
          <w:szCs w:val="24"/>
          <w:lang w:eastAsia="ru-RU"/>
        </w:rPr>
        <w:t>33,3</w:t>
      </w:r>
      <w:r w:rsidR="004E2B06" w:rsidRPr="00522068">
        <w:rPr>
          <w:rFonts w:ascii="Times New Roman" w:eastAsia="Times New Roman" w:hAnsi="Times New Roman" w:cs="Times New Roman"/>
          <w:sz w:val="24"/>
          <w:szCs w:val="24"/>
          <w:lang w:eastAsia="ru-RU"/>
        </w:rPr>
        <w:t xml:space="preserve"> </w:t>
      </w:r>
      <w:r w:rsidR="00885DAC" w:rsidRPr="00522068">
        <w:rPr>
          <w:rFonts w:ascii="Times New Roman" w:eastAsia="Times New Roman" w:hAnsi="Times New Roman" w:cs="Times New Roman"/>
          <w:sz w:val="24"/>
          <w:szCs w:val="24"/>
          <w:lang w:eastAsia="ru-RU"/>
        </w:rPr>
        <w:t>млрд.</w:t>
      </w:r>
      <w:r w:rsidR="004E2B06" w:rsidRPr="00522068">
        <w:rPr>
          <w:rFonts w:ascii="Times New Roman" w:eastAsia="Times New Roman" w:hAnsi="Times New Roman" w:cs="Times New Roman"/>
          <w:sz w:val="24"/>
          <w:szCs w:val="24"/>
          <w:lang w:eastAsia="ru-RU"/>
        </w:rPr>
        <w:t xml:space="preserve"> рублей </w:t>
      </w:r>
      <w:r w:rsidR="004E2B06" w:rsidRPr="007B27E1">
        <w:rPr>
          <w:rFonts w:ascii="Times New Roman" w:eastAsia="Times New Roman" w:hAnsi="Times New Roman" w:cs="Times New Roman"/>
          <w:sz w:val="24"/>
          <w:szCs w:val="24"/>
          <w:lang w:eastAsia="ru-RU"/>
        </w:rPr>
        <w:t>(</w:t>
      </w:r>
      <w:r w:rsidR="007B27E1" w:rsidRPr="007B27E1">
        <w:rPr>
          <w:rFonts w:ascii="Times New Roman" w:eastAsia="Times New Roman" w:hAnsi="Times New Roman" w:cs="Times New Roman"/>
          <w:sz w:val="24"/>
          <w:szCs w:val="24"/>
          <w:lang w:eastAsia="ru-RU"/>
        </w:rPr>
        <w:t>138,4</w:t>
      </w:r>
      <w:r w:rsidR="00586785" w:rsidRPr="007B27E1">
        <w:rPr>
          <w:rFonts w:ascii="Times New Roman" w:eastAsia="Times New Roman" w:hAnsi="Times New Roman" w:cs="Times New Roman"/>
          <w:sz w:val="24"/>
          <w:szCs w:val="24"/>
          <w:lang w:eastAsia="ru-RU"/>
        </w:rPr>
        <w:t xml:space="preserve"> процента</w:t>
      </w:r>
      <w:r w:rsidR="00586785" w:rsidRPr="00522068">
        <w:rPr>
          <w:rFonts w:ascii="Times New Roman" w:eastAsia="Times New Roman" w:hAnsi="Times New Roman" w:cs="Times New Roman"/>
          <w:sz w:val="24"/>
          <w:szCs w:val="24"/>
          <w:lang w:eastAsia="ru-RU"/>
        </w:rPr>
        <w:t xml:space="preserve"> к уровню 201</w:t>
      </w:r>
      <w:r w:rsidR="00522068" w:rsidRPr="00522068">
        <w:rPr>
          <w:rFonts w:ascii="Times New Roman" w:eastAsia="Times New Roman" w:hAnsi="Times New Roman" w:cs="Times New Roman"/>
          <w:sz w:val="24"/>
          <w:szCs w:val="24"/>
          <w:lang w:eastAsia="ru-RU"/>
        </w:rPr>
        <w:t>4</w:t>
      </w:r>
      <w:r w:rsidR="00586785" w:rsidRPr="00522068">
        <w:rPr>
          <w:rFonts w:ascii="Times New Roman" w:eastAsia="Times New Roman" w:hAnsi="Times New Roman" w:cs="Times New Roman"/>
          <w:sz w:val="24"/>
          <w:szCs w:val="24"/>
          <w:lang w:eastAsia="ru-RU"/>
        </w:rPr>
        <w:t xml:space="preserve"> года</w:t>
      </w:r>
      <w:r w:rsidR="004E2B06" w:rsidRPr="00522068">
        <w:rPr>
          <w:rFonts w:ascii="Times New Roman" w:eastAsia="Times New Roman" w:hAnsi="Times New Roman" w:cs="Times New Roman"/>
          <w:sz w:val="24"/>
          <w:szCs w:val="24"/>
          <w:lang w:eastAsia="ru-RU"/>
        </w:rPr>
        <w:t xml:space="preserve">), производство и распределение электроэнергии, газа и воды – </w:t>
      </w:r>
      <w:r w:rsidR="00522068" w:rsidRPr="00522068">
        <w:rPr>
          <w:rFonts w:ascii="Times New Roman" w:eastAsia="Times New Roman" w:hAnsi="Times New Roman" w:cs="Times New Roman"/>
          <w:sz w:val="24"/>
          <w:szCs w:val="24"/>
          <w:lang w:eastAsia="ru-RU"/>
        </w:rPr>
        <w:t>30,2</w:t>
      </w:r>
      <w:r w:rsidR="004E2B06" w:rsidRPr="00522068">
        <w:rPr>
          <w:rFonts w:ascii="Times New Roman" w:eastAsia="Times New Roman" w:hAnsi="Times New Roman" w:cs="Times New Roman"/>
          <w:sz w:val="24"/>
          <w:szCs w:val="24"/>
          <w:lang w:eastAsia="ru-RU"/>
        </w:rPr>
        <w:t xml:space="preserve"> </w:t>
      </w:r>
      <w:r w:rsidR="00885DAC" w:rsidRPr="00522068">
        <w:rPr>
          <w:rFonts w:ascii="Times New Roman" w:eastAsia="Times New Roman" w:hAnsi="Times New Roman" w:cs="Times New Roman"/>
          <w:sz w:val="24"/>
          <w:szCs w:val="24"/>
          <w:lang w:eastAsia="ru-RU"/>
        </w:rPr>
        <w:t xml:space="preserve">млрд. </w:t>
      </w:r>
      <w:r w:rsidR="004E2B06" w:rsidRPr="00522068">
        <w:rPr>
          <w:rFonts w:ascii="Times New Roman" w:eastAsia="Times New Roman" w:hAnsi="Times New Roman" w:cs="Times New Roman"/>
          <w:sz w:val="24"/>
          <w:szCs w:val="24"/>
          <w:lang w:eastAsia="ru-RU"/>
        </w:rPr>
        <w:t>рублей (</w:t>
      </w:r>
      <w:r w:rsidR="00885DAC" w:rsidRPr="00522068">
        <w:rPr>
          <w:rFonts w:ascii="Times New Roman" w:eastAsia="Times New Roman" w:hAnsi="Times New Roman" w:cs="Times New Roman"/>
          <w:sz w:val="24"/>
          <w:szCs w:val="24"/>
          <w:lang w:eastAsia="ru-RU"/>
        </w:rPr>
        <w:t>10</w:t>
      </w:r>
      <w:r w:rsidR="00522068" w:rsidRPr="00522068">
        <w:rPr>
          <w:rFonts w:ascii="Times New Roman" w:eastAsia="Times New Roman" w:hAnsi="Times New Roman" w:cs="Times New Roman"/>
          <w:sz w:val="24"/>
          <w:szCs w:val="24"/>
          <w:lang w:eastAsia="ru-RU"/>
        </w:rPr>
        <w:t>1</w:t>
      </w:r>
      <w:r w:rsidR="00885DAC" w:rsidRPr="00522068">
        <w:rPr>
          <w:rFonts w:ascii="Times New Roman" w:eastAsia="Times New Roman" w:hAnsi="Times New Roman" w:cs="Times New Roman"/>
          <w:sz w:val="24"/>
          <w:szCs w:val="24"/>
          <w:lang w:eastAsia="ru-RU"/>
        </w:rPr>
        <w:t>,</w:t>
      </w:r>
      <w:r w:rsidR="00522068" w:rsidRPr="00522068">
        <w:rPr>
          <w:rFonts w:ascii="Times New Roman" w:eastAsia="Times New Roman" w:hAnsi="Times New Roman" w:cs="Times New Roman"/>
          <w:sz w:val="24"/>
          <w:szCs w:val="24"/>
          <w:lang w:eastAsia="ru-RU"/>
        </w:rPr>
        <w:t>9</w:t>
      </w:r>
      <w:r w:rsidR="004E2B06" w:rsidRPr="00522068">
        <w:rPr>
          <w:rFonts w:ascii="Times New Roman" w:eastAsia="Times New Roman" w:hAnsi="Times New Roman" w:cs="Times New Roman"/>
          <w:sz w:val="24"/>
          <w:szCs w:val="24"/>
          <w:lang w:eastAsia="ru-RU"/>
        </w:rPr>
        <w:t xml:space="preserve"> процента </w:t>
      </w:r>
      <w:r w:rsidR="00F43492" w:rsidRPr="00522068">
        <w:rPr>
          <w:rFonts w:ascii="Times New Roman" w:eastAsia="Times New Roman" w:hAnsi="Times New Roman" w:cs="Times New Roman"/>
          <w:sz w:val="24"/>
          <w:szCs w:val="24"/>
          <w:lang w:eastAsia="ru-RU"/>
        </w:rPr>
        <w:t>к</w:t>
      </w:r>
      <w:r w:rsidR="00586785" w:rsidRPr="00522068">
        <w:rPr>
          <w:rFonts w:ascii="Times New Roman" w:eastAsia="Times New Roman" w:hAnsi="Times New Roman" w:cs="Times New Roman"/>
          <w:sz w:val="24"/>
          <w:szCs w:val="24"/>
          <w:lang w:eastAsia="ru-RU"/>
        </w:rPr>
        <w:t xml:space="preserve"> уровн</w:t>
      </w:r>
      <w:r w:rsidR="00F43492" w:rsidRPr="00522068">
        <w:rPr>
          <w:rFonts w:ascii="Times New Roman" w:eastAsia="Times New Roman" w:hAnsi="Times New Roman" w:cs="Times New Roman"/>
          <w:sz w:val="24"/>
          <w:szCs w:val="24"/>
          <w:lang w:eastAsia="ru-RU"/>
        </w:rPr>
        <w:t>ю</w:t>
      </w:r>
      <w:r w:rsidR="00885DAC" w:rsidRPr="00522068">
        <w:rPr>
          <w:rFonts w:ascii="Times New Roman" w:eastAsia="Times New Roman" w:hAnsi="Times New Roman" w:cs="Times New Roman"/>
          <w:sz w:val="24"/>
          <w:szCs w:val="24"/>
          <w:lang w:eastAsia="ru-RU"/>
        </w:rPr>
        <w:t xml:space="preserve"> 201</w:t>
      </w:r>
      <w:r w:rsidR="00522068" w:rsidRPr="00522068">
        <w:rPr>
          <w:rFonts w:ascii="Times New Roman" w:eastAsia="Times New Roman" w:hAnsi="Times New Roman" w:cs="Times New Roman"/>
          <w:sz w:val="24"/>
          <w:szCs w:val="24"/>
          <w:lang w:eastAsia="ru-RU"/>
        </w:rPr>
        <w:t>4</w:t>
      </w:r>
      <w:r w:rsidR="00586785" w:rsidRPr="00522068">
        <w:rPr>
          <w:rFonts w:ascii="Times New Roman" w:eastAsia="Times New Roman" w:hAnsi="Times New Roman" w:cs="Times New Roman"/>
          <w:sz w:val="24"/>
          <w:szCs w:val="24"/>
          <w:lang w:eastAsia="ru-RU"/>
        </w:rPr>
        <w:t xml:space="preserve"> года</w:t>
      </w:r>
      <w:proofErr w:type="gramEnd"/>
      <w:r w:rsidR="004E2B06" w:rsidRPr="00522068">
        <w:rPr>
          <w:rFonts w:ascii="Times New Roman" w:eastAsia="Times New Roman" w:hAnsi="Times New Roman" w:cs="Times New Roman"/>
          <w:sz w:val="24"/>
          <w:szCs w:val="24"/>
          <w:lang w:eastAsia="ru-RU"/>
        </w:rPr>
        <w:t>). Структура отгруженной продукции по видам деятельности за 20</w:t>
      </w:r>
      <w:r w:rsidR="00522068">
        <w:rPr>
          <w:rFonts w:ascii="Times New Roman" w:eastAsia="Times New Roman" w:hAnsi="Times New Roman" w:cs="Times New Roman"/>
          <w:sz w:val="24"/>
          <w:szCs w:val="24"/>
          <w:lang w:eastAsia="ru-RU"/>
        </w:rPr>
        <w:t>11</w:t>
      </w:r>
      <w:r w:rsidR="004E2B06" w:rsidRPr="00522068">
        <w:rPr>
          <w:rFonts w:ascii="Times New Roman" w:eastAsia="Times New Roman" w:hAnsi="Times New Roman" w:cs="Times New Roman"/>
          <w:sz w:val="24"/>
          <w:szCs w:val="24"/>
          <w:lang w:eastAsia="ru-RU"/>
        </w:rPr>
        <w:t>-201</w:t>
      </w:r>
      <w:r w:rsidR="00522068">
        <w:rPr>
          <w:rFonts w:ascii="Times New Roman" w:eastAsia="Times New Roman" w:hAnsi="Times New Roman" w:cs="Times New Roman"/>
          <w:sz w:val="24"/>
          <w:szCs w:val="24"/>
          <w:lang w:eastAsia="ru-RU"/>
        </w:rPr>
        <w:t>5</w:t>
      </w:r>
      <w:r w:rsidR="004E2B06" w:rsidRPr="00522068">
        <w:rPr>
          <w:rFonts w:ascii="Times New Roman" w:eastAsia="Times New Roman" w:hAnsi="Times New Roman" w:cs="Times New Roman"/>
          <w:sz w:val="24"/>
          <w:szCs w:val="24"/>
          <w:lang w:eastAsia="ru-RU"/>
        </w:rPr>
        <w:t xml:space="preserve"> годы приведена на рисунке </w:t>
      </w:r>
      <w:r w:rsidR="00A21CFE" w:rsidRPr="00522068">
        <w:rPr>
          <w:rFonts w:ascii="Times New Roman" w:eastAsia="Times New Roman" w:hAnsi="Times New Roman" w:cs="Times New Roman"/>
          <w:sz w:val="24"/>
          <w:szCs w:val="24"/>
          <w:lang w:eastAsia="ru-RU"/>
        </w:rPr>
        <w:t>7</w:t>
      </w:r>
      <w:r w:rsidR="004E2B06" w:rsidRPr="00522068">
        <w:rPr>
          <w:rFonts w:ascii="Times New Roman" w:eastAsia="Times New Roman" w:hAnsi="Times New Roman" w:cs="Times New Roman"/>
          <w:sz w:val="24"/>
          <w:szCs w:val="24"/>
          <w:lang w:eastAsia="ru-RU"/>
        </w:rPr>
        <w:t>.</w:t>
      </w:r>
    </w:p>
    <w:p w:rsidR="004E2B06" w:rsidRPr="003805E5" w:rsidRDefault="004E2B06" w:rsidP="004E2B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574F">
        <w:rPr>
          <w:rFonts w:ascii="Times New Roman" w:eastAsia="Times New Roman" w:hAnsi="Times New Roman" w:cs="Times New Roman"/>
          <w:noProof/>
          <w:color w:val="FF0000"/>
          <w:sz w:val="20"/>
          <w:szCs w:val="20"/>
          <w:lang w:eastAsia="ru-RU"/>
        </w:rPr>
        <w:drawing>
          <wp:inline distT="0" distB="0" distL="0" distR="0" wp14:anchorId="2666F659" wp14:editId="57058B06">
            <wp:extent cx="6096000" cy="2781300"/>
            <wp:effectExtent l="0" t="0" r="0" b="0"/>
            <wp:docPr id="1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2B06" w:rsidRPr="00522068" w:rsidRDefault="00586785" w:rsidP="004E2B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2068">
        <w:rPr>
          <w:rFonts w:ascii="Times New Roman" w:eastAsia="Times New Roman" w:hAnsi="Times New Roman" w:cs="Times New Roman"/>
          <w:b/>
          <w:sz w:val="24"/>
          <w:szCs w:val="24"/>
          <w:lang w:eastAsia="ru-RU"/>
        </w:rPr>
        <w:t xml:space="preserve">Рис. </w:t>
      </w:r>
      <w:r w:rsidR="00A21CFE" w:rsidRPr="00522068">
        <w:rPr>
          <w:rFonts w:ascii="Times New Roman" w:eastAsia="Times New Roman" w:hAnsi="Times New Roman" w:cs="Times New Roman"/>
          <w:b/>
          <w:sz w:val="24"/>
          <w:szCs w:val="24"/>
          <w:lang w:eastAsia="ru-RU"/>
        </w:rPr>
        <w:t>7</w:t>
      </w:r>
      <w:r w:rsidR="004E2B06" w:rsidRPr="00522068">
        <w:rPr>
          <w:rFonts w:ascii="Times New Roman" w:eastAsia="Times New Roman" w:hAnsi="Times New Roman" w:cs="Times New Roman"/>
          <w:b/>
          <w:sz w:val="24"/>
          <w:szCs w:val="24"/>
          <w:lang w:eastAsia="ru-RU"/>
        </w:rPr>
        <w:t xml:space="preserve"> – Структура отгруженной продукции по видам деятельности за 20</w:t>
      </w:r>
      <w:r w:rsidR="00522068" w:rsidRPr="00522068">
        <w:rPr>
          <w:rFonts w:ascii="Times New Roman" w:eastAsia="Times New Roman" w:hAnsi="Times New Roman" w:cs="Times New Roman"/>
          <w:b/>
          <w:sz w:val="24"/>
          <w:szCs w:val="24"/>
          <w:lang w:eastAsia="ru-RU"/>
        </w:rPr>
        <w:t>11</w:t>
      </w:r>
      <w:r w:rsidR="004E2B06" w:rsidRPr="00522068">
        <w:rPr>
          <w:rFonts w:ascii="Times New Roman" w:eastAsia="Times New Roman" w:hAnsi="Times New Roman" w:cs="Times New Roman"/>
          <w:b/>
          <w:sz w:val="24"/>
          <w:szCs w:val="24"/>
          <w:lang w:eastAsia="ru-RU"/>
        </w:rPr>
        <w:t>-201</w:t>
      </w:r>
      <w:r w:rsidR="00522068" w:rsidRPr="00522068">
        <w:rPr>
          <w:rFonts w:ascii="Times New Roman" w:eastAsia="Times New Roman" w:hAnsi="Times New Roman" w:cs="Times New Roman"/>
          <w:b/>
          <w:sz w:val="24"/>
          <w:szCs w:val="24"/>
          <w:lang w:eastAsia="ru-RU"/>
        </w:rPr>
        <w:t>5</w:t>
      </w:r>
      <w:r w:rsidR="004E2B06" w:rsidRPr="00522068">
        <w:rPr>
          <w:rFonts w:ascii="Times New Roman" w:eastAsia="Times New Roman" w:hAnsi="Times New Roman" w:cs="Times New Roman"/>
          <w:b/>
          <w:sz w:val="24"/>
          <w:szCs w:val="24"/>
          <w:lang w:eastAsia="ru-RU"/>
        </w:rPr>
        <w:t xml:space="preserve"> годы</w:t>
      </w:r>
    </w:p>
    <w:p w:rsidR="002717FA" w:rsidRDefault="006823D0" w:rsidP="00EF4C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B5D0D">
        <w:rPr>
          <w:rFonts w:ascii="Times New Roman" w:eastAsia="Times New Roman" w:hAnsi="Times New Roman" w:cs="Times New Roman"/>
          <w:i/>
          <w:sz w:val="24"/>
          <w:szCs w:val="20"/>
          <w:lang w:eastAsia="ru-RU"/>
        </w:rPr>
        <w:t>Индекс промышленного производства</w:t>
      </w:r>
      <w:r w:rsidRPr="002B5D0D">
        <w:rPr>
          <w:rFonts w:ascii="Times New Roman" w:eastAsia="Times New Roman" w:hAnsi="Times New Roman" w:cs="Times New Roman"/>
          <w:sz w:val="24"/>
          <w:szCs w:val="20"/>
          <w:lang w:eastAsia="ru-RU"/>
        </w:rPr>
        <w:t xml:space="preserve"> за 201</w:t>
      </w:r>
      <w:r w:rsidR="00EF7FCA" w:rsidRPr="002B5D0D">
        <w:rPr>
          <w:rFonts w:ascii="Times New Roman" w:eastAsia="Times New Roman" w:hAnsi="Times New Roman" w:cs="Times New Roman"/>
          <w:sz w:val="24"/>
          <w:szCs w:val="20"/>
          <w:lang w:eastAsia="ru-RU"/>
        </w:rPr>
        <w:t>5</w:t>
      </w:r>
      <w:r w:rsidRPr="002B5D0D">
        <w:rPr>
          <w:rFonts w:ascii="Times New Roman" w:eastAsia="Times New Roman" w:hAnsi="Times New Roman" w:cs="Times New Roman"/>
          <w:sz w:val="24"/>
          <w:szCs w:val="20"/>
          <w:lang w:eastAsia="ru-RU"/>
        </w:rPr>
        <w:t xml:space="preserve"> год по отношению к 201</w:t>
      </w:r>
      <w:r w:rsidR="00EF7FCA" w:rsidRPr="002B5D0D">
        <w:rPr>
          <w:rFonts w:ascii="Times New Roman" w:eastAsia="Times New Roman" w:hAnsi="Times New Roman" w:cs="Times New Roman"/>
          <w:sz w:val="24"/>
          <w:szCs w:val="20"/>
          <w:lang w:eastAsia="ru-RU"/>
        </w:rPr>
        <w:t>4</w:t>
      </w:r>
      <w:r w:rsidRPr="002B5D0D">
        <w:rPr>
          <w:rFonts w:ascii="Times New Roman" w:eastAsia="Times New Roman" w:hAnsi="Times New Roman" w:cs="Times New Roman"/>
          <w:sz w:val="24"/>
          <w:szCs w:val="20"/>
          <w:lang w:eastAsia="ru-RU"/>
        </w:rPr>
        <w:t xml:space="preserve"> году </w:t>
      </w:r>
      <w:r w:rsidR="0083123E" w:rsidRPr="002B5D0D">
        <w:rPr>
          <w:rFonts w:ascii="Times New Roman" w:eastAsia="Times New Roman" w:hAnsi="Times New Roman" w:cs="Times New Roman"/>
          <w:sz w:val="24"/>
          <w:szCs w:val="20"/>
          <w:lang w:eastAsia="ru-RU"/>
        </w:rPr>
        <w:t xml:space="preserve">по данным Территориального </w:t>
      </w:r>
      <w:r w:rsidR="0083123E" w:rsidRPr="002B5D0D">
        <w:rPr>
          <w:rFonts w:ascii="Times New Roman" w:eastAsia="Times New Roman" w:hAnsi="Times New Roman" w:cs="Times New Roman"/>
          <w:sz w:val="24"/>
          <w:szCs w:val="24"/>
          <w:lang w:eastAsia="ru-RU"/>
        </w:rPr>
        <w:t>органа Федеральной службы государственной статистики по Амурской области</w:t>
      </w:r>
      <w:r w:rsidR="0083123E" w:rsidRPr="002B5D0D">
        <w:rPr>
          <w:rFonts w:ascii="Times New Roman" w:eastAsia="Times New Roman" w:hAnsi="Times New Roman" w:cs="Times New Roman"/>
          <w:sz w:val="24"/>
          <w:szCs w:val="20"/>
          <w:lang w:eastAsia="ru-RU"/>
        </w:rPr>
        <w:t xml:space="preserve"> </w:t>
      </w:r>
      <w:r w:rsidRPr="002B5D0D">
        <w:rPr>
          <w:rFonts w:ascii="Times New Roman" w:eastAsia="Times New Roman" w:hAnsi="Times New Roman" w:cs="Times New Roman"/>
          <w:sz w:val="24"/>
          <w:szCs w:val="20"/>
          <w:lang w:eastAsia="ru-RU"/>
        </w:rPr>
        <w:t xml:space="preserve">составил </w:t>
      </w:r>
      <w:r w:rsidR="00EF7FCA" w:rsidRPr="002B5D0D">
        <w:rPr>
          <w:rFonts w:ascii="Times New Roman" w:eastAsia="Times New Roman" w:hAnsi="Times New Roman" w:cs="Times New Roman"/>
          <w:sz w:val="24"/>
          <w:szCs w:val="20"/>
          <w:lang w:eastAsia="ru-RU"/>
        </w:rPr>
        <w:t>9</w:t>
      </w:r>
      <w:r w:rsidR="004E3842" w:rsidRPr="002B5D0D">
        <w:rPr>
          <w:rFonts w:ascii="Times New Roman" w:eastAsia="Times New Roman" w:hAnsi="Times New Roman" w:cs="Times New Roman"/>
          <w:sz w:val="24"/>
          <w:szCs w:val="20"/>
          <w:lang w:eastAsia="ru-RU"/>
        </w:rPr>
        <w:t>1</w:t>
      </w:r>
      <w:r w:rsidR="00EF7FCA" w:rsidRPr="002B5D0D">
        <w:rPr>
          <w:rFonts w:ascii="Times New Roman" w:eastAsia="Times New Roman" w:hAnsi="Times New Roman" w:cs="Times New Roman"/>
          <w:sz w:val="24"/>
          <w:szCs w:val="20"/>
          <w:lang w:eastAsia="ru-RU"/>
        </w:rPr>
        <w:t>,0</w:t>
      </w:r>
      <w:r w:rsidRPr="002B5D0D">
        <w:rPr>
          <w:rFonts w:ascii="Times New Roman" w:eastAsia="Times New Roman" w:hAnsi="Times New Roman" w:cs="Times New Roman"/>
          <w:sz w:val="24"/>
          <w:szCs w:val="20"/>
          <w:lang w:eastAsia="ru-RU"/>
        </w:rPr>
        <w:t xml:space="preserve"> процент (за 201</w:t>
      </w:r>
      <w:r w:rsidR="00EF7FCA" w:rsidRPr="002B5D0D">
        <w:rPr>
          <w:rFonts w:ascii="Times New Roman" w:eastAsia="Times New Roman" w:hAnsi="Times New Roman" w:cs="Times New Roman"/>
          <w:sz w:val="24"/>
          <w:szCs w:val="20"/>
          <w:lang w:eastAsia="ru-RU"/>
        </w:rPr>
        <w:t>4</w:t>
      </w:r>
      <w:r w:rsidRPr="002B5D0D">
        <w:rPr>
          <w:rFonts w:ascii="Times New Roman" w:eastAsia="Times New Roman" w:hAnsi="Times New Roman" w:cs="Times New Roman"/>
          <w:sz w:val="24"/>
          <w:szCs w:val="20"/>
          <w:lang w:eastAsia="ru-RU"/>
        </w:rPr>
        <w:t xml:space="preserve"> год к 201</w:t>
      </w:r>
      <w:r w:rsidR="00EF7FCA" w:rsidRPr="002B5D0D">
        <w:rPr>
          <w:rFonts w:ascii="Times New Roman" w:eastAsia="Times New Roman" w:hAnsi="Times New Roman" w:cs="Times New Roman"/>
          <w:sz w:val="24"/>
          <w:szCs w:val="20"/>
          <w:lang w:eastAsia="ru-RU"/>
        </w:rPr>
        <w:t>3</w:t>
      </w:r>
      <w:r w:rsidRPr="002B5D0D">
        <w:rPr>
          <w:rFonts w:ascii="Times New Roman" w:eastAsia="Times New Roman" w:hAnsi="Times New Roman" w:cs="Times New Roman"/>
          <w:sz w:val="24"/>
          <w:szCs w:val="20"/>
          <w:lang w:eastAsia="ru-RU"/>
        </w:rPr>
        <w:t xml:space="preserve"> году – </w:t>
      </w:r>
      <w:r w:rsidR="00EF7FCA" w:rsidRPr="002B5D0D">
        <w:rPr>
          <w:rFonts w:ascii="Times New Roman" w:eastAsia="Times New Roman" w:hAnsi="Times New Roman" w:cs="Times New Roman"/>
          <w:sz w:val="24"/>
          <w:szCs w:val="20"/>
          <w:lang w:eastAsia="ru-RU"/>
        </w:rPr>
        <w:t>98,3</w:t>
      </w:r>
      <w:r w:rsidRPr="002B5D0D">
        <w:rPr>
          <w:rFonts w:ascii="Times New Roman" w:eastAsia="Times New Roman" w:hAnsi="Times New Roman" w:cs="Times New Roman"/>
          <w:sz w:val="24"/>
          <w:szCs w:val="20"/>
          <w:lang w:eastAsia="ru-RU"/>
        </w:rPr>
        <w:t xml:space="preserve"> процента), что</w:t>
      </w:r>
      <w:r w:rsidR="0083123E" w:rsidRPr="002B5D0D">
        <w:rPr>
          <w:rFonts w:ascii="Times New Roman" w:eastAsia="Times New Roman" w:hAnsi="Times New Roman" w:cs="Times New Roman"/>
          <w:sz w:val="24"/>
          <w:szCs w:val="20"/>
          <w:lang w:eastAsia="ru-RU"/>
        </w:rPr>
        <w:t xml:space="preserve"> на </w:t>
      </w:r>
      <w:r w:rsidR="002B5D0D" w:rsidRPr="002B5D0D">
        <w:rPr>
          <w:rFonts w:ascii="Times New Roman" w:eastAsia="Times New Roman" w:hAnsi="Times New Roman" w:cs="Times New Roman"/>
          <w:sz w:val="24"/>
          <w:szCs w:val="20"/>
          <w:lang w:eastAsia="ru-RU"/>
        </w:rPr>
        <w:br/>
      </w:r>
      <w:r w:rsidR="004E3842" w:rsidRPr="002B5D0D">
        <w:rPr>
          <w:rFonts w:ascii="Times New Roman" w:eastAsia="Times New Roman" w:hAnsi="Times New Roman" w:cs="Times New Roman"/>
          <w:sz w:val="24"/>
          <w:szCs w:val="20"/>
          <w:lang w:eastAsia="ru-RU"/>
        </w:rPr>
        <w:t>5,</w:t>
      </w:r>
      <w:r w:rsidR="008C4AF2" w:rsidRPr="002B5D0D">
        <w:rPr>
          <w:rFonts w:ascii="Times New Roman" w:eastAsia="Times New Roman" w:hAnsi="Times New Roman" w:cs="Times New Roman"/>
          <w:sz w:val="24"/>
          <w:szCs w:val="20"/>
          <w:lang w:eastAsia="ru-RU"/>
        </w:rPr>
        <w:t>6</w:t>
      </w:r>
      <w:r w:rsidR="0083123E" w:rsidRPr="002B5D0D">
        <w:rPr>
          <w:rFonts w:ascii="Times New Roman" w:eastAsia="Times New Roman" w:hAnsi="Times New Roman" w:cs="Times New Roman"/>
          <w:sz w:val="24"/>
          <w:szCs w:val="20"/>
          <w:lang w:eastAsia="ru-RU"/>
        </w:rPr>
        <w:t xml:space="preserve"> процент</w:t>
      </w:r>
      <w:r w:rsidR="004E3842" w:rsidRPr="002B5D0D">
        <w:rPr>
          <w:rFonts w:ascii="Times New Roman" w:eastAsia="Times New Roman" w:hAnsi="Times New Roman" w:cs="Times New Roman"/>
          <w:sz w:val="24"/>
          <w:szCs w:val="20"/>
          <w:lang w:eastAsia="ru-RU"/>
        </w:rPr>
        <w:t>а</w:t>
      </w:r>
      <w:r w:rsidR="008C4AF2" w:rsidRPr="002B5D0D">
        <w:rPr>
          <w:rFonts w:ascii="Times New Roman" w:eastAsia="Times New Roman" w:hAnsi="Times New Roman" w:cs="Times New Roman"/>
          <w:sz w:val="24"/>
          <w:szCs w:val="20"/>
          <w:lang w:eastAsia="ru-RU"/>
        </w:rPr>
        <w:t xml:space="preserve"> ниж</w:t>
      </w:r>
      <w:r w:rsidR="0083123E" w:rsidRPr="002B5D0D">
        <w:rPr>
          <w:rFonts w:ascii="Times New Roman" w:eastAsia="Times New Roman" w:hAnsi="Times New Roman" w:cs="Times New Roman"/>
          <w:sz w:val="24"/>
          <w:szCs w:val="20"/>
          <w:lang w:eastAsia="ru-RU"/>
        </w:rPr>
        <w:t>е уровня аналогичного показателя в целом по России (</w:t>
      </w:r>
      <w:r w:rsidR="00EF7FCA" w:rsidRPr="002B5D0D">
        <w:rPr>
          <w:rFonts w:ascii="Times New Roman" w:eastAsia="Times New Roman" w:hAnsi="Times New Roman" w:cs="Times New Roman"/>
          <w:sz w:val="24"/>
          <w:szCs w:val="20"/>
          <w:lang w:eastAsia="ru-RU"/>
        </w:rPr>
        <w:t>96,6</w:t>
      </w:r>
      <w:r w:rsidR="0083123E" w:rsidRPr="002B5D0D">
        <w:rPr>
          <w:rFonts w:ascii="Times New Roman" w:eastAsia="Times New Roman" w:hAnsi="Times New Roman" w:cs="Times New Roman"/>
          <w:sz w:val="24"/>
          <w:szCs w:val="20"/>
          <w:lang w:eastAsia="ru-RU"/>
        </w:rPr>
        <w:t xml:space="preserve"> процента).</w:t>
      </w:r>
      <w:r w:rsidR="006D7885" w:rsidRPr="002B5D0D">
        <w:rPr>
          <w:rFonts w:ascii="Times New Roman" w:eastAsia="Times New Roman" w:hAnsi="Times New Roman" w:cs="Times New Roman"/>
          <w:sz w:val="24"/>
          <w:szCs w:val="20"/>
          <w:lang w:eastAsia="ru-RU"/>
        </w:rPr>
        <w:t xml:space="preserve"> </w:t>
      </w:r>
      <w:r w:rsidR="006D7885" w:rsidRPr="002717FA">
        <w:rPr>
          <w:rFonts w:ascii="Times New Roman" w:eastAsia="Times New Roman" w:hAnsi="Times New Roman" w:cs="Times New Roman"/>
          <w:sz w:val="24"/>
          <w:szCs w:val="20"/>
          <w:lang w:eastAsia="ru-RU"/>
        </w:rPr>
        <w:t>Согласно данным Федеральной службы государственной статистики по данному показателю в 201</w:t>
      </w:r>
      <w:r w:rsidR="00EF7FCA" w:rsidRPr="002717FA">
        <w:rPr>
          <w:rFonts w:ascii="Times New Roman" w:eastAsia="Times New Roman" w:hAnsi="Times New Roman" w:cs="Times New Roman"/>
          <w:sz w:val="24"/>
          <w:szCs w:val="20"/>
          <w:lang w:eastAsia="ru-RU"/>
        </w:rPr>
        <w:t>5</w:t>
      </w:r>
      <w:r w:rsidR="006D7885" w:rsidRPr="002717FA">
        <w:rPr>
          <w:rFonts w:ascii="Times New Roman" w:eastAsia="Times New Roman" w:hAnsi="Times New Roman" w:cs="Times New Roman"/>
          <w:sz w:val="24"/>
          <w:szCs w:val="20"/>
          <w:lang w:eastAsia="ru-RU"/>
        </w:rPr>
        <w:t xml:space="preserve"> году Амурская область занимала </w:t>
      </w:r>
      <w:r w:rsidR="003805E5">
        <w:rPr>
          <w:rFonts w:ascii="Times New Roman" w:eastAsia="Times New Roman" w:hAnsi="Times New Roman" w:cs="Times New Roman"/>
          <w:sz w:val="24"/>
          <w:szCs w:val="20"/>
          <w:lang w:eastAsia="ru-RU"/>
        </w:rPr>
        <w:t>седьмое</w:t>
      </w:r>
      <w:r w:rsidR="006D7885" w:rsidRPr="002717FA">
        <w:rPr>
          <w:rFonts w:ascii="Times New Roman" w:eastAsia="Times New Roman" w:hAnsi="Times New Roman" w:cs="Times New Roman"/>
          <w:sz w:val="24"/>
          <w:szCs w:val="20"/>
          <w:lang w:eastAsia="ru-RU"/>
        </w:rPr>
        <w:t xml:space="preserve"> место среди субъектов Дальневосточного </w:t>
      </w:r>
      <w:r w:rsidR="002717FA" w:rsidRPr="002717FA">
        <w:rPr>
          <w:rFonts w:ascii="Times New Roman" w:eastAsia="Times New Roman" w:hAnsi="Times New Roman" w:cs="Times New Roman"/>
          <w:sz w:val="24"/>
          <w:szCs w:val="20"/>
          <w:lang w:eastAsia="ru-RU"/>
        </w:rPr>
        <w:t>Ф</w:t>
      </w:r>
      <w:r w:rsidR="006D7885" w:rsidRPr="002717FA">
        <w:rPr>
          <w:rFonts w:ascii="Times New Roman" w:eastAsia="Times New Roman" w:hAnsi="Times New Roman" w:cs="Times New Roman"/>
          <w:sz w:val="24"/>
          <w:szCs w:val="20"/>
          <w:lang w:eastAsia="ru-RU"/>
        </w:rPr>
        <w:t>едерального округа.</w:t>
      </w:r>
    </w:p>
    <w:p w:rsidR="00EF4CEF" w:rsidRPr="00C536A9" w:rsidRDefault="00EF4CEF" w:rsidP="00EF4C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6A9">
        <w:rPr>
          <w:rFonts w:ascii="Times New Roman" w:eastAsia="Times New Roman" w:hAnsi="Times New Roman" w:cs="Times New Roman"/>
          <w:sz w:val="24"/>
          <w:szCs w:val="20"/>
          <w:lang w:eastAsia="ru-RU"/>
        </w:rPr>
        <w:t>Динамика</w:t>
      </w:r>
      <w:r w:rsidR="008C4AF2" w:rsidRPr="00C536A9">
        <w:rPr>
          <w:rFonts w:ascii="Times New Roman" w:eastAsia="Times New Roman" w:hAnsi="Times New Roman" w:cs="Times New Roman"/>
          <w:sz w:val="24"/>
          <w:szCs w:val="20"/>
          <w:lang w:eastAsia="ru-RU"/>
        </w:rPr>
        <w:t xml:space="preserve"> индекса</w:t>
      </w:r>
      <w:r w:rsidRPr="00C536A9">
        <w:rPr>
          <w:rFonts w:ascii="Times New Roman" w:eastAsia="Times New Roman" w:hAnsi="Times New Roman" w:cs="Times New Roman"/>
          <w:sz w:val="24"/>
          <w:szCs w:val="20"/>
          <w:lang w:eastAsia="ru-RU"/>
        </w:rPr>
        <w:t xml:space="preserve"> промышленного производства по основным видам деятельности приведена на рисунке </w:t>
      </w:r>
      <w:r w:rsidR="00A21CFE" w:rsidRPr="00C536A9">
        <w:rPr>
          <w:rFonts w:ascii="Times New Roman" w:eastAsia="Times New Roman" w:hAnsi="Times New Roman" w:cs="Times New Roman"/>
          <w:sz w:val="24"/>
          <w:szCs w:val="20"/>
          <w:lang w:eastAsia="ru-RU"/>
        </w:rPr>
        <w:t>8</w:t>
      </w:r>
      <w:r w:rsidRPr="00C536A9">
        <w:rPr>
          <w:rFonts w:ascii="Times New Roman" w:eastAsia="Times New Roman" w:hAnsi="Times New Roman" w:cs="Times New Roman"/>
          <w:sz w:val="24"/>
          <w:szCs w:val="20"/>
          <w:lang w:eastAsia="ru-RU"/>
        </w:rPr>
        <w:t>.</w:t>
      </w:r>
    </w:p>
    <w:p w:rsidR="00EF4CEF" w:rsidRDefault="00AA672D" w:rsidP="00EF4C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FF0000"/>
          <w:sz w:val="24"/>
          <w:szCs w:val="20"/>
          <w:lang w:eastAsia="ru-RU"/>
        </w:rPr>
        <w:drawing>
          <wp:inline distT="0" distB="0" distL="0" distR="0" wp14:anchorId="4071E5DC" wp14:editId="6C8C0A67">
            <wp:extent cx="6181725" cy="27241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05E5" w:rsidRPr="003805E5" w:rsidRDefault="003805E5" w:rsidP="00EF4C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4CEF" w:rsidRPr="00C536A9" w:rsidRDefault="00EF4CEF" w:rsidP="00EF4CE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6A9">
        <w:rPr>
          <w:rFonts w:ascii="Times New Roman" w:eastAsia="Times New Roman" w:hAnsi="Times New Roman" w:cs="Times New Roman"/>
          <w:b/>
          <w:sz w:val="24"/>
          <w:szCs w:val="24"/>
          <w:lang w:eastAsia="ru-RU"/>
        </w:rPr>
        <w:t xml:space="preserve">Рис. </w:t>
      </w:r>
      <w:r w:rsidR="00A21CFE" w:rsidRPr="00C536A9">
        <w:rPr>
          <w:rFonts w:ascii="Times New Roman" w:eastAsia="Times New Roman" w:hAnsi="Times New Roman" w:cs="Times New Roman"/>
          <w:b/>
          <w:sz w:val="24"/>
          <w:szCs w:val="24"/>
          <w:lang w:eastAsia="ru-RU"/>
        </w:rPr>
        <w:t>8</w:t>
      </w:r>
      <w:r w:rsidRPr="00C536A9">
        <w:rPr>
          <w:rFonts w:ascii="Times New Roman" w:eastAsia="Times New Roman" w:hAnsi="Times New Roman" w:cs="Times New Roman"/>
          <w:b/>
          <w:sz w:val="24"/>
          <w:szCs w:val="24"/>
          <w:lang w:eastAsia="ru-RU"/>
        </w:rPr>
        <w:t xml:space="preserve"> – Динамика индекса производства по основным видам деятельности </w:t>
      </w:r>
      <w:r w:rsidRPr="00C536A9">
        <w:rPr>
          <w:rFonts w:ascii="Times New Roman" w:eastAsia="Times New Roman" w:hAnsi="Times New Roman" w:cs="Times New Roman"/>
          <w:b/>
          <w:sz w:val="24"/>
          <w:szCs w:val="24"/>
          <w:lang w:eastAsia="ru-RU"/>
        </w:rPr>
        <w:br/>
        <w:t>в 20</w:t>
      </w:r>
      <w:r w:rsidR="004E3842" w:rsidRPr="00C536A9">
        <w:rPr>
          <w:rFonts w:ascii="Times New Roman" w:eastAsia="Times New Roman" w:hAnsi="Times New Roman" w:cs="Times New Roman"/>
          <w:b/>
          <w:sz w:val="24"/>
          <w:szCs w:val="24"/>
          <w:lang w:eastAsia="ru-RU"/>
        </w:rPr>
        <w:t>1</w:t>
      </w:r>
      <w:r w:rsidR="00C536A9" w:rsidRPr="00C536A9">
        <w:rPr>
          <w:rFonts w:ascii="Times New Roman" w:eastAsia="Times New Roman" w:hAnsi="Times New Roman" w:cs="Times New Roman"/>
          <w:b/>
          <w:sz w:val="24"/>
          <w:szCs w:val="24"/>
          <w:lang w:eastAsia="ru-RU"/>
        </w:rPr>
        <w:t>1</w:t>
      </w:r>
      <w:r w:rsidRPr="00C536A9">
        <w:rPr>
          <w:rFonts w:ascii="Times New Roman" w:eastAsia="Times New Roman" w:hAnsi="Times New Roman" w:cs="Times New Roman"/>
          <w:b/>
          <w:sz w:val="24"/>
          <w:szCs w:val="24"/>
          <w:lang w:eastAsia="ru-RU"/>
        </w:rPr>
        <w:t>-20</w:t>
      </w:r>
      <w:r w:rsidR="00AA672D" w:rsidRPr="00C536A9">
        <w:rPr>
          <w:rFonts w:ascii="Times New Roman" w:eastAsia="Times New Roman" w:hAnsi="Times New Roman" w:cs="Times New Roman"/>
          <w:b/>
          <w:sz w:val="24"/>
          <w:szCs w:val="24"/>
          <w:lang w:eastAsia="ru-RU"/>
        </w:rPr>
        <w:t>15 годах</w:t>
      </w:r>
      <w:r w:rsidR="00AA672D">
        <w:rPr>
          <w:rFonts w:ascii="Times New Roman" w:eastAsia="Times New Roman" w:hAnsi="Times New Roman" w:cs="Times New Roman"/>
          <w:noProof/>
          <w:color w:val="FF0000"/>
          <w:sz w:val="24"/>
          <w:szCs w:val="20"/>
          <w:lang w:eastAsia="ru-RU"/>
        </w:rPr>
        <w:t xml:space="preserve"> </w:t>
      </w:r>
    </w:p>
    <w:p w:rsidR="006B57D3" w:rsidRDefault="006B57D3" w:rsidP="006D78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6D7885" w:rsidRPr="00EE7104" w:rsidRDefault="006D7885" w:rsidP="006D78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EE7104">
        <w:rPr>
          <w:rFonts w:ascii="Times New Roman" w:eastAsia="Times New Roman" w:hAnsi="Times New Roman" w:cs="Times New Roman"/>
          <w:sz w:val="24"/>
          <w:szCs w:val="20"/>
          <w:lang w:eastAsia="ru-RU"/>
        </w:rPr>
        <w:lastRenderedPageBreak/>
        <w:t>Программой социально-экономического ра</w:t>
      </w:r>
      <w:r w:rsidR="006B57D3">
        <w:rPr>
          <w:rFonts w:ascii="Times New Roman" w:eastAsia="Times New Roman" w:hAnsi="Times New Roman" w:cs="Times New Roman"/>
          <w:sz w:val="24"/>
          <w:szCs w:val="20"/>
          <w:lang w:eastAsia="ru-RU"/>
        </w:rPr>
        <w:t xml:space="preserve">звития Амурской области на </w:t>
      </w:r>
      <w:r w:rsidR="006B57D3">
        <w:rPr>
          <w:rFonts w:ascii="Times New Roman" w:eastAsia="Times New Roman" w:hAnsi="Times New Roman" w:cs="Times New Roman"/>
          <w:sz w:val="24"/>
          <w:szCs w:val="20"/>
          <w:lang w:eastAsia="ru-RU"/>
        </w:rPr>
        <w:br/>
        <w:t>2013</w:t>
      </w:r>
      <w:r w:rsidRPr="00EE7104">
        <w:rPr>
          <w:rFonts w:ascii="Times New Roman" w:eastAsia="Times New Roman" w:hAnsi="Times New Roman" w:cs="Times New Roman"/>
          <w:sz w:val="24"/>
          <w:szCs w:val="20"/>
          <w:lang w:eastAsia="ru-RU"/>
        </w:rPr>
        <w:t xml:space="preserve">-2017 годы, утвержденной Законом Амурской области от 13.11.2013 № 277-ОЗ, </w:t>
      </w:r>
      <w:r w:rsidR="006B57D3">
        <w:rPr>
          <w:rFonts w:ascii="Times New Roman" w:eastAsia="Times New Roman" w:hAnsi="Times New Roman" w:cs="Times New Roman"/>
          <w:sz w:val="24"/>
          <w:szCs w:val="20"/>
          <w:lang w:eastAsia="ru-RU"/>
        </w:rPr>
        <w:br/>
      </w:r>
      <w:r w:rsidRPr="00EE7104">
        <w:rPr>
          <w:rFonts w:ascii="Times New Roman" w:eastAsia="Times New Roman" w:hAnsi="Times New Roman" w:cs="Times New Roman"/>
          <w:sz w:val="24"/>
          <w:szCs w:val="20"/>
          <w:lang w:eastAsia="ru-RU"/>
        </w:rPr>
        <w:t>на 201</w:t>
      </w:r>
      <w:r w:rsidR="00EE7104" w:rsidRPr="00EE7104">
        <w:rPr>
          <w:rFonts w:ascii="Times New Roman" w:eastAsia="Times New Roman" w:hAnsi="Times New Roman" w:cs="Times New Roman"/>
          <w:sz w:val="24"/>
          <w:szCs w:val="20"/>
          <w:lang w:eastAsia="ru-RU"/>
        </w:rPr>
        <w:t>5</w:t>
      </w:r>
      <w:r w:rsidRPr="00EE7104">
        <w:rPr>
          <w:rFonts w:ascii="Times New Roman" w:eastAsia="Times New Roman" w:hAnsi="Times New Roman" w:cs="Times New Roman"/>
          <w:sz w:val="24"/>
          <w:szCs w:val="20"/>
          <w:lang w:eastAsia="ru-RU"/>
        </w:rPr>
        <w:t xml:space="preserve"> год предусмотрен прирост индекса п</w:t>
      </w:r>
      <w:r w:rsidR="00EE7104" w:rsidRPr="00EE7104">
        <w:rPr>
          <w:rFonts w:ascii="Times New Roman" w:eastAsia="Times New Roman" w:hAnsi="Times New Roman" w:cs="Times New Roman"/>
          <w:sz w:val="24"/>
          <w:szCs w:val="20"/>
          <w:lang w:eastAsia="ru-RU"/>
        </w:rPr>
        <w:t>ромышленного производства на 5,6</w:t>
      </w:r>
      <w:r w:rsidRPr="00EE7104">
        <w:rPr>
          <w:rFonts w:ascii="Times New Roman" w:eastAsia="Times New Roman" w:hAnsi="Times New Roman" w:cs="Times New Roman"/>
          <w:sz w:val="24"/>
          <w:szCs w:val="20"/>
          <w:lang w:eastAsia="ru-RU"/>
        </w:rPr>
        <w:t xml:space="preserve"> процент</w:t>
      </w:r>
      <w:r w:rsidR="00EE7104" w:rsidRPr="00EE7104">
        <w:rPr>
          <w:rFonts w:ascii="Times New Roman" w:eastAsia="Times New Roman" w:hAnsi="Times New Roman" w:cs="Times New Roman"/>
          <w:sz w:val="24"/>
          <w:szCs w:val="20"/>
          <w:lang w:eastAsia="ru-RU"/>
        </w:rPr>
        <w:t>а</w:t>
      </w:r>
      <w:r w:rsidRPr="00EE7104">
        <w:rPr>
          <w:rFonts w:ascii="Times New Roman" w:eastAsia="Times New Roman" w:hAnsi="Times New Roman" w:cs="Times New Roman"/>
          <w:sz w:val="24"/>
          <w:szCs w:val="20"/>
          <w:lang w:eastAsia="ru-RU"/>
        </w:rPr>
        <w:t xml:space="preserve"> относительно 201</w:t>
      </w:r>
      <w:r w:rsidR="00EE7104" w:rsidRPr="00EE7104">
        <w:rPr>
          <w:rFonts w:ascii="Times New Roman" w:eastAsia="Times New Roman" w:hAnsi="Times New Roman" w:cs="Times New Roman"/>
          <w:sz w:val="24"/>
          <w:szCs w:val="20"/>
          <w:lang w:eastAsia="ru-RU"/>
        </w:rPr>
        <w:t>4</w:t>
      </w:r>
      <w:r w:rsidRPr="00EE7104">
        <w:rPr>
          <w:rFonts w:ascii="Times New Roman" w:eastAsia="Times New Roman" w:hAnsi="Times New Roman" w:cs="Times New Roman"/>
          <w:sz w:val="24"/>
          <w:szCs w:val="20"/>
          <w:lang w:eastAsia="ru-RU"/>
        </w:rPr>
        <w:t xml:space="preserve"> года. В номинальном выражении объем промышленного произв</w:t>
      </w:r>
      <w:r w:rsidR="00EE7104" w:rsidRPr="00EE7104">
        <w:rPr>
          <w:rFonts w:ascii="Times New Roman" w:eastAsia="Times New Roman" w:hAnsi="Times New Roman" w:cs="Times New Roman"/>
          <w:sz w:val="24"/>
          <w:szCs w:val="20"/>
          <w:lang w:eastAsia="ru-RU"/>
        </w:rPr>
        <w:t>одства согласно программе в 2015</w:t>
      </w:r>
      <w:r w:rsidRPr="00EE7104">
        <w:rPr>
          <w:rFonts w:ascii="Times New Roman" w:eastAsia="Times New Roman" w:hAnsi="Times New Roman" w:cs="Times New Roman"/>
          <w:sz w:val="24"/>
          <w:szCs w:val="20"/>
          <w:lang w:eastAsia="ru-RU"/>
        </w:rPr>
        <w:t xml:space="preserve"> году должен составлять </w:t>
      </w:r>
      <w:r w:rsidR="00EE7104" w:rsidRPr="00EE7104">
        <w:rPr>
          <w:rFonts w:ascii="Times New Roman" w:eastAsia="Times New Roman" w:hAnsi="Times New Roman" w:cs="Times New Roman"/>
          <w:sz w:val="24"/>
          <w:szCs w:val="20"/>
          <w:lang w:eastAsia="ru-RU"/>
        </w:rPr>
        <w:t>131,8</w:t>
      </w:r>
      <w:r w:rsidRPr="00EE7104">
        <w:rPr>
          <w:rFonts w:ascii="Times New Roman" w:eastAsia="Times New Roman" w:hAnsi="Times New Roman" w:cs="Times New Roman"/>
          <w:sz w:val="24"/>
          <w:szCs w:val="20"/>
          <w:lang w:eastAsia="ru-RU"/>
        </w:rPr>
        <w:t xml:space="preserve"> млрд. рублей. Таким образом, запланированные указанной программой показатели развития п</w:t>
      </w:r>
      <w:r w:rsidR="00EE7104" w:rsidRPr="00EE7104">
        <w:rPr>
          <w:rFonts w:ascii="Times New Roman" w:eastAsia="Times New Roman" w:hAnsi="Times New Roman" w:cs="Times New Roman"/>
          <w:sz w:val="24"/>
          <w:szCs w:val="20"/>
          <w:lang w:eastAsia="ru-RU"/>
        </w:rPr>
        <w:t>ромышленного производства в 2015</w:t>
      </w:r>
      <w:r w:rsidRPr="00EE7104">
        <w:rPr>
          <w:rFonts w:ascii="Times New Roman" w:eastAsia="Times New Roman" w:hAnsi="Times New Roman" w:cs="Times New Roman"/>
          <w:sz w:val="24"/>
          <w:szCs w:val="20"/>
          <w:lang w:eastAsia="ru-RU"/>
        </w:rPr>
        <w:t xml:space="preserve"> году не достигнуты.</w:t>
      </w:r>
    </w:p>
    <w:p w:rsidR="00605A13" w:rsidRPr="00605A13" w:rsidRDefault="007A6B4A" w:rsidP="00605A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605A13">
        <w:rPr>
          <w:rFonts w:ascii="Times New Roman" w:eastAsia="Times New Roman" w:hAnsi="Times New Roman" w:cs="Times New Roman"/>
          <w:sz w:val="24"/>
          <w:szCs w:val="20"/>
          <w:lang w:eastAsia="ru-RU"/>
        </w:rPr>
        <w:t>В 201</w:t>
      </w:r>
      <w:r w:rsidR="00EE7104" w:rsidRPr="00605A13">
        <w:rPr>
          <w:rFonts w:ascii="Times New Roman" w:eastAsia="Times New Roman" w:hAnsi="Times New Roman" w:cs="Times New Roman"/>
          <w:sz w:val="24"/>
          <w:szCs w:val="20"/>
          <w:lang w:eastAsia="ru-RU"/>
        </w:rPr>
        <w:t>5</w:t>
      </w:r>
      <w:r w:rsidRPr="00605A13">
        <w:rPr>
          <w:rFonts w:ascii="Times New Roman" w:eastAsia="Times New Roman" w:hAnsi="Times New Roman" w:cs="Times New Roman"/>
          <w:sz w:val="24"/>
          <w:szCs w:val="20"/>
          <w:lang w:eastAsia="ru-RU"/>
        </w:rPr>
        <w:t xml:space="preserve"> году уменьшилась добыча золота, щебня и гравия</w:t>
      </w:r>
      <w:r w:rsidR="00605A13" w:rsidRPr="00605A13">
        <w:rPr>
          <w:rFonts w:ascii="Times New Roman" w:eastAsia="Times New Roman" w:hAnsi="Times New Roman" w:cs="Times New Roman"/>
          <w:sz w:val="24"/>
          <w:szCs w:val="20"/>
          <w:lang w:eastAsia="ru-RU"/>
        </w:rPr>
        <w:t xml:space="preserve">. </w:t>
      </w:r>
      <w:r w:rsidRPr="00605A13">
        <w:rPr>
          <w:rFonts w:ascii="Times New Roman" w:eastAsia="Times New Roman" w:hAnsi="Times New Roman" w:cs="Times New Roman"/>
          <w:sz w:val="24"/>
          <w:szCs w:val="20"/>
          <w:lang w:eastAsia="ru-RU"/>
        </w:rPr>
        <w:t>Также в 201</w:t>
      </w:r>
      <w:r w:rsidR="00605A13" w:rsidRPr="00605A13">
        <w:rPr>
          <w:rFonts w:ascii="Times New Roman" w:eastAsia="Times New Roman" w:hAnsi="Times New Roman" w:cs="Times New Roman"/>
          <w:sz w:val="24"/>
          <w:szCs w:val="20"/>
          <w:lang w:eastAsia="ru-RU"/>
        </w:rPr>
        <w:t>5</w:t>
      </w:r>
      <w:r w:rsidRPr="00605A13">
        <w:rPr>
          <w:rFonts w:ascii="Times New Roman" w:eastAsia="Times New Roman" w:hAnsi="Times New Roman" w:cs="Times New Roman"/>
          <w:sz w:val="24"/>
          <w:szCs w:val="20"/>
          <w:lang w:eastAsia="ru-RU"/>
        </w:rPr>
        <w:t xml:space="preserve"> году произошло снижение в ряде обрабатывающих производств: </w:t>
      </w:r>
      <w:r w:rsidR="00605A13" w:rsidRPr="00605A13">
        <w:rPr>
          <w:rFonts w:ascii="Times New Roman" w:eastAsia="Times New Roman" w:hAnsi="Times New Roman" w:cs="Times New Roman"/>
          <w:sz w:val="24"/>
          <w:szCs w:val="20"/>
          <w:lang w:eastAsia="ru-RU"/>
        </w:rPr>
        <w:t>текстильное и швейное производство, целлюлозно-бумажное производство, издательская и полиграфическая деятельность, производство прочих неметаллических минеральных продуктов, производство электрооборудования, электронного и оптического оборудования.</w:t>
      </w:r>
    </w:p>
    <w:p w:rsidR="008326C4" w:rsidRPr="00605A13" w:rsidRDefault="007A6B4A" w:rsidP="004E2B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605A13">
        <w:rPr>
          <w:rFonts w:ascii="Times New Roman" w:eastAsia="Times New Roman" w:hAnsi="Times New Roman" w:cs="Times New Roman"/>
          <w:sz w:val="24"/>
          <w:szCs w:val="20"/>
          <w:lang w:eastAsia="ru-RU"/>
        </w:rPr>
        <w:t>В производстве и распределении электроэнергии, газа и воды снижено производство, передача и распределение электроэнергии</w:t>
      </w:r>
      <w:r w:rsidR="00605A13" w:rsidRPr="00605A13">
        <w:rPr>
          <w:rFonts w:ascii="Times New Roman" w:eastAsia="Times New Roman" w:hAnsi="Times New Roman" w:cs="Times New Roman"/>
          <w:sz w:val="24"/>
          <w:szCs w:val="20"/>
          <w:lang w:eastAsia="ru-RU"/>
        </w:rPr>
        <w:t>.</w:t>
      </w:r>
      <w:r w:rsidRPr="00605A13">
        <w:rPr>
          <w:rFonts w:ascii="Times New Roman" w:eastAsia="Times New Roman" w:hAnsi="Times New Roman" w:cs="Times New Roman"/>
          <w:sz w:val="24"/>
          <w:szCs w:val="20"/>
          <w:lang w:eastAsia="ru-RU"/>
        </w:rPr>
        <w:t xml:space="preserve"> </w:t>
      </w:r>
      <w:r w:rsidR="008326C4" w:rsidRPr="00605A13">
        <w:rPr>
          <w:rFonts w:ascii="Times New Roman" w:eastAsia="Times New Roman" w:hAnsi="Times New Roman" w:cs="Times New Roman"/>
          <w:sz w:val="24"/>
          <w:szCs w:val="20"/>
          <w:lang w:eastAsia="ru-RU"/>
        </w:rPr>
        <w:t>Выработка электрической энергии за 201</w:t>
      </w:r>
      <w:r w:rsidR="00605A13" w:rsidRPr="00605A13">
        <w:rPr>
          <w:rFonts w:ascii="Times New Roman" w:eastAsia="Times New Roman" w:hAnsi="Times New Roman" w:cs="Times New Roman"/>
          <w:sz w:val="24"/>
          <w:szCs w:val="20"/>
          <w:lang w:eastAsia="ru-RU"/>
        </w:rPr>
        <w:t>5</w:t>
      </w:r>
      <w:r w:rsidR="008326C4" w:rsidRPr="00605A13">
        <w:rPr>
          <w:rFonts w:ascii="Times New Roman" w:eastAsia="Times New Roman" w:hAnsi="Times New Roman" w:cs="Times New Roman"/>
          <w:sz w:val="24"/>
          <w:szCs w:val="20"/>
          <w:lang w:eastAsia="ru-RU"/>
        </w:rPr>
        <w:t xml:space="preserve"> год составила </w:t>
      </w:r>
      <w:r w:rsidR="00605A13" w:rsidRPr="00605A13">
        <w:rPr>
          <w:rFonts w:ascii="Times New Roman" w:eastAsia="Times New Roman" w:hAnsi="Times New Roman" w:cs="Times New Roman"/>
          <w:sz w:val="24"/>
          <w:szCs w:val="20"/>
          <w:lang w:eastAsia="ru-RU"/>
        </w:rPr>
        <w:t>12,1</w:t>
      </w:r>
      <w:r w:rsidR="008326C4" w:rsidRPr="00605A13">
        <w:rPr>
          <w:rFonts w:ascii="Times New Roman" w:eastAsia="Times New Roman" w:hAnsi="Times New Roman" w:cs="Times New Roman"/>
          <w:sz w:val="24"/>
          <w:szCs w:val="20"/>
          <w:lang w:eastAsia="ru-RU"/>
        </w:rPr>
        <w:t xml:space="preserve"> млрд. кВтч (</w:t>
      </w:r>
      <w:r w:rsidR="00605A13" w:rsidRPr="00605A13">
        <w:rPr>
          <w:rFonts w:ascii="Times New Roman" w:eastAsia="Times New Roman" w:hAnsi="Times New Roman" w:cs="Times New Roman"/>
          <w:sz w:val="24"/>
          <w:szCs w:val="20"/>
          <w:lang w:eastAsia="ru-RU"/>
        </w:rPr>
        <w:t>84,1</w:t>
      </w:r>
      <w:r w:rsidR="008326C4" w:rsidRPr="00605A13">
        <w:rPr>
          <w:rFonts w:ascii="Times New Roman" w:eastAsia="Times New Roman" w:hAnsi="Times New Roman" w:cs="Times New Roman"/>
          <w:sz w:val="24"/>
          <w:szCs w:val="20"/>
          <w:lang w:eastAsia="ru-RU"/>
        </w:rPr>
        <w:t xml:space="preserve"> процент</w:t>
      </w:r>
      <w:r w:rsidRPr="00605A13">
        <w:rPr>
          <w:rFonts w:ascii="Times New Roman" w:eastAsia="Times New Roman" w:hAnsi="Times New Roman" w:cs="Times New Roman"/>
          <w:sz w:val="24"/>
          <w:szCs w:val="20"/>
          <w:lang w:eastAsia="ru-RU"/>
        </w:rPr>
        <w:t>а</w:t>
      </w:r>
      <w:r w:rsidR="008326C4" w:rsidRPr="00605A13">
        <w:rPr>
          <w:rFonts w:ascii="Times New Roman" w:eastAsia="Times New Roman" w:hAnsi="Times New Roman" w:cs="Times New Roman"/>
          <w:sz w:val="24"/>
          <w:szCs w:val="20"/>
          <w:lang w:eastAsia="ru-RU"/>
        </w:rPr>
        <w:t xml:space="preserve"> к 201</w:t>
      </w:r>
      <w:r w:rsidR="00605A13" w:rsidRPr="00605A13">
        <w:rPr>
          <w:rFonts w:ascii="Times New Roman" w:eastAsia="Times New Roman" w:hAnsi="Times New Roman" w:cs="Times New Roman"/>
          <w:sz w:val="24"/>
          <w:szCs w:val="20"/>
          <w:lang w:eastAsia="ru-RU"/>
        </w:rPr>
        <w:t>4</w:t>
      </w:r>
      <w:r w:rsidR="008326C4" w:rsidRPr="00605A13">
        <w:rPr>
          <w:rFonts w:ascii="Times New Roman" w:eastAsia="Times New Roman" w:hAnsi="Times New Roman" w:cs="Times New Roman"/>
          <w:sz w:val="24"/>
          <w:szCs w:val="20"/>
          <w:lang w:eastAsia="ru-RU"/>
        </w:rPr>
        <w:t xml:space="preserve"> году). Выработка тепловой энергии составила </w:t>
      </w:r>
      <w:r w:rsidR="00605A13" w:rsidRPr="00605A13">
        <w:rPr>
          <w:rFonts w:ascii="Times New Roman" w:eastAsia="Times New Roman" w:hAnsi="Times New Roman" w:cs="Times New Roman"/>
          <w:sz w:val="24"/>
          <w:szCs w:val="20"/>
          <w:lang w:eastAsia="ru-RU"/>
        </w:rPr>
        <w:t>10549,8</w:t>
      </w:r>
      <w:r w:rsidR="008326C4" w:rsidRPr="00605A13">
        <w:rPr>
          <w:rFonts w:ascii="Times New Roman" w:eastAsia="Times New Roman" w:hAnsi="Times New Roman" w:cs="Times New Roman"/>
          <w:sz w:val="24"/>
          <w:szCs w:val="20"/>
          <w:lang w:eastAsia="ru-RU"/>
        </w:rPr>
        <w:t xml:space="preserve"> тыс. Гкал </w:t>
      </w:r>
      <w:r w:rsidR="008326C4" w:rsidRPr="007B27E1">
        <w:rPr>
          <w:rFonts w:ascii="Times New Roman" w:eastAsia="Times New Roman" w:hAnsi="Times New Roman" w:cs="Times New Roman"/>
          <w:sz w:val="24"/>
          <w:szCs w:val="20"/>
          <w:lang w:eastAsia="ru-RU"/>
        </w:rPr>
        <w:t>(</w:t>
      </w:r>
      <w:r w:rsidR="007B27E1" w:rsidRPr="007B27E1">
        <w:rPr>
          <w:rFonts w:ascii="Times New Roman" w:eastAsia="Times New Roman" w:hAnsi="Times New Roman" w:cs="Times New Roman"/>
          <w:sz w:val="24"/>
          <w:szCs w:val="20"/>
          <w:lang w:eastAsia="ru-RU"/>
        </w:rPr>
        <w:t>115,4</w:t>
      </w:r>
      <w:r w:rsidR="008326C4" w:rsidRPr="007B27E1">
        <w:rPr>
          <w:rFonts w:ascii="Times New Roman" w:eastAsia="Times New Roman" w:hAnsi="Times New Roman" w:cs="Times New Roman"/>
          <w:sz w:val="24"/>
          <w:szCs w:val="20"/>
          <w:lang w:eastAsia="ru-RU"/>
        </w:rPr>
        <w:t xml:space="preserve"> процента к 201</w:t>
      </w:r>
      <w:r w:rsidR="00605A13" w:rsidRPr="007B27E1">
        <w:rPr>
          <w:rFonts w:ascii="Times New Roman" w:eastAsia="Times New Roman" w:hAnsi="Times New Roman" w:cs="Times New Roman"/>
          <w:sz w:val="24"/>
          <w:szCs w:val="20"/>
          <w:lang w:eastAsia="ru-RU"/>
        </w:rPr>
        <w:t>4</w:t>
      </w:r>
      <w:r w:rsidR="008326C4" w:rsidRPr="00605A13">
        <w:rPr>
          <w:rFonts w:ascii="Times New Roman" w:eastAsia="Times New Roman" w:hAnsi="Times New Roman" w:cs="Times New Roman"/>
          <w:sz w:val="24"/>
          <w:szCs w:val="20"/>
          <w:lang w:eastAsia="ru-RU"/>
        </w:rPr>
        <w:t xml:space="preserve"> году).</w:t>
      </w:r>
    </w:p>
    <w:p w:rsidR="004E2B06" w:rsidRPr="0016283C" w:rsidRDefault="007A2387" w:rsidP="004E2B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16283C">
        <w:rPr>
          <w:rFonts w:ascii="Times New Roman" w:eastAsia="Times New Roman" w:hAnsi="Times New Roman" w:cs="Times New Roman"/>
          <w:sz w:val="24"/>
          <w:szCs w:val="24"/>
          <w:u w:val="single"/>
          <w:lang w:eastAsia="ru-RU"/>
        </w:rPr>
        <w:t>1.2.</w:t>
      </w:r>
      <w:r w:rsidR="00420723" w:rsidRPr="0016283C">
        <w:rPr>
          <w:rFonts w:ascii="Times New Roman" w:eastAsia="Times New Roman" w:hAnsi="Times New Roman" w:cs="Times New Roman"/>
          <w:sz w:val="24"/>
          <w:szCs w:val="24"/>
          <w:u w:val="single"/>
          <w:lang w:eastAsia="ru-RU"/>
        </w:rPr>
        <w:t>2</w:t>
      </w:r>
      <w:r w:rsidR="006E0864" w:rsidRPr="0016283C">
        <w:rPr>
          <w:rFonts w:ascii="Times New Roman" w:eastAsia="Times New Roman" w:hAnsi="Times New Roman" w:cs="Times New Roman"/>
          <w:sz w:val="24"/>
          <w:szCs w:val="24"/>
          <w:u w:val="single"/>
          <w:lang w:eastAsia="ru-RU"/>
        </w:rPr>
        <w:t>. Сельское хозяйство Амурской области.</w:t>
      </w:r>
    </w:p>
    <w:p w:rsidR="00E717F7" w:rsidRPr="0016283C" w:rsidRDefault="008326C4" w:rsidP="00E717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283C">
        <w:rPr>
          <w:rFonts w:ascii="Times New Roman" w:eastAsia="Times New Roman" w:hAnsi="Times New Roman" w:cs="Times New Roman"/>
          <w:sz w:val="24"/>
          <w:szCs w:val="24"/>
          <w:lang w:eastAsia="ru-RU"/>
        </w:rPr>
        <w:t>По сопоставимой оценке Территориального органа Федеральной службы государственной статистики по Амурской области</w:t>
      </w:r>
      <w:r w:rsidRPr="0016283C">
        <w:rPr>
          <w:rFonts w:ascii="Times New Roman" w:eastAsia="Times New Roman" w:hAnsi="Times New Roman" w:cs="Times New Roman"/>
          <w:bCs/>
          <w:sz w:val="24"/>
          <w:szCs w:val="24"/>
          <w:lang w:eastAsia="ru-RU"/>
        </w:rPr>
        <w:t xml:space="preserve"> </w:t>
      </w:r>
      <w:r w:rsidRPr="0016283C">
        <w:rPr>
          <w:rFonts w:ascii="Times New Roman" w:eastAsia="Times New Roman" w:hAnsi="Times New Roman" w:cs="Times New Roman"/>
          <w:bCs/>
          <w:i/>
          <w:sz w:val="24"/>
          <w:szCs w:val="24"/>
          <w:lang w:eastAsia="ru-RU"/>
        </w:rPr>
        <w:t>объём продукции сельского хозяйства</w:t>
      </w:r>
      <w:r w:rsidRPr="0016283C">
        <w:rPr>
          <w:rFonts w:ascii="Times New Roman" w:eastAsia="Times New Roman" w:hAnsi="Times New Roman" w:cs="Times New Roman"/>
          <w:sz w:val="24"/>
          <w:szCs w:val="24"/>
          <w:lang w:eastAsia="ru-RU"/>
        </w:rPr>
        <w:t xml:space="preserve"> всех сельхозпроизводителей области в 201</w:t>
      </w:r>
      <w:r w:rsidR="0016283C" w:rsidRPr="0016283C">
        <w:rPr>
          <w:rFonts w:ascii="Times New Roman" w:eastAsia="Times New Roman" w:hAnsi="Times New Roman" w:cs="Times New Roman"/>
          <w:sz w:val="24"/>
          <w:szCs w:val="24"/>
          <w:lang w:eastAsia="ru-RU"/>
        </w:rPr>
        <w:t>5</w:t>
      </w:r>
      <w:r w:rsidRPr="0016283C">
        <w:rPr>
          <w:rFonts w:ascii="Times New Roman" w:eastAsia="Times New Roman" w:hAnsi="Times New Roman" w:cs="Times New Roman"/>
          <w:sz w:val="24"/>
          <w:szCs w:val="24"/>
          <w:lang w:eastAsia="ru-RU"/>
        </w:rPr>
        <w:t xml:space="preserve"> году по сравнению с 201</w:t>
      </w:r>
      <w:r w:rsidR="0016283C" w:rsidRPr="0016283C">
        <w:rPr>
          <w:rFonts w:ascii="Times New Roman" w:eastAsia="Times New Roman" w:hAnsi="Times New Roman" w:cs="Times New Roman"/>
          <w:sz w:val="24"/>
          <w:szCs w:val="24"/>
          <w:lang w:eastAsia="ru-RU"/>
        </w:rPr>
        <w:t>4</w:t>
      </w:r>
      <w:r w:rsidRPr="0016283C">
        <w:rPr>
          <w:rFonts w:ascii="Times New Roman" w:eastAsia="Times New Roman" w:hAnsi="Times New Roman" w:cs="Times New Roman"/>
          <w:sz w:val="24"/>
          <w:szCs w:val="24"/>
          <w:lang w:eastAsia="ru-RU"/>
        </w:rPr>
        <w:t xml:space="preserve"> годом </w:t>
      </w:r>
      <w:r w:rsidR="0016283C" w:rsidRPr="0016283C">
        <w:rPr>
          <w:rFonts w:ascii="Times New Roman" w:eastAsia="Times New Roman" w:hAnsi="Times New Roman" w:cs="Times New Roman"/>
          <w:sz w:val="24"/>
          <w:szCs w:val="24"/>
          <w:lang w:eastAsia="ru-RU"/>
        </w:rPr>
        <w:t xml:space="preserve">составил по предварительным данным 44180,0 млн. рублей. Темп роста в 2015 году относительно </w:t>
      </w:r>
      <w:r w:rsidR="006B57D3">
        <w:rPr>
          <w:rFonts w:ascii="Times New Roman" w:eastAsia="Times New Roman" w:hAnsi="Times New Roman" w:cs="Times New Roman"/>
          <w:sz w:val="24"/>
          <w:szCs w:val="24"/>
          <w:lang w:eastAsia="ru-RU"/>
        </w:rPr>
        <w:br/>
      </w:r>
      <w:r w:rsidR="0016283C" w:rsidRPr="0016283C">
        <w:rPr>
          <w:rFonts w:ascii="Times New Roman" w:eastAsia="Times New Roman" w:hAnsi="Times New Roman" w:cs="Times New Roman"/>
          <w:sz w:val="24"/>
          <w:szCs w:val="24"/>
          <w:lang w:eastAsia="ru-RU"/>
        </w:rPr>
        <w:t>2014 года составил 111,8 процента</w:t>
      </w:r>
      <w:r w:rsidRPr="0016283C">
        <w:rPr>
          <w:rFonts w:ascii="Times New Roman" w:eastAsia="Times New Roman" w:hAnsi="Times New Roman" w:cs="Times New Roman"/>
          <w:sz w:val="24"/>
          <w:szCs w:val="24"/>
          <w:lang w:eastAsia="ru-RU"/>
        </w:rPr>
        <w:t xml:space="preserve"> </w:t>
      </w:r>
      <w:r w:rsidR="001C327E" w:rsidRPr="0016283C">
        <w:rPr>
          <w:rFonts w:ascii="Times New Roman" w:eastAsia="Times New Roman" w:hAnsi="Times New Roman" w:cs="Times New Roman"/>
          <w:sz w:val="24"/>
          <w:szCs w:val="24"/>
          <w:lang w:eastAsia="ru-RU"/>
        </w:rPr>
        <w:t xml:space="preserve">(индекс производства продукции сельского хозяйства по предварительным данным </w:t>
      </w:r>
      <w:r w:rsidR="0016283C" w:rsidRPr="0016283C">
        <w:rPr>
          <w:rFonts w:ascii="Times New Roman" w:eastAsia="Times New Roman" w:hAnsi="Times New Roman" w:cs="Times New Roman"/>
          <w:sz w:val="24"/>
          <w:szCs w:val="24"/>
          <w:lang w:eastAsia="ru-RU"/>
        </w:rPr>
        <w:t>98,0 процентов</w:t>
      </w:r>
      <w:r w:rsidR="001C327E" w:rsidRPr="0016283C">
        <w:rPr>
          <w:rFonts w:ascii="Times New Roman" w:eastAsia="Times New Roman" w:hAnsi="Times New Roman" w:cs="Times New Roman"/>
          <w:sz w:val="24"/>
          <w:szCs w:val="24"/>
          <w:lang w:eastAsia="ru-RU"/>
        </w:rPr>
        <w:t>)</w:t>
      </w:r>
      <w:r w:rsidRPr="0016283C">
        <w:rPr>
          <w:rFonts w:ascii="Times New Roman" w:eastAsia="Times New Roman" w:hAnsi="Times New Roman" w:cs="Times New Roman"/>
          <w:sz w:val="24"/>
          <w:szCs w:val="24"/>
          <w:lang w:eastAsia="ru-RU"/>
        </w:rPr>
        <w:t>.</w:t>
      </w:r>
      <w:r w:rsidR="001A16F9" w:rsidRPr="0016283C">
        <w:rPr>
          <w:rFonts w:ascii="Times New Roman" w:eastAsia="Times New Roman" w:hAnsi="Times New Roman" w:cs="Times New Roman"/>
          <w:sz w:val="24"/>
          <w:szCs w:val="24"/>
          <w:lang w:eastAsia="ru-RU"/>
        </w:rPr>
        <w:t xml:space="preserve"> </w:t>
      </w:r>
      <w:r w:rsidR="005B48D7" w:rsidRPr="0016283C">
        <w:rPr>
          <w:rFonts w:ascii="Times New Roman" w:eastAsia="Times New Roman" w:hAnsi="Times New Roman" w:cs="Times New Roman"/>
          <w:sz w:val="24"/>
          <w:szCs w:val="24"/>
          <w:lang w:eastAsia="ru-RU"/>
        </w:rPr>
        <w:t>Фактическое значение показателя за 201</w:t>
      </w:r>
      <w:r w:rsidR="0016283C" w:rsidRPr="0016283C">
        <w:rPr>
          <w:rFonts w:ascii="Times New Roman" w:eastAsia="Times New Roman" w:hAnsi="Times New Roman" w:cs="Times New Roman"/>
          <w:sz w:val="24"/>
          <w:szCs w:val="24"/>
          <w:lang w:eastAsia="ru-RU"/>
        </w:rPr>
        <w:t>5</w:t>
      </w:r>
      <w:r w:rsidR="005B48D7" w:rsidRPr="0016283C">
        <w:rPr>
          <w:rFonts w:ascii="Times New Roman" w:eastAsia="Times New Roman" w:hAnsi="Times New Roman" w:cs="Times New Roman"/>
          <w:sz w:val="24"/>
          <w:szCs w:val="24"/>
          <w:lang w:eastAsia="ru-RU"/>
        </w:rPr>
        <w:t xml:space="preserve"> год </w:t>
      </w:r>
      <w:r w:rsidR="0016283C" w:rsidRPr="0016283C">
        <w:rPr>
          <w:rFonts w:ascii="Times New Roman" w:eastAsia="Times New Roman" w:hAnsi="Times New Roman" w:cs="Times New Roman"/>
          <w:sz w:val="24"/>
          <w:szCs w:val="24"/>
          <w:lang w:eastAsia="ru-RU"/>
        </w:rPr>
        <w:t>выше</w:t>
      </w:r>
      <w:r w:rsidR="005B48D7" w:rsidRPr="0016283C">
        <w:rPr>
          <w:rFonts w:ascii="Times New Roman" w:eastAsia="Times New Roman" w:hAnsi="Times New Roman" w:cs="Times New Roman"/>
          <w:sz w:val="24"/>
          <w:szCs w:val="24"/>
          <w:lang w:eastAsia="ru-RU"/>
        </w:rPr>
        <w:t xml:space="preserve"> запланированн</w:t>
      </w:r>
      <w:r w:rsidR="0016283C" w:rsidRPr="0016283C">
        <w:rPr>
          <w:rFonts w:ascii="Times New Roman" w:eastAsia="Times New Roman" w:hAnsi="Times New Roman" w:cs="Times New Roman"/>
          <w:sz w:val="24"/>
          <w:szCs w:val="24"/>
          <w:lang w:eastAsia="ru-RU"/>
        </w:rPr>
        <w:t>ого</w:t>
      </w:r>
      <w:r w:rsidR="005B48D7" w:rsidRPr="0016283C">
        <w:rPr>
          <w:rFonts w:ascii="Times New Roman" w:eastAsia="Times New Roman" w:hAnsi="Times New Roman" w:cs="Times New Roman"/>
          <w:sz w:val="24"/>
          <w:szCs w:val="24"/>
          <w:lang w:eastAsia="ru-RU"/>
        </w:rPr>
        <w:t xml:space="preserve"> программой</w:t>
      </w:r>
      <w:r w:rsidR="005B48D7" w:rsidRPr="0016283C">
        <w:t xml:space="preserve"> </w:t>
      </w:r>
      <w:r w:rsidR="005B48D7" w:rsidRPr="0016283C">
        <w:rPr>
          <w:rFonts w:ascii="Times New Roman" w:eastAsia="Times New Roman" w:hAnsi="Times New Roman" w:cs="Times New Roman"/>
          <w:sz w:val="24"/>
          <w:szCs w:val="24"/>
          <w:lang w:eastAsia="ru-RU"/>
        </w:rPr>
        <w:t xml:space="preserve">социально-экономического развития Амурской области на 2013-2017 годы, утвержденной Законом Амурской области от 13.11.2013 № 277-ОЗ, на </w:t>
      </w:r>
      <w:r w:rsidR="0016283C" w:rsidRPr="0016283C">
        <w:rPr>
          <w:rFonts w:ascii="Times New Roman" w:eastAsia="Times New Roman" w:hAnsi="Times New Roman" w:cs="Times New Roman"/>
          <w:sz w:val="24"/>
          <w:szCs w:val="24"/>
          <w:lang w:eastAsia="ru-RU"/>
        </w:rPr>
        <w:t>16,98</w:t>
      </w:r>
      <w:r w:rsidR="005B48D7" w:rsidRPr="0016283C">
        <w:rPr>
          <w:rFonts w:ascii="Times New Roman" w:eastAsia="Times New Roman" w:hAnsi="Times New Roman" w:cs="Times New Roman"/>
          <w:sz w:val="24"/>
          <w:szCs w:val="24"/>
          <w:lang w:eastAsia="ru-RU"/>
        </w:rPr>
        <w:t xml:space="preserve"> млрд. рублей, или</w:t>
      </w:r>
      <w:r w:rsidR="0016283C" w:rsidRPr="0016283C">
        <w:rPr>
          <w:rFonts w:ascii="Times New Roman" w:eastAsia="Times New Roman" w:hAnsi="Times New Roman" w:cs="Times New Roman"/>
          <w:sz w:val="24"/>
          <w:szCs w:val="24"/>
          <w:lang w:eastAsia="ru-RU"/>
        </w:rPr>
        <w:t xml:space="preserve"> </w:t>
      </w:r>
      <w:r w:rsidR="0016283C">
        <w:rPr>
          <w:rFonts w:ascii="Times New Roman" w:eastAsia="Times New Roman" w:hAnsi="Times New Roman" w:cs="Times New Roman"/>
          <w:sz w:val="24"/>
          <w:szCs w:val="24"/>
          <w:lang w:eastAsia="ru-RU"/>
        </w:rPr>
        <w:t>1</w:t>
      </w:r>
      <w:r w:rsidR="0016283C" w:rsidRPr="0016283C">
        <w:rPr>
          <w:rFonts w:ascii="Times New Roman" w:eastAsia="Times New Roman" w:hAnsi="Times New Roman" w:cs="Times New Roman"/>
          <w:sz w:val="24"/>
          <w:szCs w:val="24"/>
          <w:lang w:eastAsia="ru-RU"/>
        </w:rPr>
        <w:t>62,4</w:t>
      </w:r>
      <w:r w:rsidR="005B48D7" w:rsidRPr="0016283C">
        <w:rPr>
          <w:rFonts w:ascii="Times New Roman" w:eastAsia="Times New Roman" w:hAnsi="Times New Roman" w:cs="Times New Roman"/>
          <w:sz w:val="24"/>
          <w:szCs w:val="24"/>
          <w:lang w:eastAsia="ru-RU"/>
        </w:rPr>
        <w:t xml:space="preserve"> процента.</w:t>
      </w:r>
    </w:p>
    <w:p w:rsidR="0016283C" w:rsidRPr="0016283C" w:rsidRDefault="0016283C" w:rsidP="003358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283C">
        <w:rPr>
          <w:rFonts w:ascii="Times New Roman" w:eastAsia="Times New Roman" w:hAnsi="Times New Roman" w:cs="Times New Roman"/>
          <w:sz w:val="24"/>
          <w:szCs w:val="24"/>
          <w:lang w:eastAsia="ru-RU"/>
        </w:rPr>
        <w:t xml:space="preserve">Снижение </w:t>
      </w:r>
      <w:r w:rsidR="001A16F9" w:rsidRPr="0016283C">
        <w:rPr>
          <w:rFonts w:ascii="Times New Roman" w:eastAsia="Times New Roman" w:hAnsi="Times New Roman" w:cs="Times New Roman"/>
          <w:sz w:val="24"/>
          <w:szCs w:val="24"/>
          <w:lang w:eastAsia="ru-RU"/>
        </w:rPr>
        <w:t xml:space="preserve">индекса физического объема </w:t>
      </w:r>
      <w:r w:rsidRPr="0016283C">
        <w:rPr>
          <w:rFonts w:ascii="Times New Roman" w:eastAsia="Times New Roman" w:hAnsi="Times New Roman" w:cs="Times New Roman"/>
          <w:sz w:val="24"/>
          <w:szCs w:val="24"/>
          <w:lang w:eastAsia="ru-RU"/>
        </w:rPr>
        <w:t>продукции сельского хозяйства  в 2015 году относительно 2014 года произошло вследствие уменьшения объема продукции животноводства (в сопоставимой оценке на 6,3 процента).</w:t>
      </w:r>
    </w:p>
    <w:p w:rsidR="00672F4D" w:rsidRPr="00672F4D" w:rsidRDefault="00672F4D" w:rsidP="003358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4D">
        <w:rPr>
          <w:rFonts w:ascii="Times New Roman" w:eastAsia="Times New Roman" w:hAnsi="Times New Roman" w:cs="Times New Roman"/>
          <w:sz w:val="24"/>
          <w:szCs w:val="24"/>
          <w:lang w:eastAsia="ru-RU"/>
        </w:rPr>
        <w:t>В 2015</w:t>
      </w:r>
      <w:r w:rsidR="008C4AF2" w:rsidRPr="00672F4D">
        <w:rPr>
          <w:rFonts w:ascii="Times New Roman" w:eastAsia="Times New Roman" w:hAnsi="Times New Roman" w:cs="Times New Roman"/>
          <w:sz w:val="24"/>
          <w:szCs w:val="24"/>
          <w:lang w:eastAsia="ru-RU"/>
        </w:rPr>
        <w:t xml:space="preserve"> году п</w:t>
      </w:r>
      <w:r w:rsidR="003358C1" w:rsidRPr="00672F4D">
        <w:rPr>
          <w:rFonts w:ascii="Times New Roman" w:eastAsia="Times New Roman" w:hAnsi="Times New Roman" w:cs="Times New Roman"/>
          <w:sz w:val="24"/>
          <w:szCs w:val="24"/>
          <w:lang w:eastAsia="ru-RU"/>
        </w:rPr>
        <w:t xml:space="preserve">осевная площадь увеличилась на </w:t>
      </w:r>
      <w:r>
        <w:rPr>
          <w:rFonts w:ascii="Times New Roman" w:eastAsia="Times New Roman" w:hAnsi="Times New Roman" w:cs="Times New Roman"/>
          <w:sz w:val="24"/>
          <w:szCs w:val="24"/>
          <w:lang w:eastAsia="ru-RU"/>
        </w:rPr>
        <w:t>10,0</w:t>
      </w:r>
      <w:r w:rsidR="003358C1" w:rsidRPr="00672F4D">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003358C1" w:rsidRPr="00672F4D">
        <w:rPr>
          <w:rFonts w:ascii="Times New Roman" w:eastAsia="Times New Roman" w:hAnsi="Times New Roman" w:cs="Times New Roman"/>
          <w:sz w:val="24"/>
          <w:szCs w:val="24"/>
          <w:lang w:eastAsia="ru-RU"/>
        </w:rPr>
        <w:t xml:space="preserve">, в том числе под </w:t>
      </w:r>
      <w:r>
        <w:rPr>
          <w:rFonts w:ascii="Times New Roman" w:eastAsia="Times New Roman" w:hAnsi="Times New Roman" w:cs="Times New Roman"/>
          <w:sz w:val="24"/>
          <w:szCs w:val="24"/>
          <w:lang w:eastAsia="ru-RU"/>
        </w:rPr>
        <w:t>техническими культурами</w:t>
      </w:r>
      <w:r w:rsidR="003358C1" w:rsidRPr="00672F4D">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15,5</w:t>
      </w:r>
      <w:r w:rsidR="003358C1" w:rsidRPr="00672F4D">
        <w:rPr>
          <w:rFonts w:ascii="Times New Roman" w:eastAsia="Times New Roman" w:hAnsi="Times New Roman" w:cs="Times New Roman"/>
          <w:sz w:val="24"/>
          <w:szCs w:val="24"/>
          <w:lang w:eastAsia="ru-RU"/>
        </w:rPr>
        <w:t xml:space="preserve"> процента</w:t>
      </w:r>
      <w:r w:rsidRPr="00672F4D">
        <w:rPr>
          <w:rFonts w:ascii="Times New Roman" w:eastAsia="Times New Roman" w:hAnsi="Times New Roman" w:cs="Times New Roman"/>
          <w:sz w:val="24"/>
          <w:szCs w:val="24"/>
          <w:lang w:eastAsia="ru-RU"/>
        </w:rPr>
        <w:t>, картофелем на 3,4 процента</w:t>
      </w:r>
      <w:r w:rsidR="003358C1" w:rsidRPr="00672F4D">
        <w:rPr>
          <w:rFonts w:ascii="Times New Roman" w:eastAsia="Times New Roman" w:hAnsi="Times New Roman" w:cs="Times New Roman"/>
          <w:sz w:val="24"/>
          <w:szCs w:val="24"/>
          <w:lang w:eastAsia="ru-RU"/>
        </w:rPr>
        <w:t xml:space="preserve">. </w:t>
      </w:r>
      <w:r w:rsidRPr="00672F4D">
        <w:rPr>
          <w:rFonts w:ascii="Times New Roman" w:eastAsia="Times New Roman" w:hAnsi="Times New Roman" w:cs="Times New Roman"/>
          <w:sz w:val="24"/>
          <w:szCs w:val="24"/>
          <w:lang w:eastAsia="ru-RU"/>
        </w:rPr>
        <w:t xml:space="preserve">Под зерновыми культурами посевная площадь сократилась на </w:t>
      </w:r>
      <w:r>
        <w:rPr>
          <w:rFonts w:ascii="Times New Roman" w:eastAsia="Times New Roman" w:hAnsi="Times New Roman" w:cs="Times New Roman"/>
          <w:sz w:val="24"/>
          <w:szCs w:val="24"/>
          <w:lang w:eastAsia="ru-RU"/>
        </w:rPr>
        <w:t>7,3</w:t>
      </w:r>
      <w:r w:rsidRPr="00672F4D">
        <w:rPr>
          <w:rFonts w:ascii="Times New Roman" w:eastAsia="Times New Roman" w:hAnsi="Times New Roman" w:cs="Times New Roman"/>
          <w:sz w:val="24"/>
          <w:szCs w:val="24"/>
          <w:lang w:eastAsia="ru-RU"/>
        </w:rPr>
        <w:t xml:space="preserve"> процента.</w:t>
      </w:r>
    </w:p>
    <w:p w:rsidR="003358C1" w:rsidRPr="006D653D" w:rsidRDefault="003358C1" w:rsidP="003358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653D">
        <w:rPr>
          <w:rFonts w:ascii="Times New Roman" w:eastAsia="Times New Roman" w:hAnsi="Times New Roman" w:cs="Times New Roman"/>
          <w:sz w:val="24"/>
          <w:szCs w:val="24"/>
          <w:lang w:eastAsia="ru-RU"/>
        </w:rPr>
        <w:t xml:space="preserve">В хозяйствах всех категорий собрано зерна в весе после доработки </w:t>
      </w:r>
      <w:r w:rsidR="00672F4D" w:rsidRPr="006D653D">
        <w:rPr>
          <w:rFonts w:ascii="Times New Roman" w:eastAsia="Times New Roman" w:hAnsi="Times New Roman" w:cs="Times New Roman"/>
          <w:sz w:val="24"/>
          <w:szCs w:val="24"/>
          <w:lang w:eastAsia="ru-RU"/>
        </w:rPr>
        <w:t xml:space="preserve">на </w:t>
      </w:r>
      <w:r w:rsidR="008D430E">
        <w:rPr>
          <w:rFonts w:ascii="Times New Roman" w:eastAsia="Times New Roman" w:hAnsi="Times New Roman" w:cs="Times New Roman"/>
          <w:sz w:val="24"/>
          <w:szCs w:val="24"/>
          <w:lang w:eastAsia="ru-RU"/>
        </w:rPr>
        <w:t>16,0</w:t>
      </w:r>
      <w:r w:rsidR="00672F4D" w:rsidRPr="006D653D">
        <w:rPr>
          <w:rFonts w:ascii="Times New Roman" w:eastAsia="Times New Roman" w:hAnsi="Times New Roman" w:cs="Times New Roman"/>
          <w:sz w:val="24"/>
          <w:szCs w:val="24"/>
          <w:lang w:eastAsia="ru-RU"/>
        </w:rPr>
        <w:t xml:space="preserve"> процент</w:t>
      </w:r>
      <w:r w:rsidR="008D430E">
        <w:rPr>
          <w:rFonts w:ascii="Times New Roman" w:eastAsia="Times New Roman" w:hAnsi="Times New Roman" w:cs="Times New Roman"/>
          <w:sz w:val="24"/>
          <w:szCs w:val="24"/>
          <w:lang w:eastAsia="ru-RU"/>
        </w:rPr>
        <w:t>ов</w:t>
      </w:r>
      <w:r w:rsidR="00672F4D" w:rsidRPr="006D653D">
        <w:rPr>
          <w:rFonts w:ascii="Times New Roman" w:eastAsia="Times New Roman" w:hAnsi="Times New Roman" w:cs="Times New Roman"/>
          <w:sz w:val="24"/>
          <w:szCs w:val="24"/>
          <w:lang w:eastAsia="ru-RU"/>
        </w:rPr>
        <w:t xml:space="preserve"> меньше, чем в 2014 году</w:t>
      </w:r>
      <w:r w:rsidR="006D653D" w:rsidRPr="006D653D">
        <w:rPr>
          <w:rFonts w:ascii="Times New Roman" w:eastAsia="Times New Roman" w:hAnsi="Times New Roman" w:cs="Times New Roman"/>
          <w:sz w:val="24"/>
          <w:szCs w:val="24"/>
          <w:lang w:eastAsia="ru-RU"/>
        </w:rPr>
        <w:t xml:space="preserve">, сои в весе после доработки - </w:t>
      </w:r>
      <w:r w:rsidR="00672F4D" w:rsidRPr="006D653D">
        <w:rPr>
          <w:rFonts w:ascii="Times New Roman" w:eastAsia="Times New Roman" w:hAnsi="Times New Roman" w:cs="Times New Roman"/>
          <w:sz w:val="24"/>
          <w:szCs w:val="24"/>
          <w:lang w:eastAsia="ru-RU"/>
        </w:rPr>
        <w:t xml:space="preserve">на уровне 2014 года </w:t>
      </w:r>
      <w:r w:rsidRPr="006D653D">
        <w:rPr>
          <w:rFonts w:ascii="Times New Roman" w:eastAsia="Times New Roman" w:hAnsi="Times New Roman" w:cs="Times New Roman"/>
          <w:sz w:val="24"/>
          <w:szCs w:val="24"/>
          <w:lang w:eastAsia="ru-RU"/>
        </w:rPr>
        <w:t>(</w:t>
      </w:r>
      <w:r w:rsidR="00672F4D" w:rsidRPr="006D653D">
        <w:rPr>
          <w:rFonts w:ascii="Times New Roman" w:eastAsia="Times New Roman" w:hAnsi="Times New Roman" w:cs="Times New Roman"/>
          <w:sz w:val="24"/>
          <w:szCs w:val="24"/>
          <w:lang w:eastAsia="ru-RU"/>
        </w:rPr>
        <w:t xml:space="preserve">100,5 </w:t>
      </w:r>
      <w:r w:rsidRPr="006D653D">
        <w:rPr>
          <w:rFonts w:ascii="Times New Roman" w:eastAsia="Times New Roman" w:hAnsi="Times New Roman" w:cs="Times New Roman"/>
          <w:sz w:val="24"/>
          <w:szCs w:val="24"/>
          <w:lang w:eastAsia="ru-RU"/>
        </w:rPr>
        <w:t xml:space="preserve">процента </w:t>
      </w:r>
      <w:r w:rsidR="00672F4D" w:rsidRPr="006D653D">
        <w:rPr>
          <w:rFonts w:ascii="Times New Roman" w:eastAsia="Times New Roman" w:hAnsi="Times New Roman" w:cs="Times New Roman"/>
          <w:sz w:val="24"/>
          <w:szCs w:val="24"/>
          <w:lang w:eastAsia="ru-RU"/>
        </w:rPr>
        <w:t>к уровню 2014 года)</w:t>
      </w:r>
      <w:r w:rsidR="006D653D" w:rsidRPr="006D653D">
        <w:rPr>
          <w:rFonts w:ascii="Times New Roman" w:eastAsia="Times New Roman" w:hAnsi="Times New Roman" w:cs="Times New Roman"/>
          <w:sz w:val="24"/>
          <w:szCs w:val="24"/>
          <w:lang w:eastAsia="ru-RU"/>
        </w:rPr>
        <w:t>. Валовой сбор картофеля в 2015</w:t>
      </w:r>
      <w:r w:rsidRPr="006D653D">
        <w:rPr>
          <w:rFonts w:ascii="Times New Roman" w:eastAsia="Times New Roman" w:hAnsi="Times New Roman" w:cs="Times New Roman"/>
          <w:sz w:val="24"/>
          <w:szCs w:val="24"/>
          <w:lang w:eastAsia="ru-RU"/>
        </w:rPr>
        <w:t xml:space="preserve"> году относительно 201</w:t>
      </w:r>
      <w:r w:rsidR="006D653D" w:rsidRPr="006D653D">
        <w:rPr>
          <w:rFonts w:ascii="Times New Roman" w:eastAsia="Times New Roman" w:hAnsi="Times New Roman" w:cs="Times New Roman"/>
          <w:sz w:val="24"/>
          <w:szCs w:val="24"/>
          <w:lang w:eastAsia="ru-RU"/>
        </w:rPr>
        <w:t>4</w:t>
      </w:r>
      <w:r w:rsidRPr="006D653D">
        <w:rPr>
          <w:rFonts w:ascii="Times New Roman" w:eastAsia="Times New Roman" w:hAnsi="Times New Roman" w:cs="Times New Roman"/>
          <w:sz w:val="24"/>
          <w:szCs w:val="24"/>
          <w:lang w:eastAsia="ru-RU"/>
        </w:rPr>
        <w:t xml:space="preserve"> года </w:t>
      </w:r>
      <w:r w:rsidR="006D653D" w:rsidRPr="006D653D">
        <w:rPr>
          <w:rFonts w:ascii="Times New Roman" w:eastAsia="Times New Roman" w:hAnsi="Times New Roman" w:cs="Times New Roman"/>
          <w:sz w:val="24"/>
          <w:szCs w:val="24"/>
          <w:lang w:eastAsia="ru-RU"/>
        </w:rPr>
        <w:t>уменьшился на 3,9 процента</w:t>
      </w:r>
      <w:r w:rsidRPr="006D653D">
        <w:rPr>
          <w:rFonts w:ascii="Times New Roman" w:eastAsia="Times New Roman" w:hAnsi="Times New Roman" w:cs="Times New Roman"/>
          <w:sz w:val="24"/>
          <w:szCs w:val="24"/>
          <w:lang w:eastAsia="ru-RU"/>
        </w:rPr>
        <w:t xml:space="preserve">, </w:t>
      </w:r>
      <w:r w:rsidR="006D653D" w:rsidRPr="006D653D">
        <w:rPr>
          <w:rFonts w:ascii="Times New Roman" w:eastAsia="Times New Roman" w:hAnsi="Times New Roman" w:cs="Times New Roman"/>
          <w:sz w:val="24"/>
          <w:szCs w:val="24"/>
          <w:lang w:eastAsia="ru-RU"/>
        </w:rPr>
        <w:t>овощей – увеличился на 2,8 процента</w:t>
      </w:r>
      <w:r w:rsidRPr="006D653D">
        <w:rPr>
          <w:rFonts w:ascii="Times New Roman" w:eastAsia="Times New Roman" w:hAnsi="Times New Roman" w:cs="Times New Roman"/>
          <w:sz w:val="24"/>
          <w:szCs w:val="24"/>
          <w:lang w:eastAsia="ru-RU"/>
        </w:rPr>
        <w:t>.</w:t>
      </w:r>
    </w:p>
    <w:p w:rsidR="008326C4" w:rsidRPr="006D653D" w:rsidRDefault="008326C4" w:rsidP="00CD5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653D">
        <w:rPr>
          <w:rFonts w:ascii="Times New Roman" w:eastAsia="Times New Roman" w:hAnsi="Times New Roman" w:cs="Times New Roman"/>
          <w:sz w:val="24"/>
          <w:szCs w:val="24"/>
          <w:lang w:eastAsia="ru-RU"/>
        </w:rPr>
        <w:t xml:space="preserve">Валовые сборы основных сельскохозяйственных культур в хозяйствах всех категорий представлены на рисунке </w:t>
      </w:r>
      <w:r w:rsidR="00A21CFE" w:rsidRPr="006D653D">
        <w:rPr>
          <w:rFonts w:ascii="Times New Roman" w:eastAsia="Times New Roman" w:hAnsi="Times New Roman" w:cs="Times New Roman"/>
          <w:sz w:val="24"/>
          <w:szCs w:val="24"/>
          <w:lang w:eastAsia="ru-RU"/>
        </w:rPr>
        <w:t>9</w:t>
      </w:r>
      <w:r w:rsidR="005728B5">
        <w:rPr>
          <w:rFonts w:ascii="Times New Roman" w:eastAsia="Times New Roman" w:hAnsi="Times New Roman" w:cs="Times New Roman"/>
          <w:sz w:val="24"/>
          <w:szCs w:val="24"/>
          <w:lang w:eastAsia="ru-RU"/>
        </w:rPr>
        <w:t>.</w:t>
      </w:r>
    </w:p>
    <w:p w:rsidR="008326C4" w:rsidRPr="005728B5" w:rsidRDefault="008326C4" w:rsidP="008326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74F">
        <w:rPr>
          <w:rFonts w:ascii="Times New Roman" w:eastAsia="Times New Roman" w:hAnsi="Times New Roman" w:cs="Times New Roman"/>
          <w:noProof/>
          <w:color w:val="FF0000"/>
          <w:sz w:val="24"/>
          <w:szCs w:val="24"/>
          <w:lang w:eastAsia="ru-RU"/>
        </w:rPr>
        <w:drawing>
          <wp:inline distT="0" distB="0" distL="0" distR="0" wp14:anchorId="6C11933D" wp14:editId="794A6D63">
            <wp:extent cx="6134100" cy="2371725"/>
            <wp:effectExtent l="0" t="0" r="0" b="0"/>
            <wp:docPr id="1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326C4" w:rsidRPr="006D653D" w:rsidRDefault="00CD5F22" w:rsidP="008326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53D">
        <w:rPr>
          <w:rFonts w:ascii="Times New Roman" w:eastAsia="Times New Roman" w:hAnsi="Times New Roman" w:cs="Times New Roman"/>
          <w:b/>
          <w:sz w:val="24"/>
          <w:szCs w:val="24"/>
          <w:lang w:eastAsia="ru-RU"/>
        </w:rPr>
        <w:t xml:space="preserve">Рис. </w:t>
      </w:r>
      <w:r w:rsidR="00A21CFE" w:rsidRPr="006D653D">
        <w:rPr>
          <w:rFonts w:ascii="Times New Roman" w:eastAsia="Times New Roman" w:hAnsi="Times New Roman" w:cs="Times New Roman"/>
          <w:b/>
          <w:sz w:val="24"/>
          <w:szCs w:val="24"/>
          <w:lang w:eastAsia="ru-RU"/>
        </w:rPr>
        <w:t>9</w:t>
      </w:r>
      <w:r w:rsidR="008326C4" w:rsidRPr="006D653D">
        <w:rPr>
          <w:rFonts w:ascii="Times New Roman" w:eastAsia="Times New Roman" w:hAnsi="Times New Roman" w:cs="Times New Roman"/>
          <w:b/>
          <w:sz w:val="24"/>
          <w:szCs w:val="24"/>
          <w:lang w:eastAsia="ru-RU"/>
        </w:rPr>
        <w:t xml:space="preserve"> – Валовые сборы сельскохозяйственных культур в хозяйствах всех </w:t>
      </w:r>
      <w:r w:rsidR="008326C4" w:rsidRPr="006D653D">
        <w:rPr>
          <w:rFonts w:ascii="Times New Roman" w:eastAsia="Times New Roman" w:hAnsi="Times New Roman" w:cs="Times New Roman"/>
          <w:b/>
          <w:sz w:val="24"/>
          <w:szCs w:val="24"/>
          <w:lang w:eastAsia="ru-RU"/>
        </w:rPr>
        <w:br/>
        <w:t>категорий, тыс. тонн</w:t>
      </w:r>
    </w:p>
    <w:p w:rsidR="003358C1" w:rsidRPr="006D653D" w:rsidRDefault="003358C1" w:rsidP="003358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653D">
        <w:rPr>
          <w:rFonts w:ascii="Times New Roman" w:eastAsia="Times New Roman" w:hAnsi="Times New Roman" w:cs="Times New Roman"/>
          <w:sz w:val="24"/>
          <w:szCs w:val="24"/>
          <w:lang w:eastAsia="ru-RU"/>
        </w:rPr>
        <w:lastRenderedPageBreak/>
        <w:t xml:space="preserve">По темпам </w:t>
      </w:r>
      <w:r w:rsidR="001C327E" w:rsidRPr="006D653D">
        <w:rPr>
          <w:rFonts w:ascii="Times New Roman" w:eastAsia="Times New Roman" w:hAnsi="Times New Roman" w:cs="Times New Roman"/>
          <w:sz w:val="24"/>
          <w:szCs w:val="24"/>
          <w:lang w:eastAsia="ru-RU"/>
        </w:rPr>
        <w:t>роста</w:t>
      </w:r>
      <w:r w:rsidRPr="006D653D">
        <w:rPr>
          <w:rFonts w:ascii="Times New Roman" w:eastAsia="Times New Roman" w:hAnsi="Times New Roman" w:cs="Times New Roman"/>
          <w:sz w:val="24"/>
          <w:szCs w:val="24"/>
          <w:lang w:eastAsia="ru-RU"/>
        </w:rPr>
        <w:t xml:space="preserve"> индекса производства продукции сельского хозяйства в 201</w:t>
      </w:r>
      <w:r w:rsidR="006D653D" w:rsidRPr="006D653D">
        <w:rPr>
          <w:rFonts w:ascii="Times New Roman" w:eastAsia="Times New Roman" w:hAnsi="Times New Roman" w:cs="Times New Roman"/>
          <w:sz w:val="24"/>
          <w:szCs w:val="24"/>
          <w:lang w:eastAsia="ru-RU"/>
        </w:rPr>
        <w:t>5</w:t>
      </w:r>
      <w:r w:rsidRPr="006D653D">
        <w:rPr>
          <w:rFonts w:ascii="Times New Roman" w:eastAsia="Times New Roman" w:hAnsi="Times New Roman" w:cs="Times New Roman"/>
          <w:sz w:val="24"/>
          <w:szCs w:val="24"/>
          <w:lang w:eastAsia="ru-RU"/>
        </w:rPr>
        <w:t xml:space="preserve"> году относительно 201</w:t>
      </w:r>
      <w:r w:rsidR="006D653D" w:rsidRPr="006D653D">
        <w:rPr>
          <w:rFonts w:ascii="Times New Roman" w:eastAsia="Times New Roman" w:hAnsi="Times New Roman" w:cs="Times New Roman"/>
          <w:sz w:val="24"/>
          <w:szCs w:val="24"/>
          <w:lang w:eastAsia="ru-RU"/>
        </w:rPr>
        <w:t>4</w:t>
      </w:r>
      <w:r w:rsidRPr="006D653D">
        <w:rPr>
          <w:rFonts w:ascii="Times New Roman" w:eastAsia="Times New Roman" w:hAnsi="Times New Roman" w:cs="Times New Roman"/>
          <w:sz w:val="24"/>
          <w:szCs w:val="24"/>
          <w:lang w:eastAsia="ru-RU"/>
        </w:rPr>
        <w:t xml:space="preserve"> года Амурская область занимает </w:t>
      </w:r>
      <w:r w:rsidR="005728B5">
        <w:rPr>
          <w:rFonts w:ascii="Times New Roman" w:eastAsia="Times New Roman" w:hAnsi="Times New Roman" w:cs="Times New Roman"/>
          <w:sz w:val="24"/>
          <w:szCs w:val="24"/>
          <w:lang w:eastAsia="ru-RU"/>
        </w:rPr>
        <w:t>третье</w:t>
      </w:r>
      <w:r w:rsidRPr="006D653D">
        <w:rPr>
          <w:rFonts w:ascii="Times New Roman" w:eastAsia="Times New Roman" w:hAnsi="Times New Roman" w:cs="Times New Roman"/>
          <w:sz w:val="24"/>
          <w:szCs w:val="24"/>
          <w:lang w:eastAsia="ru-RU"/>
        </w:rPr>
        <w:t xml:space="preserve"> место в Дальневосточном федеральном округе</w:t>
      </w:r>
      <w:r w:rsidR="005B48D7" w:rsidRPr="006D653D">
        <w:rPr>
          <w:rFonts w:ascii="Times New Roman" w:eastAsia="Times New Roman" w:hAnsi="Times New Roman" w:cs="Times New Roman"/>
          <w:sz w:val="24"/>
          <w:szCs w:val="24"/>
          <w:lang w:eastAsia="ru-RU"/>
        </w:rPr>
        <w:t xml:space="preserve"> </w:t>
      </w:r>
      <w:r w:rsidR="006D653D" w:rsidRPr="006D653D">
        <w:rPr>
          <w:rFonts w:ascii="Times New Roman" w:eastAsia="Times New Roman" w:hAnsi="Times New Roman" w:cs="Times New Roman"/>
          <w:sz w:val="24"/>
          <w:szCs w:val="24"/>
          <w:lang w:eastAsia="ru-RU"/>
        </w:rPr>
        <w:t>после Магаданской области (индекс производства продукции сельского хозяйства 116,0 процентов) и Еврейской автономной области (индекс производства продукции сельского хозяйства 99,5 процента)</w:t>
      </w:r>
      <w:r w:rsidR="001C327E" w:rsidRPr="006D653D">
        <w:rPr>
          <w:rFonts w:ascii="Times New Roman" w:eastAsia="Times New Roman" w:hAnsi="Times New Roman" w:cs="Times New Roman"/>
          <w:sz w:val="24"/>
          <w:szCs w:val="24"/>
          <w:lang w:eastAsia="ru-RU"/>
        </w:rPr>
        <w:t>.</w:t>
      </w:r>
      <w:r w:rsidRPr="006D653D">
        <w:rPr>
          <w:rFonts w:ascii="Times New Roman" w:eastAsia="Times New Roman" w:hAnsi="Times New Roman" w:cs="Times New Roman"/>
          <w:sz w:val="24"/>
          <w:szCs w:val="24"/>
          <w:lang w:eastAsia="ru-RU"/>
        </w:rPr>
        <w:t xml:space="preserve"> </w:t>
      </w:r>
      <w:r w:rsidR="005B48D7" w:rsidRPr="006D653D">
        <w:rPr>
          <w:rFonts w:ascii="Times New Roman" w:eastAsia="Times New Roman" w:hAnsi="Times New Roman" w:cs="Times New Roman"/>
          <w:sz w:val="24"/>
          <w:szCs w:val="24"/>
          <w:lang w:eastAsia="ru-RU"/>
        </w:rPr>
        <w:t xml:space="preserve">Указанное значение </w:t>
      </w:r>
      <w:r w:rsidR="006D653D" w:rsidRPr="006D653D">
        <w:rPr>
          <w:rFonts w:ascii="Times New Roman" w:eastAsia="Times New Roman" w:hAnsi="Times New Roman" w:cs="Times New Roman"/>
          <w:sz w:val="24"/>
          <w:szCs w:val="24"/>
          <w:lang w:eastAsia="ru-RU"/>
        </w:rPr>
        <w:t>ниже</w:t>
      </w:r>
      <w:r w:rsidR="005B48D7" w:rsidRPr="006D653D">
        <w:rPr>
          <w:rFonts w:ascii="Times New Roman" w:eastAsia="Times New Roman" w:hAnsi="Times New Roman" w:cs="Times New Roman"/>
          <w:sz w:val="24"/>
          <w:szCs w:val="24"/>
          <w:lang w:eastAsia="ru-RU"/>
        </w:rPr>
        <w:t xml:space="preserve"> установленн</w:t>
      </w:r>
      <w:r w:rsidR="006D653D" w:rsidRPr="006D653D">
        <w:rPr>
          <w:rFonts w:ascii="Times New Roman" w:eastAsia="Times New Roman" w:hAnsi="Times New Roman" w:cs="Times New Roman"/>
          <w:sz w:val="24"/>
          <w:szCs w:val="24"/>
          <w:lang w:eastAsia="ru-RU"/>
        </w:rPr>
        <w:t>ого</w:t>
      </w:r>
      <w:r w:rsidR="005B48D7" w:rsidRPr="006D653D">
        <w:rPr>
          <w:rFonts w:ascii="Times New Roman" w:eastAsia="Times New Roman" w:hAnsi="Times New Roman" w:cs="Times New Roman"/>
          <w:sz w:val="24"/>
          <w:szCs w:val="24"/>
          <w:lang w:eastAsia="ru-RU"/>
        </w:rPr>
        <w:t xml:space="preserve"> </w:t>
      </w:r>
      <w:r w:rsidR="006D653D" w:rsidRPr="006D653D">
        <w:rPr>
          <w:rFonts w:ascii="Times New Roman" w:eastAsia="Times New Roman" w:hAnsi="Times New Roman" w:cs="Times New Roman"/>
          <w:sz w:val="24"/>
          <w:szCs w:val="24"/>
          <w:lang w:eastAsia="ru-RU"/>
        </w:rPr>
        <w:t xml:space="preserve">Программой социально-экономического развития Амурской области на 2013-2017 годы, утвержденной Законом Амурской области от 13.11.2013 № 277-ОЗ, </w:t>
      </w:r>
      <w:r w:rsidR="005B48D7" w:rsidRPr="006D653D">
        <w:rPr>
          <w:rFonts w:ascii="Times New Roman" w:eastAsia="Times New Roman" w:hAnsi="Times New Roman" w:cs="Times New Roman"/>
          <w:sz w:val="24"/>
          <w:szCs w:val="24"/>
          <w:lang w:eastAsia="ru-RU"/>
        </w:rPr>
        <w:t>уров</w:t>
      </w:r>
      <w:r w:rsidR="006D653D" w:rsidRPr="006D653D">
        <w:rPr>
          <w:rFonts w:ascii="Times New Roman" w:eastAsia="Times New Roman" w:hAnsi="Times New Roman" w:cs="Times New Roman"/>
          <w:sz w:val="24"/>
          <w:szCs w:val="24"/>
          <w:lang w:eastAsia="ru-RU"/>
        </w:rPr>
        <w:t>ня</w:t>
      </w:r>
      <w:r w:rsidR="005B48D7" w:rsidRPr="006D653D">
        <w:rPr>
          <w:rFonts w:ascii="Times New Roman" w:eastAsia="Times New Roman" w:hAnsi="Times New Roman" w:cs="Times New Roman"/>
          <w:sz w:val="24"/>
          <w:szCs w:val="24"/>
          <w:lang w:eastAsia="ru-RU"/>
        </w:rPr>
        <w:t xml:space="preserve"> на </w:t>
      </w:r>
      <w:r w:rsidR="006D653D" w:rsidRPr="006D653D">
        <w:rPr>
          <w:rFonts w:ascii="Times New Roman" w:eastAsia="Times New Roman" w:hAnsi="Times New Roman" w:cs="Times New Roman"/>
          <w:sz w:val="24"/>
          <w:szCs w:val="24"/>
          <w:lang w:eastAsia="ru-RU"/>
        </w:rPr>
        <w:t>8,2</w:t>
      </w:r>
      <w:r w:rsidR="005B48D7" w:rsidRPr="006D653D">
        <w:rPr>
          <w:rFonts w:ascii="Times New Roman" w:eastAsia="Times New Roman" w:hAnsi="Times New Roman" w:cs="Times New Roman"/>
          <w:sz w:val="24"/>
          <w:szCs w:val="24"/>
          <w:lang w:eastAsia="ru-RU"/>
        </w:rPr>
        <w:t xml:space="preserve"> процента.</w:t>
      </w:r>
    </w:p>
    <w:p w:rsidR="000C45F8" w:rsidRPr="003E0E09" w:rsidRDefault="00CC6242" w:rsidP="00CC6242">
      <w:pPr>
        <w:widowControl w:val="0"/>
        <w:autoSpaceDE w:val="0"/>
        <w:autoSpaceDN w:val="0"/>
        <w:adjustRightInd w:val="0"/>
        <w:spacing w:after="0" w:line="240" w:lineRule="auto"/>
        <w:ind w:firstLine="709"/>
        <w:jc w:val="both"/>
        <w:rPr>
          <w:rFonts w:ascii="Arial" w:hAnsi="Arial" w:cs="Arial"/>
          <w:sz w:val="20"/>
          <w:szCs w:val="20"/>
          <w:shd w:val="clear" w:color="auto" w:fill="FFFFFF"/>
        </w:rPr>
      </w:pPr>
      <w:r w:rsidRPr="003E0E09">
        <w:rPr>
          <w:rFonts w:ascii="Times New Roman" w:eastAsia="Times New Roman" w:hAnsi="Times New Roman" w:cs="Times New Roman"/>
          <w:sz w:val="24"/>
          <w:szCs w:val="24"/>
          <w:lang w:eastAsia="ru-RU"/>
        </w:rPr>
        <w:t>В животноводстве в хозяйствах всех сельхозпроизводителей в 201</w:t>
      </w:r>
      <w:r w:rsidR="003E0E09" w:rsidRPr="003E0E09">
        <w:rPr>
          <w:rFonts w:ascii="Times New Roman" w:eastAsia="Times New Roman" w:hAnsi="Times New Roman" w:cs="Times New Roman"/>
          <w:sz w:val="24"/>
          <w:szCs w:val="24"/>
          <w:lang w:eastAsia="ru-RU"/>
        </w:rPr>
        <w:t xml:space="preserve">5 году по </w:t>
      </w:r>
      <w:r w:rsidR="003E0E09" w:rsidRPr="007B27E1">
        <w:rPr>
          <w:rFonts w:ascii="Times New Roman" w:eastAsia="Times New Roman" w:hAnsi="Times New Roman" w:cs="Times New Roman"/>
          <w:sz w:val="24"/>
          <w:szCs w:val="24"/>
          <w:lang w:eastAsia="ru-RU"/>
        </w:rPr>
        <w:t>сравнению с 2014</w:t>
      </w:r>
      <w:r w:rsidRPr="007B27E1">
        <w:rPr>
          <w:rFonts w:ascii="Times New Roman" w:eastAsia="Times New Roman" w:hAnsi="Times New Roman" w:cs="Times New Roman"/>
          <w:sz w:val="24"/>
          <w:szCs w:val="24"/>
          <w:lang w:eastAsia="ru-RU"/>
        </w:rPr>
        <w:t xml:space="preserve"> годом производство скота и птицы на убой (в убойном весе) </w:t>
      </w:r>
      <w:r w:rsidR="003E0E09" w:rsidRPr="007B27E1">
        <w:rPr>
          <w:rFonts w:ascii="Times New Roman" w:eastAsia="Times New Roman" w:hAnsi="Times New Roman" w:cs="Times New Roman"/>
          <w:sz w:val="24"/>
          <w:szCs w:val="24"/>
          <w:lang w:eastAsia="ru-RU"/>
        </w:rPr>
        <w:t>увеличилось</w:t>
      </w:r>
      <w:r w:rsidRPr="007B27E1">
        <w:rPr>
          <w:rFonts w:ascii="Times New Roman" w:eastAsia="Times New Roman" w:hAnsi="Times New Roman" w:cs="Times New Roman"/>
          <w:sz w:val="24"/>
          <w:szCs w:val="24"/>
          <w:lang w:eastAsia="ru-RU"/>
        </w:rPr>
        <w:t xml:space="preserve"> на </w:t>
      </w:r>
      <w:r w:rsidR="007B27E1" w:rsidRPr="007B27E1">
        <w:rPr>
          <w:rFonts w:ascii="Times New Roman" w:eastAsia="Times New Roman" w:hAnsi="Times New Roman" w:cs="Times New Roman"/>
          <w:sz w:val="24"/>
          <w:szCs w:val="24"/>
          <w:lang w:eastAsia="ru-RU"/>
        </w:rPr>
        <w:t>0,5</w:t>
      </w:r>
      <w:r w:rsidRPr="007B27E1">
        <w:rPr>
          <w:rFonts w:ascii="Times New Roman" w:eastAsia="Times New Roman" w:hAnsi="Times New Roman" w:cs="Times New Roman"/>
          <w:sz w:val="24"/>
          <w:szCs w:val="24"/>
          <w:lang w:eastAsia="ru-RU"/>
        </w:rPr>
        <w:t xml:space="preserve"> процента, молока –</w:t>
      </w:r>
      <w:r w:rsidR="003E0E09" w:rsidRPr="007B27E1">
        <w:rPr>
          <w:rFonts w:ascii="Times New Roman" w:eastAsia="Times New Roman" w:hAnsi="Times New Roman" w:cs="Times New Roman"/>
          <w:sz w:val="24"/>
          <w:szCs w:val="24"/>
          <w:lang w:eastAsia="ru-RU"/>
        </w:rPr>
        <w:t xml:space="preserve"> на </w:t>
      </w:r>
      <w:r w:rsidR="007B27E1" w:rsidRPr="007B27E1">
        <w:rPr>
          <w:rFonts w:ascii="Times New Roman" w:eastAsia="Times New Roman" w:hAnsi="Times New Roman" w:cs="Times New Roman"/>
          <w:sz w:val="24"/>
          <w:szCs w:val="24"/>
          <w:lang w:eastAsia="ru-RU"/>
        </w:rPr>
        <w:t>3,5</w:t>
      </w:r>
      <w:r w:rsidRPr="007B27E1">
        <w:rPr>
          <w:rFonts w:ascii="Times New Roman" w:eastAsia="Times New Roman" w:hAnsi="Times New Roman" w:cs="Times New Roman"/>
          <w:sz w:val="24"/>
          <w:szCs w:val="24"/>
          <w:lang w:eastAsia="ru-RU"/>
        </w:rPr>
        <w:t xml:space="preserve"> процент</w:t>
      </w:r>
      <w:r w:rsidR="003E0E09" w:rsidRPr="007B27E1">
        <w:rPr>
          <w:rFonts w:ascii="Times New Roman" w:eastAsia="Times New Roman" w:hAnsi="Times New Roman" w:cs="Times New Roman"/>
          <w:sz w:val="24"/>
          <w:szCs w:val="24"/>
          <w:lang w:eastAsia="ru-RU"/>
        </w:rPr>
        <w:t>а</w:t>
      </w:r>
      <w:r w:rsidRPr="007B27E1">
        <w:rPr>
          <w:rFonts w:ascii="Times New Roman" w:eastAsia="Times New Roman" w:hAnsi="Times New Roman" w:cs="Times New Roman"/>
          <w:sz w:val="24"/>
          <w:szCs w:val="24"/>
          <w:lang w:eastAsia="ru-RU"/>
        </w:rPr>
        <w:t xml:space="preserve">, яиц </w:t>
      </w:r>
      <w:r w:rsidR="003E0E09" w:rsidRPr="007B27E1">
        <w:rPr>
          <w:rFonts w:ascii="Times New Roman" w:eastAsia="Times New Roman" w:hAnsi="Times New Roman" w:cs="Times New Roman"/>
          <w:sz w:val="24"/>
          <w:szCs w:val="24"/>
          <w:lang w:eastAsia="ru-RU"/>
        </w:rPr>
        <w:t xml:space="preserve">– уменьшилось </w:t>
      </w:r>
      <w:r w:rsidRPr="007B27E1">
        <w:rPr>
          <w:rFonts w:ascii="Times New Roman" w:eastAsia="Times New Roman" w:hAnsi="Times New Roman" w:cs="Times New Roman"/>
          <w:sz w:val="24"/>
          <w:szCs w:val="24"/>
          <w:lang w:eastAsia="ru-RU"/>
        </w:rPr>
        <w:t xml:space="preserve">на </w:t>
      </w:r>
      <w:r w:rsidR="003E0E09" w:rsidRPr="007B27E1">
        <w:rPr>
          <w:rFonts w:ascii="Times New Roman" w:eastAsia="Times New Roman" w:hAnsi="Times New Roman" w:cs="Times New Roman"/>
          <w:sz w:val="24"/>
          <w:szCs w:val="24"/>
          <w:lang w:eastAsia="ru-RU"/>
        </w:rPr>
        <w:t>1</w:t>
      </w:r>
      <w:r w:rsidR="007B27E1" w:rsidRPr="007B27E1">
        <w:rPr>
          <w:rFonts w:ascii="Times New Roman" w:eastAsia="Times New Roman" w:hAnsi="Times New Roman" w:cs="Times New Roman"/>
          <w:sz w:val="24"/>
          <w:szCs w:val="24"/>
          <w:lang w:eastAsia="ru-RU"/>
        </w:rPr>
        <w:t>5</w:t>
      </w:r>
      <w:r w:rsidR="003E0E09" w:rsidRPr="007B27E1">
        <w:rPr>
          <w:rFonts w:ascii="Times New Roman" w:eastAsia="Times New Roman" w:hAnsi="Times New Roman" w:cs="Times New Roman"/>
          <w:sz w:val="24"/>
          <w:szCs w:val="24"/>
          <w:lang w:eastAsia="ru-RU"/>
        </w:rPr>
        <w:t>,</w:t>
      </w:r>
      <w:r w:rsidR="007B27E1" w:rsidRPr="007B27E1">
        <w:rPr>
          <w:rFonts w:ascii="Times New Roman" w:eastAsia="Times New Roman" w:hAnsi="Times New Roman" w:cs="Times New Roman"/>
          <w:sz w:val="24"/>
          <w:szCs w:val="24"/>
          <w:lang w:eastAsia="ru-RU"/>
        </w:rPr>
        <w:t>4</w:t>
      </w:r>
      <w:r w:rsidR="003E0E09" w:rsidRPr="007B27E1">
        <w:rPr>
          <w:rFonts w:ascii="Times New Roman" w:eastAsia="Times New Roman" w:hAnsi="Times New Roman" w:cs="Times New Roman"/>
          <w:sz w:val="24"/>
          <w:szCs w:val="24"/>
          <w:lang w:eastAsia="ru-RU"/>
        </w:rPr>
        <w:t xml:space="preserve"> </w:t>
      </w:r>
      <w:r w:rsidR="005728B5" w:rsidRPr="007B27E1">
        <w:rPr>
          <w:rFonts w:ascii="Times New Roman" w:eastAsia="Times New Roman" w:hAnsi="Times New Roman" w:cs="Times New Roman"/>
          <w:sz w:val="24"/>
          <w:szCs w:val="24"/>
          <w:lang w:eastAsia="ru-RU"/>
        </w:rPr>
        <w:t>процента.</w:t>
      </w:r>
    </w:p>
    <w:p w:rsidR="008C4C62" w:rsidRPr="009D49A5" w:rsidRDefault="001573C4" w:rsidP="008C4C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9D49A5">
        <w:rPr>
          <w:rFonts w:ascii="Times New Roman" w:eastAsia="Times New Roman" w:hAnsi="Times New Roman" w:cs="Times New Roman"/>
          <w:sz w:val="24"/>
          <w:szCs w:val="24"/>
          <w:u w:val="single"/>
          <w:lang w:eastAsia="ru-RU"/>
        </w:rPr>
        <w:t xml:space="preserve">1.2.3. Строительство </w:t>
      </w:r>
      <w:r w:rsidR="00C73DBC" w:rsidRPr="009D49A5">
        <w:rPr>
          <w:rFonts w:ascii="Times New Roman" w:eastAsia="Times New Roman" w:hAnsi="Times New Roman" w:cs="Times New Roman"/>
          <w:sz w:val="24"/>
          <w:szCs w:val="24"/>
          <w:u w:val="single"/>
          <w:lang w:eastAsia="ru-RU"/>
        </w:rPr>
        <w:t xml:space="preserve">и инвестиции </w:t>
      </w:r>
      <w:r w:rsidRPr="009D49A5">
        <w:rPr>
          <w:rFonts w:ascii="Times New Roman" w:eastAsia="Times New Roman" w:hAnsi="Times New Roman" w:cs="Times New Roman"/>
          <w:sz w:val="24"/>
          <w:szCs w:val="24"/>
          <w:u w:val="single"/>
          <w:lang w:eastAsia="ru-RU"/>
        </w:rPr>
        <w:t>в Амурской области.</w:t>
      </w:r>
    </w:p>
    <w:p w:rsidR="00BF2421" w:rsidRDefault="001573C4" w:rsidP="00BF2421">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060AE">
        <w:rPr>
          <w:rFonts w:ascii="Times New Roman" w:eastAsia="Times New Roman" w:hAnsi="Times New Roman" w:cs="Times New Roman"/>
          <w:i/>
          <w:sz w:val="24"/>
          <w:szCs w:val="24"/>
          <w:lang w:eastAsia="ru-RU"/>
        </w:rPr>
        <w:t xml:space="preserve">Объем </w:t>
      </w:r>
      <w:r w:rsidRPr="002060AE">
        <w:rPr>
          <w:rFonts w:ascii="Times New Roman" w:eastAsia="Times New Roman" w:hAnsi="Times New Roman" w:cs="Times New Roman"/>
          <w:bCs/>
          <w:i/>
          <w:sz w:val="24"/>
          <w:szCs w:val="24"/>
          <w:lang w:eastAsia="ru-RU"/>
        </w:rPr>
        <w:t>работ, выполненных по виду деятельности</w:t>
      </w:r>
      <w:r w:rsidRPr="002060AE">
        <w:rPr>
          <w:rFonts w:ascii="Times New Roman" w:eastAsia="Times New Roman" w:hAnsi="Times New Roman" w:cs="Times New Roman"/>
          <w:bCs/>
          <w:sz w:val="24"/>
          <w:szCs w:val="24"/>
          <w:lang w:eastAsia="ru-RU"/>
        </w:rPr>
        <w:t xml:space="preserve"> </w:t>
      </w:r>
      <w:r w:rsidRPr="002060AE">
        <w:rPr>
          <w:rFonts w:ascii="Times New Roman" w:eastAsia="Times New Roman" w:hAnsi="Times New Roman" w:cs="Times New Roman"/>
          <w:sz w:val="24"/>
          <w:szCs w:val="24"/>
          <w:lang w:eastAsia="ru-RU"/>
        </w:rPr>
        <w:t>«</w:t>
      </w:r>
      <w:r w:rsidRPr="002060AE">
        <w:rPr>
          <w:rFonts w:ascii="Times New Roman" w:eastAsia="Times New Roman" w:hAnsi="Times New Roman" w:cs="Times New Roman"/>
          <w:bCs/>
          <w:sz w:val="24"/>
          <w:szCs w:val="24"/>
          <w:lang w:eastAsia="ru-RU"/>
        </w:rPr>
        <w:t>строительство</w:t>
      </w:r>
      <w:r w:rsidRPr="002060AE">
        <w:rPr>
          <w:rFonts w:ascii="Times New Roman" w:eastAsia="Times New Roman" w:hAnsi="Times New Roman" w:cs="Times New Roman"/>
          <w:sz w:val="24"/>
          <w:szCs w:val="24"/>
          <w:lang w:eastAsia="ru-RU"/>
        </w:rPr>
        <w:t>»</w:t>
      </w:r>
      <w:r w:rsidRPr="002060AE">
        <w:rPr>
          <w:rFonts w:ascii="Times New Roman" w:eastAsia="Times New Roman" w:hAnsi="Times New Roman" w:cs="Times New Roman"/>
          <w:bCs/>
          <w:sz w:val="24"/>
          <w:szCs w:val="24"/>
          <w:lang w:eastAsia="ru-RU"/>
        </w:rPr>
        <w:t>, в 201</w:t>
      </w:r>
      <w:r w:rsidR="009D49A5" w:rsidRPr="002060AE">
        <w:rPr>
          <w:rFonts w:ascii="Times New Roman" w:eastAsia="Times New Roman" w:hAnsi="Times New Roman" w:cs="Times New Roman"/>
          <w:bCs/>
          <w:sz w:val="24"/>
          <w:szCs w:val="24"/>
          <w:lang w:eastAsia="ru-RU"/>
        </w:rPr>
        <w:t>5</w:t>
      </w:r>
      <w:r w:rsidR="00906E38" w:rsidRPr="002060AE">
        <w:rPr>
          <w:rFonts w:ascii="Times New Roman" w:eastAsia="Times New Roman" w:hAnsi="Times New Roman" w:cs="Times New Roman"/>
          <w:bCs/>
          <w:sz w:val="24"/>
          <w:szCs w:val="24"/>
          <w:lang w:eastAsia="ru-RU"/>
        </w:rPr>
        <w:t xml:space="preserve"> году составил </w:t>
      </w:r>
      <w:r w:rsidR="002060AE" w:rsidRPr="002060AE">
        <w:rPr>
          <w:rFonts w:ascii="Times New Roman" w:eastAsia="Times New Roman" w:hAnsi="Times New Roman" w:cs="Times New Roman"/>
          <w:bCs/>
          <w:sz w:val="24"/>
          <w:szCs w:val="24"/>
          <w:lang w:eastAsia="ru-RU"/>
        </w:rPr>
        <w:t>46397,0</w:t>
      </w:r>
      <w:r w:rsidRPr="002060AE">
        <w:rPr>
          <w:rFonts w:ascii="Times New Roman" w:eastAsia="Times New Roman" w:hAnsi="Times New Roman" w:cs="Times New Roman"/>
          <w:bCs/>
          <w:sz w:val="24"/>
          <w:szCs w:val="24"/>
          <w:lang w:eastAsia="ru-RU"/>
        </w:rPr>
        <w:t xml:space="preserve"> млн. рублей, или </w:t>
      </w:r>
      <w:r w:rsidR="002060AE" w:rsidRPr="002060AE">
        <w:rPr>
          <w:rFonts w:ascii="Times New Roman" w:eastAsia="Times New Roman" w:hAnsi="Times New Roman" w:cs="Times New Roman"/>
          <w:bCs/>
          <w:sz w:val="24"/>
          <w:szCs w:val="24"/>
          <w:lang w:eastAsia="ru-RU"/>
        </w:rPr>
        <w:t>166,4</w:t>
      </w:r>
      <w:r w:rsidRPr="002060AE">
        <w:rPr>
          <w:rFonts w:ascii="Times New Roman" w:eastAsia="Times New Roman" w:hAnsi="Times New Roman" w:cs="Times New Roman"/>
          <w:bCs/>
          <w:sz w:val="24"/>
          <w:szCs w:val="24"/>
          <w:lang w:eastAsia="ru-RU"/>
        </w:rPr>
        <w:t xml:space="preserve"> процента к уровню 201</w:t>
      </w:r>
      <w:r w:rsidR="002060AE" w:rsidRPr="002060AE">
        <w:rPr>
          <w:rFonts w:ascii="Times New Roman" w:eastAsia="Times New Roman" w:hAnsi="Times New Roman" w:cs="Times New Roman"/>
          <w:bCs/>
          <w:sz w:val="24"/>
          <w:szCs w:val="24"/>
          <w:lang w:eastAsia="ru-RU"/>
        </w:rPr>
        <w:t>4</w:t>
      </w:r>
      <w:r w:rsidRPr="002060AE">
        <w:rPr>
          <w:rFonts w:ascii="Times New Roman" w:eastAsia="Times New Roman" w:hAnsi="Times New Roman" w:cs="Times New Roman"/>
          <w:bCs/>
          <w:sz w:val="24"/>
          <w:szCs w:val="24"/>
          <w:lang w:eastAsia="ru-RU"/>
        </w:rPr>
        <w:t xml:space="preserve"> года.</w:t>
      </w:r>
      <w:r w:rsidR="00BF2421">
        <w:rPr>
          <w:rFonts w:ascii="Times New Roman" w:eastAsia="Times New Roman" w:hAnsi="Times New Roman" w:cs="Times New Roman"/>
          <w:bCs/>
          <w:sz w:val="24"/>
          <w:szCs w:val="24"/>
          <w:lang w:eastAsia="ru-RU"/>
        </w:rPr>
        <w:t xml:space="preserve"> Рост произошел</w:t>
      </w:r>
      <w:r w:rsidR="002A188A" w:rsidRPr="002060AE">
        <w:rPr>
          <w:rFonts w:ascii="Times New Roman" w:eastAsia="Times New Roman" w:hAnsi="Times New Roman" w:cs="Times New Roman"/>
          <w:bCs/>
          <w:sz w:val="24"/>
          <w:szCs w:val="24"/>
          <w:lang w:eastAsia="ru-RU"/>
        </w:rPr>
        <w:t xml:space="preserve"> </w:t>
      </w:r>
      <w:r w:rsidR="00BF2421" w:rsidRPr="00BF2421">
        <w:rPr>
          <w:rFonts w:ascii="Times New Roman" w:eastAsia="Times New Roman" w:hAnsi="Times New Roman" w:cs="Times New Roman"/>
          <w:bCs/>
          <w:sz w:val="24"/>
          <w:szCs w:val="24"/>
          <w:lang w:eastAsia="ru-RU"/>
        </w:rPr>
        <w:t>за счет строительства крупных объектов</w:t>
      </w:r>
      <w:r w:rsidR="00BF2421">
        <w:rPr>
          <w:rFonts w:ascii="Times New Roman" w:eastAsia="Times New Roman" w:hAnsi="Times New Roman" w:cs="Times New Roman"/>
          <w:bCs/>
          <w:sz w:val="24"/>
          <w:szCs w:val="24"/>
          <w:lang w:eastAsia="ru-RU"/>
        </w:rPr>
        <w:t xml:space="preserve"> </w:t>
      </w:r>
      <w:r w:rsidR="00BF2421" w:rsidRPr="00BF2421">
        <w:rPr>
          <w:rFonts w:ascii="Times New Roman" w:eastAsia="Times New Roman" w:hAnsi="Times New Roman" w:cs="Times New Roman"/>
          <w:bCs/>
          <w:sz w:val="24"/>
          <w:szCs w:val="24"/>
          <w:lang w:eastAsia="ru-RU"/>
        </w:rPr>
        <w:t xml:space="preserve">(космодрома «Восточный» и </w:t>
      </w:r>
      <w:r w:rsidR="003E5087" w:rsidRPr="00BF2421">
        <w:rPr>
          <w:rFonts w:ascii="Times New Roman" w:eastAsia="Times New Roman" w:hAnsi="Times New Roman" w:cs="Times New Roman"/>
          <w:bCs/>
          <w:sz w:val="24"/>
          <w:szCs w:val="24"/>
          <w:lang w:eastAsia="ru-RU"/>
        </w:rPr>
        <w:t>Нижне</w:t>
      </w:r>
      <w:r w:rsidR="003E5087">
        <w:rPr>
          <w:rFonts w:ascii="Times New Roman" w:eastAsia="Times New Roman" w:hAnsi="Times New Roman" w:cs="Times New Roman"/>
          <w:bCs/>
          <w:sz w:val="24"/>
          <w:szCs w:val="24"/>
          <w:lang w:eastAsia="ru-RU"/>
        </w:rPr>
        <w:t>-</w:t>
      </w:r>
      <w:r w:rsidR="003E5087" w:rsidRPr="00BF2421">
        <w:rPr>
          <w:rFonts w:ascii="Times New Roman" w:eastAsia="Times New Roman" w:hAnsi="Times New Roman" w:cs="Times New Roman"/>
          <w:bCs/>
          <w:sz w:val="24"/>
          <w:szCs w:val="24"/>
          <w:lang w:eastAsia="ru-RU"/>
        </w:rPr>
        <w:t>Бурейской</w:t>
      </w:r>
      <w:r w:rsidR="00BF2421" w:rsidRPr="00BF2421">
        <w:rPr>
          <w:rFonts w:ascii="Times New Roman" w:eastAsia="Times New Roman" w:hAnsi="Times New Roman" w:cs="Times New Roman"/>
          <w:bCs/>
          <w:sz w:val="24"/>
          <w:szCs w:val="24"/>
          <w:lang w:eastAsia="ru-RU"/>
        </w:rPr>
        <w:t xml:space="preserve"> ГЭС)</w:t>
      </w:r>
      <w:r w:rsidR="00BF2421">
        <w:rPr>
          <w:rFonts w:ascii="Times New Roman" w:eastAsia="Times New Roman" w:hAnsi="Times New Roman" w:cs="Times New Roman"/>
          <w:bCs/>
          <w:sz w:val="24"/>
          <w:szCs w:val="24"/>
          <w:lang w:eastAsia="ru-RU"/>
        </w:rPr>
        <w:t>.</w:t>
      </w:r>
    </w:p>
    <w:p w:rsidR="002060AE" w:rsidRDefault="002060AE" w:rsidP="00BF2421">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060AE">
        <w:rPr>
          <w:rFonts w:ascii="Times New Roman" w:eastAsia="Times New Roman" w:hAnsi="Times New Roman" w:cs="Times New Roman"/>
          <w:bCs/>
          <w:sz w:val="24"/>
          <w:szCs w:val="24"/>
          <w:lang w:eastAsia="ru-RU"/>
        </w:rPr>
        <w:t>Основная часть (39,8</w:t>
      </w:r>
      <w:r>
        <w:rPr>
          <w:rFonts w:ascii="Times New Roman" w:eastAsia="Times New Roman" w:hAnsi="Times New Roman" w:cs="Times New Roman"/>
          <w:bCs/>
          <w:sz w:val="24"/>
          <w:szCs w:val="24"/>
          <w:lang w:eastAsia="ru-RU"/>
        </w:rPr>
        <w:t xml:space="preserve"> процента</w:t>
      </w:r>
      <w:r w:rsidRPr="002060AE">
        <w:rPr>
          <w:rFonts w:ascii="Times New Roman" w:eastAsia="Times New Roman" w:hAnsi="Times New Roman" w:cs="Times New Roman"/>
          <w:bCs/>
          <w:sz w:val="24"/>
          <w:szCs w:val="24"/>
          <w:lang w:eastAsia="ru-RU"/>
        </w:rPr>
        <w:t>) объема работ по виду деятельности «строительство» в</w:t>
      </w:r>
      <w:r>
        <w:rPr>
          <w:rFonts w:ascii="Times New Roman" w:eastAsia="Times New Roman" w:hAnsi="Times New Roman" w:cs="Times New Roman"/>
          <w:bCs/>
          <w:sz w:val="24"/>
          <w:szCs w:val="24"/>
          <w:lang w:eastAsia="ru-RU"/>
        </w:rPr>
        <w:t xml:space="preserve"> </w:t>
      </w:r>
      <w:r w:rsidRPr="002060AE">
        <w:rPr>
          <w:rFonts w:ascii="Times New Roman" w:eastAsia="Times New Roman" w:hAnsi="Times New Roman" w:cs="Times New Roman"/>
          <w:bCs/>
          <w:sz w:val="24"/>
          <w:szCs w:val="24"/>
          <w:lang w:eastAsia="ru-RU"/>
        </w:rPr>
        <w:t>2015 году (по крупным и средним организациям) выполнена организациями государствен</w:t>
      </w:r>
      <w:r>
        <w:rPr>
          <w:rFonts w:ascii="Times New Roman" w:eastAsia="Times New Roman" w:hAnsi="Times New Roman" w:cs="Times New Roman"/>
          <w:bCs/>
          <w:sz w:val="24"/>
          <w:szCs w:val="24"/>
          <w:lang w:eastAsia="ru-RU"/>
        </w:rPr>
        <w:t>ной формы собственности (в 2014 году</w:t>
      </w:r>
      <w:r w:rsidRPr="002060AE">
        <w:rPr>
          <w:rFonts w:ascii="Times New Roman" w:eastAsia="Times New Roman" w:hAnsi="Times New Roman" w:cs="Times New Roman"/>
          <w:bCs/>
          <w:sz w:val="24"/>
          <w:szCs w:val="24"/>
          <w:lang w:eastAsia="ru-RU"/>
        </w:rPr>
        <w:t xml:space="preserve"> – 6,3</w:t>
      </w:r>
      <w:r>
        <w:rPr>
          <w:rFonts w:ascii="Times New Roman" w:eastAsia="Times New Roman" w:hAnsi="Times New Roman" w:cs="Times New Roman"/>
          <w:bCs/>
          <w:sz w:val="24"/>
          <w:szCs w:val="24"/>
          <w:lang w:eastAsia="ru-RU"/>
        </w:rPr>
        <w:t xml:space="preserve"> процента</w:t>
      </w:r>
      <w:r w:rsidRPr="002060A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Pr="002060AE">
        <w:t xml:space="preserve"> </w:t>
      </w:r>
      <w:r w:rsidRPr="002060AE">
        <w:rPr>
          <w:rFonts w:ascii="Times New Roman" w:eastAsia="Times New Roman" w:hAnsi="Times New Roman" w:cs="Times New Roman"/>
          <w:bCs/>
          <w:sz w:val="24"/>
          <w:szCs w:val="24"/>
          <w:lang w:eastAsia="ru-RU"/>
        </w:rPr>
        <w:t>на долю частных организаций приходи</w:t>
      </w:r>
      <w:r>
        <w:rPr>
          <w:rFonts w:ascii="Times New Roman" w:eastAsia="Times New Roman" w:hAnsi="Times New Roman" w:cs="Times New Roman"/>
          <w:bCs/>
          <w:sz w:val="24"/>
          <w:szCs w:val="24"/>
          <w:lang w:eastAsia="ru-RU"/>
        </w:rPr>
        <w:t>лось 36,6 процента</w:t>
      </w:r>
      <w:r w:rsidRPr="002060AE">
        <w:rPr>
          <w:rFonts w:ascii="Times New Roman" w:eastAsia="Times New Roman" w:hAnsi="Times New Roman" w:cs="Times New Roman"/>
          <w:bCs/>
          <w:sz w:val="24"/>
          <w:szCs w:val="24"/>
          <w:lang w:eastAsia="ru-RU"/>
        </w:rPr>
        <w:t xml:space="preserve"> объема р</w:t>
      </w:r>
      <w:r>
        <w:rPr>
          <w:rFonts w:ascii="Times New Roman" w:eastAsia="Times New Roman" w:hAnsi="Times New Roman" w:cs="Times New Roman"/>
          <w:bCs/>
          <w:sz w:val="24"/>
          <w:szCs w:val="24"/>
          <w:lang w:eastAsia="ru-RU"/>
        </w:rPr>
        <w:t>абот (в 2014 году</w:t>
      </w:r>
      <w:r w:rsidRPr="002060AE">
        <w:rPr>
          <w:rFonts w:ascii="Times New Roman" w:eastAsia="Times New Roman" w:hAnsi="Times New Roman" w:cs="Times New Roman"/>
          <w:bCs/>
          <w:sz w:val="24"/>
          <w:szCs w:val="24"/>
          <w:lang w:eastAsia="ru-RU"/>
        </w:rPr>
        <w:t xml:space="preserve"> – 73,0</w:t>
      </w:r>
      <w:r>
        <w:rPr>
          <w:rFonts w:ascii="Times New Roman" w:eastAsia="Times New Roman" w:hAnsi="Times New Roman" w:cs="Times New Roman"/>
          <w:bCs/>
          <w:sz w:val="24"/>
          <w:szCs w:val="24"/>
          <w:lang w:eastAsia="ru-RU"/>
        </w:rPr>
        <w:t xml:space="preserve"> процента</w:t>
      </w:r>
      <w:r w:rsidRPr="002060AE">
        <w:rPr>
          <w:rFonts w:ascii="Times New Roman" w:eastAsia="Times New Roman" w:hAnsi="Times New Roman" w:cs="Times New Roman"/>
          <w:bCs/>
          <w:sz w:val="24"/>
          <w:szCs w:val="24"/>
          <w:lang w:eastAsia="ru-RU"/>
        </w:rPr>
        <w:t>), организаций смешанной российской формы</w:t>
      </w:r>
      <w:r>
        <w:rPr>
          <w:rFonts w:ascii="Times New Roman" w:eastAsia="Times New Roman" w:hAnsi="Times New Roman" w:cs="Times New Roman"/>
          <w:bCs/>
          <w:sz w:val="24"/>
          <w:szCs w:val="24"/>
          <w:lang w:eastAsia="ru-RU"/>
        </w:rPr>
        <w:t xml:space="preserve"> собственности – 7,4 процента (в 2014 году – 4,5 процента</w:t>
      </w:r>
      <w:r w:rsidRPr="002060A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1573C4" w:rsidRPr="002060AE" w:rsidRDefault="002060AE" w:rsidP="002060AE">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060AE">
        <w:rPr>
          <w:rFonts w:ascii="Times New Roman" w:eastAsia="Times New Roman" w:hAnsi="Times New Roman" w:cs="Times New Roman"/>
          <w:bCs/>
          <w:sz w:val="24"/>
          <w:szCs w:val="24"/>
          <w:lang w:eastAsia="ru-RU"/>
        </w:rPr>
        <w:t>В 2015</w:t>
      </w:r>
      <w:r w:rsidR="001D0C6D" w:rsidRPr="002060AE">
        <w:rPr>
          <w:rFonts w:ascii="Times New Roman" w:eastAsia="Times New Roman" w:hAnsi="Times New Roman" w:cs="Times New Roman"/>
          <w:bCs/>
          <w:sz w:val="24"/>
          <w:szCs w:val="24"/>
          <w:lang w:eastAsia="ru-RU"/>
        </w:rPr>
        <w:t xml:space="preserve"> году из субъектов Дальневосточного федерального округа положительную динамику данного показателя</w:t>
      </w:r>
      <w:r w:rsidRPr="002060AE">
        <w:rPr>
          <w:rFonts w:ascii="Times New Roman" w:eastAsia="Times New Roman" w:hAnsi="Times New Roman" w:cs="Times New Roman"/>
          <w:bCs/>
          <w:sz w:val="24"/>
          <w:szCs w:val="24"/>
          <w:lang w:eastAsia="ru-RU"/>
        </w:rPr>
        <w:t>, кроме Амурской области</w:t>
      </w:r>
      <w:r w:rsidR="005728B5">
        <w:rPr>
          <w:rFonts w:ascii="Times New Roman" w:eastAsia="Times New Roman" w:hAnsi="Times New Roman" w:cs="Times New Roman"/>
          <w:bCs/>
          <w:sz w:val="24"/>
          <w:szCs w:val="24"/>
          <w:lang w:eastAsia="ru-RU"/>
        </w:rPr>
        <w:t>,</w:t>
      </w:r>
      <w:r w:rsidR="008D430E">
        <w:rPr>
          <w:rFonts w:ascii="Times New Roman" w:eastAsia="Times New Roman" w:hAnsi="Times New Roman" w:cs="Times New Roman"/>
          <w:bCs/>
          <w:sz w:val="24"/>
          <w:szCs w:val="24"/>
          <w:lang w:eastAsia="ru-RU"/>
        </w:rPr>
        <w:t xml:space="preserve"> имели</w:t>
      </w:r>
      <w:r w:rsidR="001D0C6D" w:rsidRPr="002060AE">
        <w:rPr>
          <w:rFonts w:ascii="Times New Roman" w:eastAsia="Times New Roman" w:hAnsi="Times New Roman" w:cs="Times New Roman"/>
          <w:bCs/>
          <w:sz w:val="24"/>
          <w:szCs w:val="24"/>
          <w:lang w:eastAsia="ru-RU"/>
        </w:rPr>
        <w:t xml:space="preserve"> </w:t>
      </w:r>
      <w:r w:rsidR="005728B5">
        <w:rPr>
          <w:rFonts w:ascii="Times New Roman" w:eastAsia="Times New Roman" w:hAnsi="Times New Roman" w:cs="Times New Roman"/>
          <w:bCs/>
          <w:sz w:val="24"/>
          <w:szCs w:val="24"/>
          <w:lang w:eastAsia="ru-RU"/>
        </w:rPr>
        <w:t>Республика Саха (Якутия)</w:t>
      </w:r>
      <w:r w:rsidR="008D430E">
        <w:rPr>
          <w:rFonts w:ascii="Times New Roman" w:eastAsia="Times New Roman" w:hAnsi="Times New Roman" w:cs="Times New Roman"/>
          <w:bCs/>
          <w:sz w:val="24"/>
          <w:szCs w:val="24"/>
          <w:lang w:eastAsia="ru-RU"/>
        </w:rPr>
        <w:t xml:space="preserve"> и Чукотский автономный округ</w:t>
      </w:r>
      <w:r w:rsidR="005728B5">
        <w:rPr>
          <w:rFonts w:ascii="Times New Roman" w:eastAsia="Times New Roman" w:hAnsi="Times New Roman" w:cs="Times New Roman"/>
          <w:bCs/>
          <w:sz w:val="24"/>
          <w:szCs w:val="24"/>
          <w:lang w:eastAsia="ru-RU"/>
        </w:rPr>
        <w:t>.</w:t>
      </w:r>
    </w:p>
    <w:p w:rsidR="005B48D7" w:rsidRPr="002060AE" w:rsidRDefault="007B27E1" w:rsidP="001573C4">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Фактическое значение показателя превышает</w:t>
      </w:r>
      <w:r w:rsidR="00396735" w:rsidRPr="002060AE">
        <w:rPr>
          <w:rFonts w:ascii="Times New Roman" w:eastAsia="Times New Roman" w:hAnsi="Times New Roman" w:cs="Times New Roman"/>
          <w:bCs/>
          <w:sz w:val="24"/>
          <w:szCs w:val="24"/>
          <w:lang w:eastAsia="ru-RU"/>
        </w:rPr>
        <w:t xml:space="preserve"> предусмотренное </w:t>
      </w:r>
      <w:r w:rsidR="00966B78" w:rsidRPr="002060AE">
        <w:rPr>
          <w:rFonts w:ascii="Times New Roman" w:eastAsia="Times New Roman" w:hAnsi="Times New Roman" w:cs="Times New Roman"/>
          <w:bCs/>
          <w:sz w:val="24"/>
          <w:szCs w:val="24"/>
          <w:lang w:eastAsia="ru-RU"/>
        </w:rPr>
        <w:t>п</w:t>
      </w:r>
      <w:r w:rsidR="005B48D7" w:rsidRPr="002060AE">
        <w:rPr>
          <w:rFonts w:ascii="Times New Roman" w:eastAsia="Times New Roman" w:hAnsi="Times New Roman" w:cs="Times New Roman"/>
          <w:bCs/>
          <w:sz w:val="24"/>
          <w:szCs w:val="24"/>
          <w:lang w:eastAsia="ru-RU"/>
        </w:rPr>
        <w:t xml:space="preserve">рограммой социально-экономического развития Амурской области на 2013-2017 годы, утвержденной </w:t>
      </w:r>
      <w:r w:rsidR="005B48D7" w:rsidRPr="007B27E1">
        <w:rPr>
          <w:rFonts w:ascii="Times New Roman" w:eastAsia="Times New Roman" w:hAnsi="Times New Roman" w:cs="Times New Roman"/>
          <w:bCs/>
          <w:sz w:val="24"/>
          <w:szCs w:val="24"/>
          <w:lang w:eastAsia="ru-RU"/>
        </w:rPr>
        <w:t>Законом Амурской области от 13.11.2013 № 277-ОЗ,</w:t>
      </w:r>
      <w:r w:rsidR="005728B5" w:rsidRPr="007B27E1">
        <w:rPr>
          <w:rFonts w:ascii="Times New Roman" w:eastAsia="Times New Roman" w:hAnsi="Times New Roman" w:cs="Times New Roman"/>
          <w:bCs/>
          <w:sz w:val="24"/>
          <w:szCs w:val="24"/>
          <w:lang w:eastAsia="ru-RU"/>
        </w:rPr>
        <w:t xml:space="preserve"> на 2015</w:t>
      </w:r>
      <w:r w:rsidR="00396735" w:rsidRPr="007B27E1">
        <w:rPr>
          <w:rFonts w:ascii="Times New Roman" w:eastAsia="Times New Roman" w:hAnsi="Times New Roman" w:cs="Times New Roman"/>
          <w:bCs/>
          <w:sz w:val="24"/>
          <w:szCs w:val="24"/>
          <w:lang w:eastAsia="ru-RU"/>
        </w:rPr>
        <w:t xml:space="preserve"> год </w:t>
      </w:r>
      <w:r w:rsidR="005B48D7" w:rsidRPr="007B27E1">
        <w:rPr>
          <w:rFonts w:ascii="Times New Roman" w:eastAsia="Times New Roman" w:hAnsi="Times New Roman" w:cs="Times New Roman"/>
          <w:bCs/>
          <w:sz w:val="24"/>
          <w:szCs w:val="24"/>
          <w:lang w:eastAsia="ru-RU"/>
        </w:rPr>
        <w:t>по данному виду деятельности</w:t>
      </w:r>
      <w:r w:rsidR="00396735" w:rsidRPr="007B27E1">
        <w:rPr>
          <w:rFonts w:ascii="Times New Roman" w:eastAsia="Times New Roman" w:hAnsi="Times New Roman" w:cs="Times New Roman"/>
          <w:bCs/>
          <w:sz w:val="24"/>
          <w:szCs w:val="24"/>
          <w:lang w:eastAsia="ru-RU"/>
        </w:rPr>
        <w:t xml:space="preserve"> </w:t>
      </w:r>
      <w:r w:rsidRPr="007B27E1">
        <w:rPr>
          <w:rFonts w:ascii="Times New Roman" w:eastAsia="Times New Roman" w:hAnsi="Times New Roman" w:cs="Times New Roman"/>
          <w:bCs/>
          <w:sz w:val="24"/>
          <w:szCs w:val="24"/>
          <w:lang w:eastAsia="ru-RU"/>
        </w:rPr>
        <w:t>на 11,6 млрд. рублей</w:t>
      </w:r>
      <w:r w:rsidR="005728B5" w:rsidRPr="007B27E1">
        <w:rPr>
          <w:rFonts w:ascii="Times New Roman" w:eastAsia="Times New Roman" w:hAnsi="Times New Roman" w:cs="Times New Roman"/>
          <w:bCs/>
          <w:sz w:val="24"/>
          <w:szCs w:val="24"/>
          <w:lang w:eastAsia="ru-RU"/>
        </w:rPr>
        <w:t>.</w:t>
      </w:r>
    </w:p>
    <w:p w:rsidR="00160369" w:rsidRPr="002060AE" w:rsidRDefault="00C13BEE" w:rsidP="00C13B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BEE">
        <w:rPr>
          <w:rFonts w:ascii="Times New Roman" w:eastAsia="Times New Roman" w:hAnsi="Times New Roman" w:cs="Times New Roman"/>
          <w:sz w:val="24"/>
          <w:szCs w:val="24"/>
          <w:lang w:eastAsia="ru-RU"/>
        </w:rPr>
        <w:t>Сводный индекс цен на продукцию (затраты, услуги) инвестиционного</w:t>
      </w:r>
      <w:r>
        <w:rPr>
          <w:rFonts w:ascii="Times New Roman" w:eastAsia="Times New Roman" w:hAnsi="Times New Roman" w:cs="Times New Roman"/>
          <w:sz w:val="24"/>
          <w:szCs w:val="24"/>
          <w:lang w:eastAsia="ru-RU"/>
        </w:rPr>
        <w:t xml:space="preserve"> </w:t>
      </w:r>
      <w:r w:rsidRPr="00C13BEE">
        <w:rPr>
          <w:rFonts w:ascii="Times New Roman" w:eastAsia="Times New Roman" w:hAnsi="Times New Roman" w:cs="Times New Roman"/>
          <w:sz w:val="24"/>
          <w:szCs w:val="24"/>
          <w:lang w:eastAsia="ru-RU"/>
        </w:rPr>
        <w:t>назначения отражает общее изменение цен в строительстве объектов различных ви</w:t>
      </w:r>
      <w:r>
        <w:rPr>
          <w:rFonts w:ascii="Times New Roman" w:eastAsia="Times New Roman" w:hAnsi="Times New Roman" w:cs="Times New Roman"/>
          <w:sz w:val="24"/>
          <w:szCs w:val="24"/>
          <w:lang w:eastAsia="ru-RU"/>
        </w:rPr>
        <w:t>д</w:t>
      </w:r>
      <w:r w:rsidRPr="00C13BEE">
        <w:rPr>
          <w:rFonts w:ascii="Times New Roman" w:eastAsia="Times New Roman" w:hAnsi="Times New Roman" w:cs="Times New Roman"/>
          <w:sz w:val="24"/>
          <w:szCs w:val="24"/>
          <w:lang w:eastAsia="ru-RU"/>
        </w:rPr>
        <w:t>ов экономической деятельности и рассчитывается как агрегированный показатель из</w:t>
      </w:r>
      <w:r>
        <w:rPr>
          <w:rFonts w:ascii="Times New Roman" w:eastAsia="Times New Roman" w:hAnsi="Times New Roman" w:cs="Times New Roman"/>
          <w:sz w:val="24"/>
          <w:szCs w:val="24"/>
          <w:lang w:eastAsia="ru-RU"/>
        </w:rPr>
        <w:t xml:space="preserve"> </w:t>
      </w:r>
      <w:r w:rsidRPr="00C13BEE">
        <w:rPr>
          <w:rFonts w:ascii="Times New Roman" w:eastAsia="Times New Roman" w:hAnsi="Times New Roman" w:cs="Times New Roman"/>
          <w:sz w:val="24"/>
          <w:szCs w:val="24"/>
          <w:lang w:eastAsia="ru-RU"/>
        </w:rPr>
        <w:t>индексов цен производителей в строительстве, на машины и оборудование, используемые в строительстве, и прочие капитальные работы и затраты, взвешенных по доле</w:t>
      </w:r>
      <w:r>
        <w:rPr>
          <w:rFonts w:ascii="Times New Roman" w:eastAsia="Times New Roman" w:hAnsi="Times New Roman" w:cs="Times New Roman"/>
          <w:sz w:val="24"/>
          <w:szCs w:val="24"/>
          <w:lang w:eastAsia="ru-RU"/>
        </w:rPr>
        <w:t xml:space="preserve"> </w:t>
      </w:r>
      <w:r w:rsidRPr="00C13BEE">
        <w:rPr>
          <w:rFonts w:ascii="Times New Roman" w:eastAsia="Times New Roman" w:hAnsi="Times New Roman" w:cs="Times New Roman"/>
          <w:sz w:val="24"/>
          <w:szCs w:val="24"/>
          <w:lang w:eastAsia="ru-RU"/>
        </w:rPr>
        <w:t xml:space="preserve">этих элементов в общем объеме инвестиций в основной капитал. </w:t>
      </w:r>
      <w:r w:rsidR="00160369" w:rsidRPr="002060AE">
        <w:rPr>
          <w:rFonts w:ascii="Times New Roman" w:eastAsia="Times New Roman" w:hAnsi="Times New Roman" w:cs="Times New Roman"/>
          <w:sz w:val="24"/>
          <w:szCs w:val="24"/>
          <w:lang w:eastAsia="ru-RU"/>
        </w:rPr>
        <w:t xml:space="preserve">Динамика индексов цен </w:t>
      </w:r>
      <w:r w:rsidRPr="00C13BEE">
        <w:rPr>
          <w:rFonts w:ascii="Times New Roman" w:eastAsia="Times New Roman" w:hAnsi="Times New Roman" w:cs="Times New Roman"/>
          <w:sz w:val="24"/>
          <w:szCs w:val="24"/>
          <w:lang w:eastAsia="ru-RU"/>
        </w:rPr>
        <w:t xml:space="preserve">на продукцию (затраты, услуги) инвестиционного назначения </w:t>
      </w:r>
      <w:r w:rsidR="00160369" w:rsidRPr="002060AE">
        <w:rPr>
          <w:rFonts w:ascii="Times New Roman" w:eastAsia="Times New Roman" w:hAnsi="Times New Roman" w:cs="Times New Roman"/>
          <w:sz w:val="24"/>
          <w:szCs w:val="24"/>
          <w:lang w:eastAsia="ru-RU"/>
        </w:rPr>
        <w:t>и на ры</w:t>
      </w:r>
      <w:r w:rsidR="00352763" w:rsidRPr="002060AE">
        <w:rPr>
          <w:rFonts w:ascii="Times New Roman" w:eastAsia="Times New Roman" w:hAnsi="Times New Roman" w:cs="Times New Roman"/>
          <w:sz w:val="24"/>
          <w:szCs w:val="24"/>
          <w:lang w:eastAsia="ru-RU"/>
        </w:rPr>
        <w:t xml:space="preserve">нке жилья приведена на рисунке </w:t>
      </w:r>
      <w:r w:rsidR="00A21CFE" w:rsidRPr="002060AE">
        <w:rPr>
          <w:rFonts w:ascii="Times New Roman" w:eastAsia="Times New Roman" w:hAnsi="Times New Roman" w:cs="Times New Roman"/>
          <w:sz w:val="24"/>
          <w:szCs w:val="24"/>
          <w:lang w:eastAsia="ru-RU"/>
        </w:rPr>
        <w:t>10</w:t>
      </w:r>
      <w:r w:rsidR="00160369" w:rsidRPr="002060AE">
        <w:rPr>
          <w:rFonts w:ascii="Times New Roman" w:eastAsia="Times New Roman" w:hAnsi="Times New Roman" w:cs="Times New Roman"/>
          <w:sz w:val="24"/>
          <w:szCs w:val="24"/>
          <w:lang w:eastAsia="ru-RU"/>
        </w:rPr>
        <w:t>.</w:t>
      </w:r>
    </w:p>
    <w:p w:rsidR="00243336" w:rsidRDefault="00B374DC" w:rsidP="00B374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74DC">
        <w:rPr>
          <w:rFonts w:ascii="Times New Roman" w:eastAsia="Times New Roman" w:hAnsi="Times New Roman" w:cs="Times New Roman"/>
          <w:sz w:val="24"/>
          <w:szCs w:val="24"/>
          <w:lang w:eastAsia="ru-RU"/>
        </w:rPr>
        <w:t>Сводный индекс цен на продукцию (затраты, услуги) инвестиционного назначения в декабре 2015 года составил 103,3 процента к декабрю 2014 года (в декабре 2014 года рост составлял 106,2 процента к декабрю 2013 года). Следует отметить, что по приросту цен на строительную продукцию (затраты, услуги) в 2015 году Амурская область заняла последнее место среди субъектов Дальневосточного федерального округа после Приморского края (107,6 процента в декабре 2015 к декабрю 2014 года), и Камчатского края (108,0 процентов). Максимальный рост индекса цен на продукцию (затраты, услуги) инвестиционного назначения в 2015 году среди субъектов Дальневосточного федерального округа наблюдается в Республике Саха (Якути</w:t>
      </w:r>
      <w:r w:rsidR="005728B5">
        <w:rPr>
          <w:rFonts w:ascii="Times New Roman" w:eastAsia="Times New Roman" w:hAnsi="Times New Roman" w:cs="Times New Roman"/>
          <w:sz w:val="24"/>
          <w:szCs w:val="24"/>
          <w:lang w:eastAsia="ru-RU"/>
        </w:rPr>
        <w:t>я</w:t>
      </w:r>
      <w:r w:rsidRPr="00B374DC">
        <w:rPr>
          <w:rFonts w:ascii="Times New Roman" w:eastAsia="Times New Roman" w:hAnsi="Times New Roman" w:cs="Times New Roman"/>
          <w:sz w:val="24"/>
          <w:szCs w:val="24"/>
          <w:lang w:eastAsia="ru-RU"/>
        </w:rPr>
        <w:t xml:space="preserve">) – 111,7 процента. В целом по России значение данного индекса в декабре 2015 года составило 110,3 процента относительно декабря </w:t>
      </w:r>
      <w:r w:rsidR="006B57D3">
        <w:rPr>
          <w:rFonts w:ascii="Times New Roman" w:eastAsia="Times New Roman" w:hAnsi="Times New Roman" w:cs="Times New Roman"/>
          <w:sz w:val="24"/>
          <w:szCs w:val="24"/>
          <w:lang w:eastAsia="ru-RU"/>
        </w:rPr>
        <w:br/>
      </w:r>
      <w:r w:rsidRPr="00B374DC">
        <w:rPr>
          <w:rFonts w:ascii="Times New Roman" w:eastAsia="Times New Roman" w:hAnsi="Times New Roman" w:cs="Times New Roman"/>
          <w:sz w:val="24"/>
          <w:szCs w:val="24"/>
          <w:lang w:eastAsia="ru-RU"/>
        </w:rPr>
        <w:t>2014 года.</w:t>
      </w:r>
    </w:p>
    <w:p w:rsidR="00B374DC" w:rsidRPr="00BF2421" w:rsidRDefault="00B374DC" w:rsidP="00B374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2B0B">
        <w:rPr>
          <w:rFonts w:ascii="Times New Roman" w:eastAsia="Times New Roman" w:hAnsi="Times New Roman" w:cs="Times New Roman"/>
          <w:i/>
          <w:sz w:val="24"/>
          <w:szCs w:val="24"/>
          <w:lang w:eastAsia="ru-RU"/>
        </w:rPr>
        <w:t>Цены на рынке жилья</w:t>
      </w:r>
      <w:r w:rsidRPr="00F22B0B">
        <w:rPr>
          <w:rFonts w:ascii="Times New Roman" w:eastAsia="Times New Roman" w:hAnsi="Times New Roman" w:cs="Times New Roman"/>
          <w:sz w:val="24"/>
          <w:szCs w:val="24"/>
          <w:lang w:eastAsia="ru-RU"/>
        </w:rPr>
        <w:t xml:space="preserve"> в декабре 2015 года возросли по отношению к декабрю </w:t>
      </w:r>
      <w:r w:rsidRPr="00F22B0B">
        <w:rPr>
          <w:rFonts w:ascii="Times New Roman" w:eastAsia="Times New Roman" w:hAnsi="Times New Roman" w:cs="Times New Roman"/>
          <w:sz w:val="24"/>
          <w:szCs w:val="24"/>
          <w:lang w:eastAsia="ru-RU"/>
        </w:rPr>
        <w:br/>
        <w:t xml:space="preserve">2014 года на 2,9 процента на первичном рынке и на 2,4 процента на </w:t>
      </w:r>
      <w:r w:rsidRPr="007B27E1">
        <w:rPr>
          <w:rFonts w:ascii="Times New Roman" w:eastAsia="Times New Roman" w:hAnsi="Times New Roman" w:cs="Times New Roman"/>
          <w:sz w:val="24"/>
          <w:szCs w:val="24"/>
          <w:lang w:eastAsia="ru-RU"/>
        </w:rPr>
        <w:t xml:space="preserve">вторичном рынке </w:t>
      </w:r>
      <w:r w:rsidR="006B57D3" w:rsidRPr="007B27E1">
        <w:rPr>
          <w:rFonts w:ascii="Times New Roman" w:eastAsia="Times New Roman" w:hAnsi="Times New Roman" w:cs="Times New Roman"/>
          <w:sz w:val="24"/>
          <w:szCs w:val="24"/>
          <w:lang w:eastAsia="ru-RU"/>
        </w:rPr>
        <w:br/>
      </w:r>
      <w:r w:rsidRPr="007B27E1">
        <w:rPr>
          <w:rFonts w:ascii="Times New Roman" w:eastAsia="Times New Roman" w:hAnsi="Times New Roman" w:cs="Times New Roman"/>
          <w:sz w:val="24"/>
          <w:szCs w:val="24"/>
          <w:lang w:eastAsia="ru-RU"/>
        </w:rPr>
        <w:t xml:space="preserve">(в 2014 году относительно 2013 года на 2,0 процента и </w:t>
      </w:r>
      <w:r w:rsidR="007B27E1" w:rsidRPr="007B27E1">
        <w:rPr>
          <w:rFonts w:ascii="Times New Roman" w:eastAsia="Times New Roman" w:hAnsi="Times New Roman" w:cs="Times New Roman"/>
          <w:sz w:val="24"/>
          <w:szCs w:val="24"/>
          <w:lang w:eastAsia="ru-RU"/>
        </w:rPr>
        <w:t>10,1</w:t>
      </w:r>
      <w:r w:rsidRPr="007B27E1">
        <w:rPr>
          <w:rFonts w:ascii="Times New Roman" w:eastAsia="Times New Roman" w:hAnsi="Times New Roman" w:cs="Times New Roman"/>
          <w:sz w:val="24"/>
          <w:szCs w:val="24"/>
          <w:lang w:eastAsia="ru-RU"/>
        </w:rPr>
        <w:t xml:space="preserve"> процента с</w:t>
      </w:r>
      <w:r w:rsidRPr="00F22B0B">
        <w:rPr>
          <w:rFonts w:ascii="Times New Roman" w:eastAsia="Times New Roman" w:hAnsi="Times New Roman" w:cs="Times New Roman"/>
          <w:sz w:val="24"/>
          <w:szCs w:val="24"/>
          <w:lang w:eastAsia="ru-RU"/>
        </w:rPr>
        <w:t>оответственно</w:t>
      </w:r>
      <w:r w:rsidRPr="00BF2421">
        <w:rPr>
          <w:rFonts w:ascii="Times New Roman" w:eastAsia="Times New Roman" w:hAnsi="Times New Roman" w:cs="Times New Roman"/>
          <w:sz w:val="24"/>
          <w:szCs w:val="24"/>
          <w:lang w:eastAsia="ru-RU"/>
        </w:rPr>
        <w:t xml:space="preserve">). </w:t>
      </w:r>
      <w:r w:rsidR="006B57D3">
        <w:rPr>
          <w:rFonts w:ascii="Times New Roman" w:eastAsia="Times New Roman" w:hAnsi="Times New Roman" w:cs="Times New Roman"/>
          <w:sz w:val="24"/>
          <w:szCs w:val="24"/>
          <w:lang w:eastAsia="ru-RU"/>
        </w:rPr>
        <w:br/>
      </w:r>
      <w:r w:rsidRPr="00BF2421">
        <w:rPr>
          <w:rFonts w:ascii="Times New Roman" w:eastAsia="Times New Roman" w:hAnsi="Times New Roman" w:cs="Times New Roman"/>
          <w:sz w:val="24"/>
          <w:szCs w:val="24"/>
          <w:lang w:eastAsia="ru-RU"/>
        </w:rPr>
        <w:t xml:space="preserve">По </w:t>
      </w:r>
      <w:r w:rsidRPr="00BF2421">
        <w:rPr>
          <w:rFonts w:ascii="Times New Roman" w:eastAsia="Times New Roman" w:hAnsi="Times New Roman" w:cs="Times New Roman"/>
          <w:i/>
          <w:sz w:val="24"/>
          <w:szCs w:val="24"/>
          <w:lang w:eastAsia="ru-RU"/>
        </w:rPr>
        <w:t>темпу роста цен на рынке жилья</w:t>
      </w:r>
      <w:r w:rsidRPr="00BF2421">
        <w:rPr>
          <w:rFonts w:ascii="Times New Roman" w:eastAsia="Times New Roman" w:hAnsi="Times New Roman" w:cs="Times New Roman"/>
          <w:sz w:val="24"/>
          <w:szCs w:val="24"/>
          <w:lang w:eastAsia="ru-RU"/>
        </w:rPr>
        <w:t xml:space="preserve"> Амурская область в 2015 году занимала </w:t>
      </w:r>
      <w:r w:rsidR="005728B5">
        <w:rPr>
          <w:rFonts w:ascii="Times New Roman" w:eastAsia="Times New Roman" w:hAnsi="Times New Roman" w:cs="Times New Roman"/>
          <w:sz w:val="24"/>
          <w:szCs w:val="24"/>
          <w:lang w:eastAsia="ru-RU"/>
        </w:rPr>
        <w:t>второе</w:t>
      </w:r>
      <w:r w:rsidRPr="00BF2421">
        <w:rPr>
          <w:rFonts w:ascii="Times New Roman" w:eastAsia="Times New Roman" w:hAnsi="Times New Roman" w:cs="Times New Roman"/>
          <w:sz w:val="24"/>
          <w:szCs w:val="24"/>
          <w:lang w:eastAsia="ru-RU"/>
        </w:rPr>
        <w:t xml:space="preserve"> место (по росту цен на вторичном рынке жилья) и </w:t>
      </w:r>
      <w:r w:rsidR="005728B5">
        <w:rPr>
          <w:rFonts w:ascii="Times New Roman" w:eastAsia="Times New Roman" w:hAnsi="Times New Roman" w:cs="Times New Roman"/>
          <w:sz w:val="24"/>
          <w:szCs w:val="24"/>
          <w:lang w:eastAsia="ru-RU"/>
        </w:rPr>
        <w:t>пятое</w:t>
      </w:r>
      <w:r w:rsidRPr="00BF2421">
        <w:rPr>
          <w:rFonts w:ascii="Times New Roman" w:eastAsia="Times New Roman" w:hAnsi="Times New Roman" w:cs="Times New Roman"/>
          <w:sz w:val="24"/>
          <w:szCs w:val="24"/>
          <w:lang w:eastAsia="ru-RU"/>
        </w:rPr>
        <w:t xml:space="preserve"> место (по росту цен на первичном рынке жилья) среди субъектов Дальневосточного федерального округа.</w:t>
      </w:r>
    </w:p>
    <w:p w:rsidR="00B374DC" w:rsidRPr="002060AE" w:rsidRDefault="00B374DC" w:rsidP="00B374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0369" w:rsidRPr="001B3FC8" w:rsidRDefault="00160369" w:rsidP="009227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574F">
        <w:rPr>
          <w:rFonts w:ascii="Times New Roman" w:eastAsia="Times New Roman" w:hAnsi="Times New Roman" w:cs="Times New Roman"/>
          <w:noProof/>
          <w:color w:val="FF0000"/>
          <w:sz w:val="24"/>
          <w:szCs w:val="24"/>
          <w:lang w:eastAsia="ru-RU"/>
        </w:rPr>
        <w:lastRenderedPageBreak/>
        <w:drawing>
          <wp:inline distT="0" distB="0" distL="0" distR="0" wp14:anchorId="217AE3C8" wp14:editId="02812AB4">
            <wp:extent cx="6324600" cy="35909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763BD" w:rsidRPr="002060AE" w:rsidRDefault="00922708" w:rsidP="00922708">
      <w:pPr>
        <w:widowControl w:val="0"/>
        <w:tabs>
          <w:tab w:val="left" w:pos="851"/>
          <w:tab w:val="left" w:pos="3544"/>
          <w:tab w:val="left" w:pos="4536"/>
          <w:tab w:val="left" w:pos="609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60AE">
        <w:rPr>
          <w:rFonts w:ascii="Times New Roman" w:eastAsia="Times New Roman" w:hAnsi="Times New Roman" w:cs="Times New Roman"/>
          <w:b/>
          <w:sz w:val="24"/>
          <w:szCs w:val="24"/>
          <w:lang w:eastAsia="ru-RU"/>
        </w:rPr>
        <w:t xml:space="preserve">Рис. </w:t>
      </w:r>
      <w:r w:rsidR="00A21CFE" w:rsidRPr="002060AE">
        <w:rPr>
          <w:rFonts w:ascii="Times New Roman" w:eastAsia="Times New Roman" w:hAnsi="Times New Roman" w:cs="Times New Roman"/>
          <w:b/>
          <w:sz w:val="24"/>
          <w:szCs w:val="24"/>
          <w:lang w:eastAsia="ru-RU"/>
        </w:rPr>
        <w:t>10</w:t>
      </w:r>
      <w:r w:rsidRPr="002060AE">
        <w:rPr>
          <w:rFonts w:ascii="Times New Roman" w:eastAsia="Times New Roman" w:hAnsi="Times New Roman" w:cs="Times New Roman"/>
          <w:b/>
          <w:sz w:val="24"/>
          <w:szCs w:val="24"/>
          <w:lang w:eastAsia="ru-RU"/>
        </w:rPr>
        <w:t xml:space="preserve"> - Динамика индексов цен в строительстве и на рынке жилья </w:t>
      </w:r>
    </w:p>
    <w:p w:rsidR="00922708" w:rsidRPr="002060AE" w:rsidRDefault="00922708" w:rsidP="00922708">
      <w:pPr>
        <w:widowControl w:val="0"/>
        <w:tabs>
          <w:tab w:val="left" w:pos="851"/>
          <w:tab w:val="left" w:pos="3544"/>
          <w:tab w:val="left" w:pos="4536"/>
          <w:tab w:val="left" w:pos="609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60AE">
        <w:rPr>
          <w:rFonts w:ascii="Times New Roman" w:eastAsia="Times New Roman" w:hAnsi="Times New Roman" w:cs="Times New Roman"/>
          <w:b/>
          <w:sz w:val="24"/>
          <w:szCs w:val="24"/>
          <w:lang w:eastAsia="ru-RU"/>
        </w:rPr>
        <w:t>в Амурской области за 20</w:t>
      </w:r>
      <w:r w:rsidR="00A26E5A" w:rsidRPr="002060AE">
        <w:rPr>
          <w:rFonts w:ascii="Times New Roman" w:eastAsia="Times New Roman" w:hAnsi="Times New Roman" w:cs="Times New Roman"/>
          <w:b/>
          <w:sz w:val="24"/>
          <w:szCs w:val="24"/>
          <w:lang w:eastAsia="ru-RU"/>
        </w:rPr>
        <w:t>1</w:t>
      </w:r>
      <w:r w:rsidR="002060AE" w:rsidRPr="002060AE">
        <w:rPr>
          <w:rFonts w:ascii="Times New Roman" w:eastAsia="Times New Roman" w:hAnsi="Times New Roman" w:cs="Times New Roman"/>
          <w:b/>
          <w:sz w:val="24"/>
          <w:szCs w:val="24"/>
          <w:lang w:eastAsia="ru-RU"/>
        </w:rPr>
        <w:t>1-2015</w:t>
      </w:r>
      <w:r w:rsidRPr="002060AE">
        <w:rPr>
          <w:rFonts w:ascii="Times New Roman" w:eastAsia="Times New Roman" w:hAnsi="Times New Roman" w:cs="Times New Roman"/>
          <w:b/>
          <w:sz w:val="24"/>
          <w:szCs w:val="24"/>
          <w:lang w:eastAsia="ru-RU"/>
        </w:rPr>
        <w:t xml:space="preserve"> годы</w:t>
      </w:r>
      <w:r w:rsidR="002A52C7" w:rsidRPr="002060AE">
        <w:rPr>
          <w:rFonts w:ascii="Times New Roman" w:eastAsia="Times New Roman" w:hAnsi="Times New Roman" w:cs="Times New Roman"/>
          <w:b/>
          <w:sz w:val="24"/>
          <w:szCs w:val="24"/>
          <w:lang w:eastAsia="ru-RU"/>
        </w:rPr>
        <w:t>, процентов</w:t>
      </w:r>
    </w:p>
    <w:p w:rsidR="00D65AD4" w:rsidRPr="00A0773A" w:rsidRDefault="0033325A" w:rsidP="00D65AD4">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2421">
        <w:rPr>
          <w:rFonts w:ascii="Times New Roman" w:eastAsia="Times New Roman" w:hAnsi="Times New Roman" w:cs="Times New Roman"/>
          <w:sz w:val="24"/>
          <w:szCs w:val="24"/>
          <w:lang w:eastAsia="ru-RU"/>
        </w:rPr>
        <w:t>В 201</w:t>
      </w:r>
      <w:r w:rsidR="00BF2421" w:rsidRPr="00BF2421">
        <w:rPr>
          <w:rFonts w:ascii="Times New Roman" w:eastAsia="Times New Roman" w:hAnsi="Times New Roman" w:cs="Times New Roman"/>
          <w:sz w:val="24"/>
          <w:szCs w:val="24"/>
          <w:lang w:eastAsia="ru-RU"/>
        </w:rPr>
        <w:t>5</w:t>
      </w:r>
      <w:r w:rsidR="00906E38" w:rsidRPr="00BF2421">
        <w:rPr>
          <w:rFonts w:ascii="Times New Roman" w:eastAsia="Times New Roman" w:hAnsi="Times New Roman" w:cs="Times New Roman"/>
          <w:sz w:val="24"/>
          <w:szCs w:val="24"/>
          <w:lang w:eastAsia="ru-RU"/>
        </w:rPr>
        <w:t xml:space="preserve"> году на территории области организациями всех форм собственности построено </w:t>
      </w:r>
      <w:r w:rsidR="00BF2421" w:rsidRPr="00BF2421">
        <w:rPr>
          <w:rFonts w:ascii="Times New Roman" w:eastAsia="Times New Roman" w:hAnsi="Times New Roman" w:cs="Times New Roman"/>
          <w:sz w:val="24"/>
          <w:szCs w:val="24"/>
          <w:lang w:eastAsia="ru-RU"/>
        </w:rPr>
        <w:t>4588</w:t>
      </w:r>
      <w:r w:rsidR="00906E38" w:rsidRPr="00BF2421">
        <w:rPr>
          <w:rFonts w:ascii="Times New Roman" w:eastAsia="Times New Roman" w:hAnsi="Times New Roman" w:cs="Times New Roman"/>
          <w:sz w:val="24"/>
          <w:szCs w:val="24"/>
          <w:lang w:eastAsia="ru-RU"/>
        </w:rPr>
        <w:t xml:space="preserve"> квартир </w:t>
      </w:r>
      <w:r w:rsidR="00906E38" w:rsidRPr="007B27E1">
        <w:rPr>
          <w:rFonts w:ascii="Times New Roman" w:eastAsia="Times New Roman" w:hAnsi="Times New Roman" w:cs="Times New Roman"/>
          <w:sz w:val="24"/>
          <w:szCs w:val="24"/>
          <w:lang w:eastAsia="ru-RU"/>
        </w:rPr>
        <w:t xml:space="preserve">общей площадью </w:t>
      </w:r>
      <w:r w:rsidR="007B27E1" w:rsidRPr="007B27E1">
        <w:rPr>
          <w:rFonts w:ascii="Times New Roman" w:eastAsia="Times New Roman" w:hAnsi="Times New Roman" w:cs="Times New Roman"/>
          <w:sz w:val="24"/>
          <w:szCs w:val="24"/>
          <w:lang w:eastAsia="ru-RU"/>
        </w:rPr>
        <w:t>261,3</w:t>
      </w:r>
      <w:r w:rsidR="00906E38" w:rsidRPr="007B27E1">
        <w:rPr>
          <w:rFonts w:ascii="Times New Roman" w:eastAsia="Times New Roman" w:hAnsi="Times New Roman" w:cs="Times New Roman"/>
          <w:sz w:val="24"/>
          <w:szCs w:val="24"/>
          <w:lang w:eastAsia="ru-RU"/>
        </w:rPr>
        <w:t xml:space="preserve"> тыс. кв. метров</w:t>
      </w:r>
      <w:r w:rsidR="00906E38" w:rsidRPr="00BF2421">
        <w:rPr>
          <w:rFonts w:ascii="Times New Roman" w:eastAsia="Times New Roman" w:hAnsi="Times New Roman" w:cs="Times New Roman"/>
          <w:sz w:val="24"/>
          <w:szCs w:val="24"/>
          <w:lang w:eastAsia="ru-RU"/>
        </w:rPr>
        <w:t xml:space="preserve">, что </w:t>
      </w:r>
      <w:r w:rsidR="00906E38" w:rsidRPr="007B27E1">
        <w:rPr>
          <w:rFonts w:ascii="Times New Roman" w:eastAsia="Times New Roman" w:hAnsi="Times New Roman" w:cs="Times New Roman"/>
          <w:sz w:val="24"/>
          <w:szCs w:val="24"/>
          <w:lang w:eastAsia="ru-RU"/>
        </w:rPr>
        <w:t xml:space="preserve">на </w:t>
      </w:r>
      <w:r w:rsidR="007B27E1" w:rsidRPr="007B27E1">
        <w:rPr>
          <w:rFonts w:ascii="Times New Roman" w:eastAsia="Times New Roman" w:hAnsi="Times New Roman" w:cs="Times New Roman"/>
          <w:sz w:val="24"/>
          <w:szCs w:val="24"/>
          <w:lang w:eastAsia="ru-RU"/>
        </w:rPr>
        <w:t>23,9</w:t>
      </w:r>
      <w:r w:rsidR="00906E38" w:rsidRPr="007B27E1">
        <w:rPr>
          <w:rFonts w:ascii="Times New Roman" w:eastAsia="Times New Roman" w:hAnsi="Times New Roman" w:cs="Times New Roman"/>
          <w:sz w:val="24"/>
          <w:szCs w:val="24"/>
          <w:lang w:eastAsia="ru-RU"/>
        </w:rPr>
        <w:t xml:space="preserve"> процента</w:t>
      </w:r>
      <w:r w:rsidR="00906E38" w:rsidRPr="00BF2421">
        <w:rPr>
          <w:rFonts w:ascii="Times New Roman" w:eastAsia="Times New Roman" w:hAnsi="Times New Roman" w:cs="Times New Roman"/>
          <w:sz w:val="24"/>
          <w:szCs w:val="24"/>
          <w:lang w:eastAsia="ru-RU"/>
        </w:rPr>
        <w:t xml:space="preserve"> </w:t>
      </w:r>
      <w:r w:rsidR="00000120" w:rsidRPr="00BF2421">
        <w:rPr>
          <w:rFonts w:ascii="Times New Roman" w:eastAsia="Times New Roman" w:hAnsi="Times New Roman" w:cs="Times New Roman"/>
          <w:sz w:val="24"/>
          <w:szCs w:val="24"/>
          <w:lang w:eastAsia="ru-RU"/>
        </w:rPr>
        <w:t>ниж</w:t>
      </w:r>
      <w:r w:rsidR="00906E38" w:rsidRPr="00BF2421">
        <w:rPr>
          <w:rFonts w:ascii="Times New Roman" w:eastAsia="Times New Roman" w:hAnsi="Times New Roman" w:cs="Times New Roman"/>
          <w:sz w:val="24"/>
          <w:szCs w:val="24"/>
          <w:lang w:eastAsia="ru-RU"/>
        </w:rPr>
        <w:t>е уровня 201</w:t>
      </w:r>
      <w:r w:rsidR="00BF2421" w:rsidRPr="00BF2421">
        <w:rPr>
          <w:rFonts w:ascii="Times New Roman" w:eastAsia="Times New Roman" w:hAnsi="Times New Roman" w:cs="Times New Roman"/>
          <w:sz w:val="24"/>
          <w:szCs w:val="24"/>
          <w:lang w:eastAsia="ru-RU"/>
        </w:rPr>
        <w:t>4</w:t>
      </w:r>
      <w:r w:rsidR="00906E38" w:rsidRPr="00BF2421">
        <w:rPr>
          <w:rFonts w:ascii="Times New Roman" w:eastAsia="Times New Roman" w:hAnsi="Times New Roman" w:cs="Times New Roman"/>
          <w:sz w:val="24"/>
          <w:szCs w:val="24"/>
          <w:lang w:eastAsia="ru-RU"/>
        </w:rPr>
        <w:t xml:space="preserve"> года.</w:t>
      </w:r>
      <w:r w:rsidR="009700BC" w:rsidRPr="00BF2421">
        <w:rPr>
          <w:rFonts w:ascii="Times New Roman" w:eastAsia="Times New Roman" w:hAnsi="Times New Roman" w:cs="Times New Roman"/>
          <w:sz w:val="24"/>
          <w:szCs w:val="24"/>
          <w:lang w:eastAsia="ru-RU"/>
        </w:rPr>
        <w:t xml:space="preserve"> </w:t>
      </w:r>
      <w:r w:rsidR="009700BC" w:rsidRPr="00A0773A">
        <w:rPr>
          <w:rFonts w:ascii="Times New Roman" w:eastAsia="Times New Roman" w:hAnsi="Times New Roman" w:cs="Times New Roman"/>
          <w:sz w:val="24"/>
          <w:szCs w:val="24"/>
          <w:lang w:eastAsia="ru-RU"/>
        </w:rPr>
        <w:t>По показателю</w:t>
      </w:r>
      <w:r w:rsidR="009B500B" w:rsidRPr="00A0773A">
        <w:rPr>
          <w:rFonts w:ascii="Times New Roman" w:eastAsia="Times New Roman" w:hAnsi="Times New Roman" w:cs="Times New Roman"/>
          <w:sz w:val="24"/>
          <w:szCs w:val="24"/>
          <w:lang w:eastAsia="ru-RU"/>
        </w:rPr>
        <w:t xml:space="preserve"> </w:t>
      </w:r>
      <w:r w:rsidR="009B500B" w:rsidRPr="00A0773A">
        <w:rPr>
          <w:rFonts w:ascii="Times New Roman" w:eastAsia="Times New Roman" w:hAnsi="Times New Roman" w:cs="Times New Roman"/>
          <w:i/>
          <w:sz w:val="24"/>
          <w:szCs w:val="24"/>
          <w:lang w:eastAsia="ru-RU"/>
        </w:rPr>
        <w:t>ввода жилья</w:t>
      </w:r>
      <w:r w:rsidR="009B500B" w:rsidRPr="00A0773A">
        <w:rPr>
          <w:rFonts w:ascii="Times New Roman" w:eastAsia="Times New Roman" w:hAnsi="Times New Roman" w:cs="Times New Roman"/>
          <w:sz w:val="24"/>
          <w:szCs w:val="24"/>
          <w:lang w:eastAsia="ru-RU"/>
        </w:rPr>
        <w:t xml:space="preserve"> </w:t>
      </w:r>
      <w:r w:rsidR="009B500B" w:rsidRPr="00A0773A">
        <w:rPr>
          <w:rFonts w:ascii="Times New Roman" w:eastAsia="Times New Roman" w:hAnsi="Times New Roman" w:cs="Times New Roman"/>
          <w:i/>
          <w:sz w:val="24"/>
          <w:szCs w:val="24"/>
          <w:lang w:eastAsia="ru-RU"/>
        </w:rPr>
        <w:t xml:space="preserve">в эксплуатацию </w:t>
      </w:r>
      <w:r w:rsidR="009700BC" w:rsidRPr="00A0773A">
        <w:rPr>
          <w:rFonts w:ascii="Times New Roman" w:eastAsia="Times New Roman" w:hAnsi="Times New Roman" w:cs="Times New Roman"/>
          <w:sz w:val="24"/>
          <w:szCs w:val="24"/>
          <w:lang w:eastAsia="ru-RU"/>
        </w:rPr>
        <w:t>Амурская область в 201</w:t>
      </w:r>
      <w:r w:rsidR="00BF2421" w:rsidRPr="00A0773A">
        <w:rPr>
          <w:rFonts w:ascii="Times New Roman" w:eastAsia="Times New Roman" w:hAnsi="Times New Roman" w:cs="Times New Roman"/>
          <w:sz w:val="24"/>
          <w:szCs w:val="24"/>
          <w:lang w:eastAsia="ru-RU"/>
        </w:rPr>
        <w:t>5</w:t>
      </w:r>
      <w:r w:rsidR="009700BC" w:rsidRPr="00A0773A">
        <w:rPr>
          <w:rFonts w:ascii="Times New Roman" w:eastAsia="Times New Roman" w:hAnsi="Times New Roman" w:cs="Times New Roman"/>
          <w:sz w:val="24"/>
          <w:szCs w:val="24"/>
          <w:lang w:eastAsia="ru-RU"/>
        </w:rPr>
        <w:t xml:space="preserve"> году занимала </w:t>
      </w:r>
      <w:r w:rsidR="001B3FC8">
        <w:rPr>
          <w:rFonts w:ascii="Times New Roman" w:eastAsia="Times New Roman" w:hAnsi="Times New Roman" w:cs="Times New Roman"/>
          <w:sz w:val="24"/>
          <w:szCs w:val="24"/>
          <w:lang w:eastAsia="ru-RU"/>
        </w:rPr>
        <w:t>пятое</w:t>
      </w:r>
      <w:r w:rsidR="009700BC" w:rsidRPr="00A0773A">
        <w:rPr>
          <w:rFonts w:ascii="Times New Roman" w:eastAsia="Times New Roman" w:hAnsi="Times New Roman" w:cs="Times New Roman"/>
          <w:sz w:val="24"/>
          <w:szCs w:val="24"/>
          <w:lang w:eastAsia="ru-RU"/>
        </w:rPr>
        <w:t xml:space="preserve"> место среди регионов Дальневосточного федерального округа после </w:t>
      </w:r>
      <w:r w:rsidR="00375D55">
        <w:rPr>
          <w:rFonts w:ascii="Times New Roman" w:eastAsia="Times New Roman" w:hAnsi="Times New Roman" w:cs="Times New Roman"/>
          <w:sz w:val="24"/>
          <w:szCs w:val="24"/>
          <w:lang w:eastAsia="ru-RU"/>
        </w:rPr>
        <w:t>Сахалинской</w:t>
      </w:r>
      <w:r w:rsidR="00A0773A" w:rsidRPr="00A0773A">
        <w:rPr>
          <w:rFonts w:ascii="Times New Roman" w:eastAsia="Times New Roman" w:hAnsi="Times New Roman" w:cs="Times New Roman"/>
          <w:sz w:val="24"/>
          <w:szCs w:val="24"/>
          <w:lang w:eastAsia="ru-RU"/>
        </w:rPr>
        <w:t xml:space="preserve"> </w:t>
      </w:r>
      <w:r w:rsidR="00601BD5">
        <w:rPr>
          <w:rFonts w:ascii="Times New Roman" w:eastAsia="Times New Roman" w:hAnsi="Times New Roman" w:cs="Times New Roman"/>
          <w:sz w:val="24"/>
          <w:szCs w:val="24"/>
          <w:lang w:eastAsia="ru-RU"/>
        </w:rPr>
        <w:t>области</w:t>
      </w:r>
      <w:r w:rsidR="00A0773A" w:rsidRPr="00A0773A">
        <w:rPr>
          <w:rFonts w:ascii="Times New Roman" w:eastAsia="Times New Roman" w:hAnsi="Times New Roman" w:cs="Times New Roman"/>
          <w:sz w:val="24"/>
          <w:szCs w:val="24"/>
          <w:lang w:eastAsia="ru-RU"/>
        </w:rPr>
        <w:t xml:space="preserve"> </w:t>
      </w:r>
      <w:r w:rsidR="009700BC" w:rsidRPr="00A0773A">
        <w:rPr>
          <w:rFonts w:ascii="Times New Roman" w:eastAsia="Times New Roman" w:hAnsi="Times New Roman" w:cs="Times New Roman"/>
          <w:sz w:val="24"/>
          <w:szCs w:val="24"/>
          <w:lang w:eastAsia="ru-RU"/>
        </w:rPr>
        <w:t>(в 201</w:t>
      </w:r>
      <w:r w:rsidR="00A0773A" w:rsidRPr="00A0773A">
        <w:rPr>
          <w:rFonts w:ascii="Times New Roman" w:eastAsia="Times New Roman" w:hAnsi="Times New Roman" w:cs="Times New Roman"/>
          <w:sz w:val="24"/>
          <w:szCs w:val="24"/>
          <w:lang w:eastAsia="ru-RU"/>
        </w:rPr>
        <w:t>5</w:t>
      </w:r>
      <w:r w:rsidR="009700BC" w:rsidRPr="00A0773A">
        <w:rPr>
          <w:rFonts w:ascii="Times New Roman" w:eastAsia="Times New Roman" w:hAnsi="Times New Roman" w:cs="Times New Roman"/>
          <w:sz w:val="24"/>
          <w:szCs w:val="24"/>
          <w:lang w:eastAsia="ru-RU"/>
        </w:rPr>
        <w:t xml:space="preserve"> году введено </w:t>
      </w:r>
      <w:r w:rsidR="00A0773A" w:rsidRPr="00A0773A">
        <w:rPr>
          <w:rFonts w:ascii="Times New Roman" w:eastAsia="Times New Roman" w:hAnsi="Times New Roman" w:cs="Times New Roman"/>
          <w:sz w:val="24"/>
          <w:szCs w:val="24"/>
          <w:lang w:eastAsia="ru-RU"/>
        </w:rPr>
        <w:t>310</w:t>
      </w:r>
      <w:r w:rsidR="00224943" w:rsidRPr="00A0773A">
        <w:rPr>
          <w:rFonts w:ascii="Times New Roman" w:eastAsia="Times New Roman" w:hAnsi="Times New Roman" w:cs="Times New Roman"/>
          <w:sz w:val="24"/>
          <w:szCs w:val="24"/>
          <w:lang w:eastAsia="ru-RU"/>
        </w:rPr>
        <w:t>,</w:t>
      </w:r>
      <w:r w:rsidR="00A0773A" w:rsidRPr="00A0773A">
        <w:rPr>
          <w:rFonts w:ascii="Times New Roman" w:eastAsia="Times New Roman" w:hAnsi="Times New Roman" w:cs="Times New Roman"/>
          <w:sz w:val="24"/>
          <w:szCs w:val="24"/>
          <w:lang w:eastAsia="ru-RU"/>
        </w:rPr>
        <w:t>2</w:t>
      </w:r>
      <w:r w:rsidR="009700BC" w:rsidRPr="00A0773A">
        <w:rPr>
          <w:rFonts w:ascii="Times New Roman" w:eastAsia="Times New Roman" w:hAnsi="Times New Roman" w:cs="Times New Roman"/>
          <w:sz w:val="24"/>
          <w:szCs w:val="24"/>
          <w:lang w:eastAsia="ru-RU"/>
        </w:rPr>
        <w:t xml:space="preserve"> тыс. кв. метров общей площади жи</w:t>
      </w:r>
      <w:r w:rsidR="00CC7C7B" w:rsidRPr="00A0773A">
        <w:rPr>
          <w:rFonts w:ascii="Times New Roman" w:eastAsia="Times New Roman" w:hAnsi="Times New Roman" w:cs="Times New Roman"/>
          <w:sz w:val="24"/>
          <w:szCs w:val="24"/>
          <w:lang w:eastAsia="ru-RU"/>
        </w:rPr>
        <w:t xml:space="preserve">лья) и </w:t>
      </w:r>
      <w:r w:rsidR="00A0773A" w:rsidRPr="00A0773A">
        <w:rPr>
          <w:rFonts w:ascii="Times New Roman" w:eastAsia="Times New Roman" w:hAnsi="Times New Roman" w:cs="Times New Roman"/>
          <w:sz w:val="24"/>
          <w:szCs w:val="24"/>
          <w:lang w:eastAsia="ru-RU"/>
        </w:rPr>
        <w:t xml:space="preserve">Хабаровского края </w:t>
      </w:r>
      <w:r w:rsidR="00CC7C7B" w:rsidRPr="00A0773A">
        <w:rPr>
          <w:rFonts w:ascii="Times New Roman" w:eastAsia="Times New Roman" w:hAnsi="Times New Roman" w:cs="Times New Roman"/>
          <w:sz w:val="24"/>
          <w:szCs w:val="24"/>
          <w:lang w:eastAsia="ru-RU"/>
        </w:rPr>
        <w:t>(</w:t>
      </w:r>
      <w:r w:rsidR="00A0773A" w:rsidRPr="00A0773A">
        <w:rPr>
          <w:rFonts w:ascii="Times New Roman" w:eastAsia="Times New Roman" w:hAnsi="Times New Roman" w:cs="Times New Roman"/>
          <w:sz w:val="24"/>
          <w:szCs w:val="24"/>
          <w:lang w:eastAsia="ru-RU"/>
        </w:rPr>
        <w:t>в 2015</w:t>
      </w:r>
      <w:r w:rsidR="009B500B" w:rsidRPr="00A0773A">
        <w:rPr>
          <w:rFonts w:ascii="Times New Roman" w:eastAsia="Times New Roman" w:hAnsi="Times New Roman" w:cs="Times New Roman"/>
          <w:sz w:val="24"/>
          <w:szCs w:val="24"/>
          <w:lang w:eastAsia="ru-RU"/>
        </w:rPr>
        <w:t xml:space="preserve"> году введено </w:t>
      </w:r>
      <w:r w:rsidR="00224943" w:rsidRPr="00A0773A">
        <w:rPr>
          <w:rFonts w:ascii="Times New Roman" w:eastAsia="Times New Roman" w:hAnsi="Times New Roman" w:cs="Times New Roman"/>
          <w:sz w:val="24"/>
          <w:szCs w:val="24"/>
          <w:lang w:eastAsia="ru-RU"/>
        </w:rPr>
        <w:t>4</w:t>
      </w:r>
      <w:r w:rsidR="00A0773A" w:rsidRPr="00A0773A">
        <w:rPr>
          <w:rFonts w:ascii="Times New Roman" w:eastAsia="Times New Roman" w:hAnsi="Times New Roman" w:cs="Times New Roman"/>
          <w:sz w:val="24"/>
          <w:szCs w:val="24"/>
          <w:lang w:eastAsia="ru-RU"/>
        </w:rPr>
        <w:t>33</w:t>
      </w:r>
      <w:r w:rsidR="00224943" w:rsidRPr="00A0773A">
        <w:rPr>
          <w:rFonts w:ascii="Times New Roman" w:eastAsia="Times New Roman" w:hAnsi="Times New Roman" w:cs="Times New Roman"/>
          <w:sz w:val="24"/>
          <w:szCs w:val="24"/>
          <w:lang w:eastAsia="ru-RU"/>
        </w:rPr>
        <w:t>,</w:t>
      </w:r>
      <w:r w:rsidR="00A0773A" w:rsidRPr="00A0773A">
        <w:rPr>
          <w:rFonts w:ascii="Times New Roman" w:eastAsia="Times New Roman" w:hAnsi="Times New Roman" w:cs="Times New Roman"/>
          <w:sz w:val="24"/>
          <w:szCs w:val="24"/>
          <w:lang w:eastAsia="ru-RU"/>
        </w:rPr>
        <w:t>4</w:t>
      </w:r>
      <w:r w:rsidR="009B500B" w:rsidRPr="00A0773A">
        <w:rPr>
          <w:rFonts w:ascii="Times New Roman" w:eastAsia="Times New Roman" w:hAnsi="Times New Roman" w:cs="Times New Roman"/>
          <w:sz w:val="24"/>
          <w:szCs w:val="24"/>
          <w:lang w:eastAsia="ru-RU"/>
        </w:rPr>
        <w:t xml:space="preserve"> тыс. кв. метров общей площади жил</w:t>
      </w:r>
      <w:r w:rsidR="00CC7C7B" w:rsidRPr="00A0773A">
        <w:rPr>
          <w:rFonts w:ascii="Times New Roman" w:eastAsia="Times New Roman" w:hAnsi="Times New Roman" w:cs="Times New Roman"/>
          <w:sz w:val="24"/>
          <w:szCs w:val="24"/>
          <w:lang w:eastAsia="ru-RU"/>
        </w:rPr>
        <w:t>ья)</w:t>
      </w:r>
      <w:r w:rsidR="009B500B" w:rsidRPr="00A0773A">
        <w:rPr>
          <w:rFonts w:ascii="Times New Roman" w:eastAsia="Times New Roman" w:hAnsi="Times New Roman" w:cs="Times New Roman"/>
          <w:sz w:val="24"/>
          <w:szCs w:val="24"/>
          <w:lang w:eastAsia="ru-RU"/>
        </w:rPr>
        <w:t>.</w:t>
      </w:r>
      <w:r w:rsidR="00D65AD4" w:rsidRPr="00A0773A">
        <w:rPr>
          <w:rFonts w:ascii="Times New Roman" w:eastAsia="Times New Roman" w:hAnsi="Times New Roman" w:cs="Times New Roman"/>
          <w:sz w:val="24"/>
          <w:szCs w:val="24"/>
          <w:lang w:eastAsia="ru-RU"/>
        </w:rPr>
        <w:t xml:space="preserve"> </w:t>
      </w:r>
      <w:r w:rsidR="00CC7C7B" w:rsidRPr="00A0773A">
        <w:rPr>
          <w:rFonts w:ascii="Times New Roman" w:eastAsia="Times New Roman" w:hAnsi="Times New Roman" w:cs="Times New Roman"/>
          <w:sz w:val="24"/>
          <w:szCs w:val="24"/>
          <w:lang w:eastAsia="ru-RU"/>
        </w:rPr>
        <w:t>На первом месте по данному показателю среди субъектов Дальневосточного федерального округа находил</w:t>
      </w:r>
      <w:r w:rsidR="00601BD5">
        <w:rPr>
          <w:rFonts w:ascii="Times New Roman" w:eastAsia="Times New Roman" w:hAnsi="Times New Roman" w:cs="Times New Roman"/>
          <w:sz w:val="24"/>
          <w:szCs w:val="24"/>
          <w:lang w:eastAsia="ru-RU"/>
        </w:rPr>
        <w:t xml:space="preserve">ась </w:t>
      </w:r>
      <w:r w:rsidR="00A0773A" w:rsidRPr="00A0773A">
        <w:rPr>
          <w:rFonts w:ascii="Times New Roman" w:eastAsia="Times New Roman" w:hAnsi="Times New Roman" w:cs="Times New Roman"/>
          <w:sz w:val="24"/>
          <w:szCs w:val="24"/>
          <w:lang w:eastAsia="ru-RU"/>
        </w:rPr>
        <w:t>Республика Саха (Якутия)</w:t>
      </w:r>
      <w:r w:rsidR="00CC7C7B" w:rsidRPr="00A0773A">
        <w:rPr>
          <w:rFonts w:ascii="Times New Roman" w:eastAsia="Times New Roman" w:hAnsi="Times New Roman" w:cs="Times New Roman"/>
          <w:sz w:val="24"/>
          <w:szCs w:val="24"/>
          <w:lang w:eastAsia="ru-RU"/>
        </w:rPr>
        <w:t>, где в 20</w:t>
      </w:r>
      <w:r w:rsidR="00A0773A" w:rsidRPr="00A0773A">
        <w:rPr>
          <w:rFonts w:ascii="Times New Roman" w:eastAsia="Times New Roman" w:hAnsi="Times New Roman" w:cs="Times New Roman"/>
          <w:sz w:val="24"/>
          <w:szCs w:val="24"/>
          <w:lang w:eastAsia="ru-RU"/>
        </w:rPr>
        <w:t>15</w:t>
      </w:r>
      <w:r w:rsidR="00CC7C7B" w:rsidRPr="00A0773A">
        <w:rPr>
          <w:rFonts w:ascii="Times New Roman" w:eastAsia="Times New Roman" w:hAnsi="Times New Roman" w:cs="Times New Roman"/>
          <w:sz w:val="24"/>
          <w:szCs w:val="24"/>
          <w:lang w:eastAsia="ru-RU"/>
        </w:rPr>
        <w:t xml:space="preserve"> году введено </w:t>
      </w:r>
      <w:r w:rsidR="00A0773A" w:rsidRPr="00A0773A">
        <w:rPr>
          <w:rFonts w:ascii="Times New Roman" w:eastAsia="Times New Roman" w:hAnsi="Times New Roman" w:cs="Times New Roman"/>
          <w:sz w:val="24"/>
          <w:szCs w:val="24"/>
          <w:lang w:eastAsia="ru-RU"/>
        </w:rPr>
        <w:t>530,5</w:t>
      </w:r>
      <w:r w:rsidR="00CC7C7B" w:rsidRPr="00A0773A">
        <w:rPr>
          <w:rFonts w:ascii="Times New Roman" w:eastAsia="Times New Roman" w:hAnsi="Times New Roman" w:cs="Times New Roman"/>
          <w:sz w:val="24"/>
          <w:szCs w:val="24"/>
          <w:lang w:eastAsia="ru-RU"/>
        </w:rPr>
        <w:t xml:space="preserve"> тыс. кв. метров общей площади жилых домов.</w:t>
      </w:r>
    </w:p>
    <w:p w:rsidR="00396735" w:rsidRPr="00A0773A" w:rsidRDefault="00396735" w:rsidP="00D65AD4">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773A">
        <w:rPr>
          <w:rFonts w:ascii="Times New Roman" w:eastAsia="Times New Roman" w:hAnsi="Times New Roman" w:cs="Times New Roman"/>
          <w:sz w:val="24"/>
          <w:szCs w:val="24"/>
          <w:lang w:eastAsia="ru-RU"/>
        </w:rPr>
        <w:t>Ожидаемое значение показателя, предусмотренное Программой социально-экономического развития Амурской области на 2013-2017 годы, утвержденной Законом Амурской области от 13.11.2013 № 277-ОЗ, на 201</w:t>
      </w:r>
      <w:r w:rsidR="00A0773A" w:rsidRPr="00A0773A">
        <w:rPr>
          <w:rFonts w:ascii="Times New Roman" w:eastAsia="Times New Roman" w:hAnsi="Times New Roman" w:cs="Times New Roman"/>
          <w:sz w:val="24"/>
          <w:szCs w:val="24"/>
          <w:lang w:eastAsia="ru-RU"/>
        </w:rPr>
        <w:t>5</w:t>
      </w:r>
      <w:r w:rsidRPr="00A0773A">
        <w:rPr>
          <w:rFonts w:ascii="Times New Roman" w:eastAsia="Times New Roman" w:hAnsi="Times New Roman" w:cs="Times New Roman"/>
          <w:sz w:val="24"/>
          <w:szCs w:val="24"/>
          <w:lang w:eastAsia="ru-RU"/>
        </w:rPr>
        <w:t xml:space="preserve"> год по показателю «ввод в действие жилых домов» выше </w:t>
      </w:r>
      <w:r w:rsidRPr="007B27E1">
        <w:rPr>
          <w:rFonts w:ascii="Times New Roman" w:eastAsia="Times New Roman" w:hAnsi="Times New Roman" w:cs="Times New Roman"/>
          <w:sz w:val="24"/>
          <w:szCs w:val="24"/>
          <w:lang w:eastAsia="ru-RU"/>
        </w:rPr>
        <w:t xml:space="preserve">фактически сложившегося на </w:t>
      </w:r>
      <w:r w:rsidR="007B27E1" w:rsidRPr="007B27E1">
        <w:rPr>
          <w:rFonts w:ascii="Times New Roman" w:eastAsia="Times New Roman" w:hAnsi="Times New Roman" w:cs="Times New Roman"/>
          <w:sz w:val="24"/>
          <w:szCs w:val="24"/>
          <w:lang w:eastAsia="ru-RU"/>
        </w:rPr>
        <w:t>278,7</w:t>
      </w:r>
      <w:r w:rsidRPr="007B27E1">
        <w:rPr>
          <w:rFonts w:ascii="Times New Roman" w:eastAsia="Times New Roman" w:hAnsi="Times New Roman" w:cs="Times New Roman"/>
          <w:sz w:val="24"/>
          <w:szCs w:val="24"/>
          <w:lang w:eastAsia="ru-RU"/>
        </w:rPr>
        <w:t xml:space="preserve"> тыс. кв</w:t>
      </w:r>
      <w:r w:rsidRPr="00A0773A">
        <w:rPr>
          <w:rFonts w:ascii="Times New Roman" w:eastAsia="Times New Roman" w:hAnsi="Times New Roman" w:cs="Times New Roman"/>
          <w:sz w:val="24"/>
          <w:szCs w:val="24"/>
          <w:lang w:eastAsia="ru-RU"/>
        </w:rPr>
        <w:t>. метров (</w:t>
      </w:r>
      <w:r w:rsidR="00A0773A" w:rsidRPr="00A0773A">
        <w:rPr>
          <w:rFonts w:ascii="Times New Roman" w:eastAsia="Times New Roman" w:hAnsi="Times New Roman" w:cs="Times New Roman"/>
          <w:sz w:val="24"/>
          <w:szCs w:val="24"/>
          <w:lang w:eastAsia="ru-RU"/>
        </w:rPr>
        <w:t>предусмотрено 540,0</w:t>
      </w:r>
      <w:r w:rsidRPr="00A0773A">
        <w:rPr>
          <w:rFonts w:ascii="Times New Roman" w:eastAsia="Times New Roman" w:hAnsi="Times New Roman" w:cs="Times New Roman"/>
          <w:sz w:val="24"/>
          <w:szCs w:val="24"/>
          <w:lang w:eastAsia="ru-RU"/>
        </w:rPr>
        <w:t xml:space="preserve"> тыс. кв. метров).</w:t>
      </w:r>
    </w:p>
    <w:p w:rsidR="001573C4" w:rsidRDefault="001573C4" w:rsidP="00D65AD4">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5DEB">
        <w:rPr>
          <w:rFonts w:ascii="Times New Roman" w:eastAsia="Times New Roman" w:hAnsi="Times New Roman" w:cs="Times New Roman"/>
          <w:sz w:val="24"/>
          <w:szCs w:val="24"/>
          <w:lang w:eastAsia="ru-RU"/>
        </w:rPr>
        <w:t>Ввод жилья в Амурской области за январь-декабрь 201</w:t>
      </w:r>
      <w:r w:rsidR="00A85DEB" w:rsidRPr="00A85DEB">
        <w:rPr>
          <w:rFonts w:ascii="Times New Roman" w:eastAsia="Times New Roman" w:hAnsi="Times New Roman" w:cs="Times New Roman"/>
          <w:sz w:val="24"/>
          <w:szCs w:val="24"/>
          <w:lang w:eastAsia="ru-RU"/>
        </w:rPr>
        <w:t>5</w:t>
      </w:r>
      <w:r w:rsidRPr="00A85DEB">
        <w:rPr>
          <w:rFonts w:ascii="Times New Roman" w:eastAsia="Times New Roman" w:hAnsi="Times New Roman" w:cs="Times New Roman"/>
          <w:sz w:val="24"/>
          <w:szCs w:val="24"/>
          <w:lang w:eastAsia="ru-RU"/>
        </w:rPr>
        <w:t xml:space="preserve"> года в разрезе городских округов и муниципальных районов представлен н</w:t>
      </w:r>
      <w:r w:rsidR="00906E38" w:rsidRPr="00A85DEB">
        <w:rPr>
          <w:rFonts w:ascii="Times New Roman" w:eastAsia="Times New Roman" w:hAnsi="Times New Roman" w:cs="Times New Roman"/>
          <w:sz w:val="24"/>
          <w:szCs w:val="24"/>
          <w:lang w:eastAsia="ru-RU"/>
        </w:rPr>
        <w:t xml:space="preserve">а рисунке </w:t>
      </w:r>
      <w:r w:rsidR="00A21CFE" w:rsidRPr="00A85DEB">
        <w:rPr>
          <w:rFonts w:ascii="Times New Roman" w:eastAsia="Times New Roman" w:hAnsi="Times New Roman" w:cs="Times New Roman"/>
          <w:sz w:val="24"/>
          <w:szCs w:val="24"/>
          <w:lang w:eastAsia="ru-RU"/>
        </w:rPr>
        <w:t>11</w:t>
      </w:r>
      <w:r w:rsidRPr="00A85DEB">
        <w:rPr>
          <w:rFonts w:ascii="Times New Roman" w:eastAsia="Times New Roman" w:hAnsi="Times New Roman" w:cs="Times New Roman"/>
          <w:sz w:val="24"/>
          <w:szCs w:val="24"/>
          <w:lang w:eastAsia="ru-RU"/>
        </w:rPr>
        <w:t>.</w:t>
      </w:r>
    </w:p>
    <w:p w:rsidR="00B374DC" w:rsidRPr="00A85DEB" w:rsidRDefault="00B374DC" w:rsidP="00B374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5DEB">
        <w:rPr>
          <w:rFonts w:ascii="Times New Roman" w:eastAsia="Times New Roman" w:hAnsi="Times New Roman" w:cs="Times New Roman"/>
          <w:sz w:val="24"/>
          <w:szCs w:val="24"/>
          <w:lang w:eastAsia="ru-RU"/>
        </w:rPr>
        <w:t>Снижение объема введенного жилья в 2015 году наблюдалось в большинстве городов и муниципальных районов Амурской области, за исключением Мазановского района, где введено жилья в 46 раз больше, чем в 2014 году, Михайловского (рост в 3,0 раза по сравнению с 2014 годом), Ромненского (рост в 1,8 раза) и Октябрьского (рост в 1,4 раза) районов. На уровне 2015 года введено жилья на территории Ив</w:t>
      </w:r>
      <w:r w:rsidR="001B3FC8">
        <w:rPr>
          <w:rFonts w:ascii="Times New Roman" w:eastAsia="Times New Roman" w:hAnsi="Times New Roman" w:cs="Times New Roman"/>
          <w:sz w:val="24"/>
          <w:szCs w:val="24"/>
          <w:lang w:eastAsia="ru-RU"/>
        </w:rPr>
        <w:t>ановского и Бурейского районов.</w:t>
      </w:r>
    </w:p>
    <w:p w:rsidR="00B374DC" w:rsidRPr="00F86946" w:rsidRDefault="00B374DC" w:rsidP="00B374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6946">
        <w:rPr>
          <w:rFonts w:ascii="Times New Roman" w:eastAsia="Times New Roman" w:hAnsi="Times New Roman" w:cs="Times New Roman"/>
          <w:sz w:val="24"/>
          <w:szCs w:val="24"/>
          <w:lang w:eastAsia="ru-RU"/>
        </w:rPr>
        <w:t xml:space="preserve">Среди городских округов и муниципальных районов области наибольший ввод жилья осуществлялся в областном центре, где было введено 130,2 тыс. кв. метров жилья, или </w:t>
      </w:r>
      <w:r w:rsidR="00820F9D">
        <w:rPr>
          <w:rFonts w:ascii="Times New Roman" w:eastAsia="Times New Roman" w:hAnsi="Times New Roman" w:cs="Times New Roman"/>
          <w:sz w:val="24"/>
          <w:szCs w:val="24"/>
          <w:lang w:eastAsia="ru-RU"/>
        </w:rPr>
        <w:br/>
      </w:r>
      <w:r w:rsidRPr="00F86946">
        <w:rPr>
          <w:rFonts w:ascii="Times New Roman" w:eastAsia="Times New Roman" w:hAnsi="Times New Roman" w:cs="Times New Roman"/>
          <w:sz w:val="24"/>
          <w:szCs w:val="24"/>
          <w:lang w:eastAsia="ru-RU"/>
        </w:rPr>
        <w:t xml:space="preserve">56,4 процента общего объема по области, Благовещенском муниципальном районе (22,8 тыс. кв. метров, или 9,9 процента) и городском округе г. Тынде (13,1 тыс. кв. метров, или </w:t>
      </w:r>
      <w:r w:rsidR="00820F9D">
        <w:rPr>
          <w:rFonts w:ascii="Times New Roman" w:eastAsia="Times New Roman" w:hAnsi="Times New Roman" w:cs="Times New Roman"/>
          <w:sz w:val="24"/>
          <w:szCs w:val="24"/>
          <w:lang w:eastAsia="ru-RU"/>
        </w:rPr>
        <w:br/>
      </w:r>
      <w:r w:rsidRPr="00F86946">
        <w:rPr>
          <w:rFonts w:ascii="Times New Roman" w:eastAsia="Times New Roman" w:hAnsi="Times New Roman" w:cs="Times New Roman"/>
          <w:sz w:val="24"/>
          <w:szCs w:val="24"/>
          <w:lang w:eastAsia="ru-RU"/>
        </w:rPr>
        <w:t xml:space="preserve">5,7 процента). Высоких показателей по вводу жилья также достигли городские округа </w:t>
      </w:r>
      <w:r w:rsidRPr="00F86946">
        <w:rPr>
          <w:rFonts w:ascii="Times New Roman" w:eastAsia="Times New Roman" w:hAnsi="Times New Roman" w:cs="Times New Roman"/>
          <w:sz w:val="24"/>
          <w:szCs w:val="24"/>
          <w:lang w:eastAsia="ru-RU"/>
        </w:rPr>
        <w:br/>
        <w:t>г. Белогорск (с объемом ввода жилья 10,8 тыс. кв. метров) и г. Свободный (10,6 тыс. кв. метров).</w:t>
      </w:r>
    </w:p>
    <w:p w:rsidR="00B374DC" w:rsidRPr="00A85DEB" w:rsidRDefault="00B374DC" w:rsidP="00D65AD4">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73C4" w:rsidRPr="00A85DEB" w:rsidRDefault="001573C4" w:rsidP="001573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5DEB">
        <w:rPr>
          <w:rFonts w:ascii="Times New Roman" w:eastAsia="Times New Roman" w:hAnsi="Times New Roman" w:cs="Times New Roman"/>
          <w:noProof/>
          <w:sz w:val="24"/>
          <w:szCs w:val="24"/>
          <w:lang w:eastAsia="ru-RU"/>
        </w:rPr>
        <w:lastRenderedPageBreak/>
        <w:drawing>
          <wp:inline distT="0" distB="0" distL="0" distR="0" wp14:anchorId="051E30C1" wp14:editId="72412072">
            <wp:extent cx="5591175" cy="2705100"/>
            <wp:effectExtent l="0" t="0" r="0" b="0"/>
            <wp:docPr id="23"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73C4" w:rsidRPr="00A85DEB" w:rsidRDefault="009700BC" w:rsidP="001573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5DEB">
        <w:rPr>
          <w:rFonts w:ascii="Times New Roman" w:eastAsia="Times New Roman" w:hAnsi="Times New Roman" w:cs="Times New Roman"/>
          <w:b/>
          <w:sz w:val="24"/>
          <w:szCs w:val="24"/>
          <w:lang w:eastAsia="ru-RU"/>
        </w:rPr>
        <w:t xml:space="preserve">Рис. </w:t>
      </w:r>
      <w:r w:rsidR="00A21CFE" w:rsidRPr="00A85DEB">
        <w:rPr>
          <w:rFonts w:ascii="Times New Roman" w:eastAsia="Times New Roman" w:hAnsi="Times New Roman" w:cs="Times New Roman"/>
          <w:b/>
          <w:sz w:val="24"/>
          <w:szCs w:val="24"/>
          <w:lang w:eastAsia="ru-RU"/>
        </w:rPr>
        <w:t>11</w:t>
      </w:r>
      <w:r w:rsidR="001573C4" w:rsidRPr="00A85DEB">
        <w:rPr>
          <w:rFonts w:ascii="Times New Roman" w:eastAsia="Times New Roman" w:hAnsi="Times New Roman" w:cs="Times New Roman"/>
          <w:b/>
          <w:sz w:val="24"/>
          <w:szCs w:val="24"/>
          <w:lang w:eastAsia="ru-RU"/>
        </w:rPr>
        <w:t xml:space="preserve"> – Ввод жилья в Амурской области в 201</w:t>
      </w:r>
      <w:r w:rsidR="00927B93" w:rsidRPr="00A85DEB">
        <w:rPr>
          <w:rFonts w:ascii="Times New Roman" w:eastAsia="Times New Roman" w:hAnsi="Times New Roman" w:cs="Times New Roman"/>
          <w:b/>
          <w:sz w:val="24"/>
          <w:szCs w:val="24"/>
          <w:lang w:eastAsia="ru-RU"/>
        </w:rPr>
        <w:t>5</w:t>
      </w:r>
      <w:r w:rsidR="001573C4" w:rsidRPr="00A85DEB">
        <w:rPr>
          <w:rFonts w:ascii="Times New Roman" w:eastAsia="Times New Roman" w:hAnsi="Times New Roman" w:cs="Times New Roman"/>
          <w:b/>
          <w:sz w:val="24"/>
          <w:szCs w:val="24"/>
          <w:lang w:eastAsia="ru-RU"/>
        </w:rPr>
        <w:t xml:space="preserve"> году, </w:t>
      </w:r>
      <w:r w:rsidR="001573C4" w:rsidRPr="00A85DEB">
        <w:rPr>
          <w:rFonts w:ascii="Times New Roman" w:eastAsia="Times New Roman" w:hAnsi="Times New Roman" w:cs="Times New Roman"/>
          <w:b/>
          <w:sz w:val="24"/>
          <w:szCs w:val="24"/>
          <w:lang w:eastAsia="ru-RU"/>
        </w:rPr>
        <w:br/>
        <w:t>в разрезе городских округов и муниципальных районов</w:t>
      </w:r>
    </w:p>
    <w:p w:rsidR="00C73DBC" w:rsidRPr="00B05B95" w:rsidRDefault="000F1524" w:rsidP="00C7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1524">
        <w:rPr>
          <w:rFonts w:ascii="Times New Roman" w:eastAsia="Times New Roman" w:hAnsi="Times New Roman" w:cs="Times New Roman"/>
          <w:sz w:val="24"/>
          <w:szCs w:val="24"/>
          <w:lang w:eastAsia="ru-RU"/>
        </w:rPr>
        <w:t>В 2015</w:t>
      </w:r>
      <w:r w:rsidR="00D30293" w:rsidRPr="000F1524">
        <w:rPr>
          <w:rFonts w:ascii="Times New Roman" w:eastAsia="Times New Roman" w:hAnsi="Times New Roman" w:cs="Times New Roman"/>
          <w:sz w:val="24"/>
          <w:szCs w:val="24"/>
          <w:lang w:eastAsia="ru-RU"/>
        </w:rPr>
        <w:t xml:space="preserve"> году </w:t>
      </w:r>
      <w:r w:rsidR="00B9110A" w:rsidRPr="000F1524">
        <w:rPr>
          <w:rFonts w:ascii="Times New Roman" w:eastAsia="Times New Roman" w:hAnsi="Times New Roman" w:cs="Times New Roman"/>
          <w:sz w:val="24"/>
          <w:szCs w:val="24"/>
          <w:lang w:eastAsia="ru-RU"/>
        </w:rPr>
        <w:t xml:space="preserve">традиционно </w:t>
      </w:r>
      <w:r w:rsidR="00D30293" w:rsidRPr="000F1524">
        <w:rPr>
          <w:rFonts w:ascii="Times New Roman" w:eastAsia="Times New Roman" w:hAnsi="Times New Roman" w:cs="Times New Roman"/>
          <w:sz w:val="24"/>
          <w:szCs w:val="24"/>
          <w:lang w:eastAsia="ru-RU"/>
        </w:rPr>
        <w:t>наибольшую долю (99,</w:t>
      </w:r>
      <w:r w:rsidRPr="000F1524">
        <w:rPr>
          <w:rFonts w:ascii="Times New Roman" w:eastAsia="Times New Roman" w:hAnsi="Times New Roman" w:cs="Times New Roman"/>
          <w:sz w:val="24"/>
          <w:szCs w:val="24"/>
          <w:lang w:eastAsia="ru-RU"/>
        </w:rPr>
        <w:t>13</w:t>
      </w:r>
      <w:r w:rsidR="00D30293" w:rsidRPr="000F1524">
        <w:rPr>
          <w:rFonts w:ascii="Times New Roman" w:eastAsia="Times New Roman" w:hAnsi="Times New Roman" w:cs="Times New Roman"/>
          <w:sz w:val="24"/>
          <w:szCs w:val="24"/>
          <w:lang w:eastAsia="ru-RU"/>
        </w:rPr>
        <w:t xml:space="preserve"> процента) в структуре </w:t>
      </w:r>
      <w:r w:rsidR="00D30293" w:rsidRPr="000F1524">
        <w:rPr>
          <w:rFonts w:ascii="Times New Roman" w:eastAsia="Times New Roman" w:hAnsi="Times New Roman" w:cs="Times New Roman"/>
          <w:i/>
          <w:sz w:val="24"/>
          <w:szCs w:val="24"/>
          <w:lang w:eastAsia="ru-RU"/>
        </w:rPr>
        <w:t>инвестиций в нефинансовые активы</w:t>
      </w:r>
      <w:r w:rsidR="00D30293" w:rsidRPr="000F1524">
        <w:rPr>
          <w:rFonts w:ascii="Times New Roman" w:eastAsia="Times New Roman" w:hAnsi="Times New Roman" w:cs="Times New Roman"/>
          <w:sz w:val="24"/>
          <w:szCs w:val="24"/>
          <w:lang w:eastAsia="ru-RU"/>
        </w:rPr>
        <w:t xml:space="preserve"> (без субъектов малого предпринимательства и объема инвестиций, не наблюдаемых прямыми статистическими методами) занимали инвестиции в основной капитал.</w:t>
      </w:r>
      <w:r w:rsidR="00D65AD4" w:rsidRPr="000F1524">
        <w:rPr>
          <w:rFonts w:ascii="Times New Roman" w:eastAsia="Times New Roman" w:hAnsi="Times New Roman" w:cs="Times New Roman"/>
          <w:sz w:val="24"/>
          <w:szCs w:val="24"/>
          <w:lang w:eastAsia="ru-RU"/>
        </w:rPr>
        <w:t xml:space="preserve"> </w:t>
      </w:r>
      <w:r w:rsidR="00D30293" w:rsidRPr="00B05B95">
        <w:rPr>
          <w:rFonts w:ascii="Times New Roman" w:eastAsia="Times New Roman" w:hAnsi="Times New Roman" w:cs="Times New Roman"/>
          <w:i/>
          <w:sz w:val="24"/>
          <w:szCs w:val="24"/>
          <w:lang w:eastAsia="ru-RU"/>
        </w:rPr>
        <w:t>Объем инвестиций в основной капитал</w:t>
      </w:r>
      <w:r w:rsidR="00D30293" w:rsidRPr="00B05B95">
        <w:rPr>
          <w:rFonts w:ascii="Times New Roman" w:eastAsia="Times New Roman" w:hAnsi="Times New Roman" w:cs="Times New Roman"/>
          <w:sz w:val="24"/>
          <w:szCs w:val="24"/>
          <w:lang w:eastAsia="ru-RU"/>
        </w:rPr>
        <w:t xml:space="preserve"> в 201</w:t>
      </w:r>
      <w:r w:rsidR="00B05B95" w:rsidRPr="00B05B95">
        <w:rPr>
          <w:rFonts w:ascii="Times New Roman" w:eastAsia="Times New Roman" w:hAnsi="Times New Roman" w:cs="Times New Roman"/>
          <w:sz w:val="24"/>
          <w:szCs w:val="24"/>
          <w:lang w:eastAsia="ru-RU"/>
        </w:rPr>
        <w:t>5</w:t>
      </w:r>
      <w:r w:rsidR="00D30293" w:rsidRPr="00B05B95">
        <w:rPr>
          <w:rFonts w:ascii="Times New Roman" w:eastAsia="Times New Roman" w:hAnsi="Times New Roman" w:cs="Times New Roman"/>
          <w:sz w:val="24"/>
          <w:szCs w:val="24"/>
          <w:lang w:eastAsia="ru-RU"/>
        </w:rPr>
        <w:t xml:space="preserve"> году </w:t>
      </w:r>
      <w:r w:rsidR="00B9110A" w:rsidRPr="00B05B95">
        <w:rPr>
          <w:rFonts w:ascii="Times New Roman" w:eastAsia="Times New Roman" w:hAnsi="Times New Roman" w:cs="Times New Roman"/>
          <w:sz w:val="24"/>
          <w:szCs w:val="24"/>
          <w:lang w:eastAsia="ru-RU"/>
        </w:rPr>
        <w:t xml:space="preserve">по предварительной оценке </w:t>
      </w:r>
      <w:r w:rsidR="00D30293" w:rsidRPr="00B05B95">
        <w:rPr>
          <w:rFonts w:ascii="Times New Roman" w:eastAsia="Times New Roman" w:hAnsi="Times New Roman" w:cs="Times New Roman"/>
          <w:sz w:val="24"/>
          <w:szCs w:val="24"/>
          <w:lang w:eastAsia="ru-RU"/>
        </w:rPr>
        <w:t xml:space="preserve">составил в фактически действовавших ценах </w:t>
      </w:r>
      <w:r w:rsidR="00B05B95" w:rsidRPr="00B05B95">
        <w:rPr>
          <w:rFonts w:ascii="Times New Roman" w:eastAsia="Times New Roman" w:hAnsi="Times New Roman" w:cs="Times New Roman"/>
          <w:sz w:val="24"/>
          <w:szCs w:val="24"/>
          <w:lang w:eastAsia="ru-RU"/>
        </w:rPr>
        <w:t>103,9</w:t>
      </w:r>
      <w:r w:rsidR="00D30293" w:rsidRPr="00B05B95">
        <w:rPr>
          <w:rFonts w:ascii="Times New Roman" w:eastAsia="Times New Roman" w:hAnsi="Times New Roman" w:cs="Times New Roman"/>
          <w:sz w:val="24"/>
          <w:szCs w:val="24"/>
          <w:lang w:eastAsia="ru-RU"/>
        </w:rPr>
        <w:t xml:space="preserve"> мл</w:t>
      </w:r>
      <w:r w:rsidR="00966B78" w:rsidRPr="00B05B95">
        <w:rPr>
          <w:rFonts w:ascii="Times New Roman" w:eastAsia="Times New Roman" w:hAnsi="Times New Roman" w:cs="Times New Roman"/>
          <w:sz w:val="24"/>
          <w:szCs w:val="24"/>
          <w:lang w:eastAsia="ru-RU"/>
        </w:rPr>
        <w:t>рд</w:t>
      </w:r>
      <w:r w:rsidR="00D30293" w:rsidRPr="00B05B95">
        <w:rPr>
          <w:rFonts w:ascii="Times New Roman" w:eastAsia="Times New Roman" w:hAnsi="Times New Roman" w:cs="Times New Roman"/>
          <w:sz w:val="24"/>
          <w:szCs w:val="24"/>
          <w:lang w:eastAsia="ru-RU"/>
        </w:rPr>
        <w:t xml:space="preserve">. рублей, что в сопоставимых ценах </w:t>
      </w:r>
      <w:r w:rsidR="00B05B95" w:rsidRPr="00B05B95">
        <w:rPr>
          <w:rFonts w:ascii="Times New Roman" w:eastAsia="Times New Roman" w:hAnsi="Times New Roman" w:cs="Times New Roman"/>
          <w:sz w:val="24"/>
          <w:szCs w:val="24"/>
          <w:lang w:eastAsia="ru-RU"/>
        </w:rPr>
        <w:t>к</w:t>
      </w:r>
      <w:r w:rsidR="00D30293" w:rsidRPr="00B05B95">
        <w:rPr>
          <w:rFonts w:ascii="Times New Roman" w:eastAsia="Times New Roman" w:hAnsi="Times New Roman" w:cs="Times New Roman"/>
          <w:sz w:val="24"/>
          <w:szCs w:val="24"/>
          <w:lang w:eastAsia="ru-RU"/>
        </w:rPr>
        <w:t xml:space="preserve"> уровн</w:t>
      </w:r>
      <w:r w:rsidR="00B05B95" w:rsidRPr="00B05B95">
        <w:rPr>
          <w:rFonts w:ascii="Times New Roman" w:eastAsia="Times New Roman" w:hAnsi="Times New Roman" w:cs="Times New Roman"/>
          <w:sz w:val="24"/>
          <w:szCs w:val="24"/>
          <w:lang w:eastAsia="ru-RU"/>
        </w:rPr>
        <w:t>ю</w:t>
      </w:r>
      <w:r w:rsidR="00D30293" w:rsidRPr="00B05B95">
        <w:rPr>
          <w:rFonts w:ascii="Times New Roman" w:eastAsia="Times New Roman" w:hAnsi="Times New Roman" w:cs="Times New Roman"/>
          <w:sz w:val="24"/>
          <w:szCs w:val="24"/>
          <w:lang w:eastAsia="ru-RU"/>
        </w:rPr>
        <w:t xml:space="preserve"> </w:t>
      </w:r>
      <w:r w:rsidR="00B9110A" w:rsidRPr="00B05B95">
        <w:rPr>
          <w:rFonts w:ascii="Times New Roman" w:eastAsia="Times New Roman" w:hAnsi="Times New Roman" w:cs="Times New Roman"/>
          <w:sz w:val="24"/>
          <w:szCs w:val="24"/>
          <w:lang w:eastAsia="ru-RU"/>
        </w:rPr>
        <w:t>201</w:t>
      </w:r>
      <w:r w:rsidR="00B05B95" w:rsidRPr="00B05B95">
        <w:rPr>
          <w:rFonts w:ascii="Times New Roman" w:eastAsia="Times New Roman" w:hAnsi="Times New Roman" w:cs="Times New Roman"/>
          <w:sz w:val="24"/>
          <w:szCs w:val="24"/>
          <w:lang w:eastAsia="ru-RU"/>
        </w:rPr>
        <w:t>4</w:t>
      </w:r>
      <w:r w:rsidR="00D30293" w:rsidRPr="00B05B95">
        <w:rPr>
          <w:rFonts w:ascii="Times New Roman" w:eastAsia="Times New Roman" w:hAnsi="Times New Roman" w:cs="Times New Roman"/>
          <w:sz w:val="24"/>
          <w:szCs w:val="24"/>
          <w:lang w:eastAsia="ru-RU"/>
        </w:rPr>
        <w:t xml:space="preserve"> года </w:t>
      </w:r>
      <w:r w:rsidR="00B05B95" w:rsidRPr="00B05B95">
        <w:rPr>
          <w:rFonts w:ascii="Times New Roman" w:eastAsia="Times New Roman" w:hAnsi="Times New Roman" w:cs="Times New Roman"/>
          <w:sz w:val="24"/>
          <w:szCs w:val="24"/>
          <w:lang w:eastAsia="ru-RU"/>
        </w:rPr>
        <w:t>составляет</w:t>
      </w:r>
      <w:r w:rsidR="00D30293" w:rsidRPr="00B05B95">
        <w:rPr>
          <w:rFonts w:ascii="Times New Roman" w:eastAsia="Times New Roman" w:hAnsi="Times New Roman" w:cs="Times New Roman"/>
          <w:sz w:val="24"/>
          <w:szCs w:val="24"/>
          <w:lang w:eastAsia="ru-RU"/>
        </w:rPr>
        <w:t xml:space="preserve"> </w:t>
      </w:r>
      <w:r w:rsidR="00B05B95" w:rsidRPr="00B05B95">
        <w:rPr>
          <w:rFonts w:ascii="Times New Roman" w:eastAsia="Times New Roman" w:hAnsi="Times New Roman" w:cs="Times New Roman"/>
          <w:sz w:val="24"/>
          <w:szCs w:val="24"/>
          <w:lang w:eastAsia="ru-RU"/>
        </w:rPr>
        <w:t>131,1</w:t>
      </w:r>
      <w:r w:rsidR="00396735" w:rsidRPr="00B05B95">
        <w:rPr>
          <w:rFonts w:ascii="Times New Roman" w:eastAsia="Times New Roman" w:hAnsi="Times New Roman" w:cs="Times New Roman"/>
          <w:sz w:val="24"/>
          <w:szCs w:val="24"/>
          <w:lang w:eastAsia="ru-RU"/>
        </w:rPr>
        <w:t xml:space="preserve"> процента, и</w:t>
      </w:r>
      <w:r w:rsidR="00306089" w:rsidRPr="00B05B95">
        <w:rPr>
          <w:rFonts w:ascii="Times New Roman" w:eastAsia="Times New Roman" w:hAnsi="Times New Roman" w:cs="Times New Roman"/>
          <w:sz w:val="24"/>
          <w:szCs w:val="24"/>
          <w:lang w:eastAsia="ru-RU"/>
        </w:rPr>
        <w:t>,</w:t>
      </w:r>
      <w:r w:rsidR="00396735" w:rsidRPr="00B05B95">
        <w:rPr>
          <w:rFonts w:ascii="Times New Roman" w:eastAsia="Times New Roman" w:hAnsi="Times New Roman" w:cs="Times New Roman"/>
          <w:sz w:val="24"/>
          <w:szCs w:val="24"/>
          <w:lang w:eastAsia="ru-RU"/>
        </w:rPr>
        <w:t xml:space="preserve"> меньше установленного </w:t>
      </w:r>
      <w:r w:rsidR="00966B78" w:rsidRPr="00B05B95">
        <w:rPr>
          <w:rFonts w:ascii="Times New Roman" w:eastAsia="Times New Roman" w:hAnsi="Times New Roman" w:cs="Times New Roman"/>
          <w:sz w:val="24"/>
          <w:szCs w:val="24"/>
          <w:lang w:eastAsia="ru-RU"/>
        </w:rPr>
        <w:t>Программой социально-экономического развития Амурской области на 2013-2017 годы, утвержденной Законом Амурской области от 13.11.2013 № 277-ОЗ, на 201</w:t>
      </w:r>
      <w:r w:rsidR="00B05B95" w:rsidRPr="00B05B95">
        <w:rPr>
          <w:rFonts w:ascii="Times New Roman" w:eastAsia="Times New Roman" w:hAnsi="Times New Roman" w:cs="Times New Roman"/>
          <w:sz w:val="24"/>
          <w:szCs w:val="24"/>
          <w:lang w:eastAsia="ru-RU"/>
        </w:rPr>
        <w:t>5</w:t>
      </w:r>
      <w:r w:rsidR="00966B78" w:rsidRPr="00B05B95">
        <w:rPr>
          <w:rFonts w:ascii="Times New Roman" w:eastAsia="Times New Roman" w:hAnsi="Times New Roman" w:cs="Times New Roman"/>
          <w:sz w:val="24"/>
          <w:szCs w:val="24"/>
          <w:lang w:eastAsia="ru-RU"/>
        </w:rPr>
        <w:t xml:space="preserve"> год значения на </w:t>
      </w:r>
      <w:r w:rsidR="00B05B95" w:rsidRPr="00B05B95">
        <w:rPr>
          <w:rFonts w:ascii="Times New Roman" w:eastAsia="Times New Roman" w:hAnsi="Times New Roman" w:cs="Times New Roman"/>
          <w:sz w:val="24"/>
          <w:szCs w:val="24"/>
          <w:lang w:eastAsia="ru-RU"/>
        </w:rPr>
        <w:t>43,1</w:t>
      </w:r>
      <w:r w:rsidR="00966B78" w:rsidRPr="00B05B95">
        <w:rPr>
          <w:rFonts w:ascii="Times New Roman" w:eastAsia="Times New Roman" w:hAnsi="Times New Roman" w:cs="Times New Roman"/>
          <w:sz w:val="24"/>
          <w:szCs w:val="24"/>
          <w:lang w:eastAsia="ru-RU"/>
        </w:rPr>
        <w:t xml:space="preserve"> млрд. рублей, или </w:t>
      </w:r>
      <w:r w:rsidR="00B05B95" w:rsidRPr="00B05B95">
        <w:rPr>
          <w:rFonts w:ascii="Times New Roman" w:eastAsia="Times New Roman" w:hAnsi="Times New Roman" w:cs="Times New Roman"/>
          <w:sz w:val="24"/>
          <w:szCs w:val="24"/>
          <w:lang w:eastAsia="ru-RU"/>
        </w:rPr>
        <w:t>29,3</w:t>
      </w:r>
      <w:r w:rsidR="00966B78" w:rsidRPr="00B05B95">
        <w:rPr>
          <w:rFonts w:ascii="Times New Roman" w:eastAsia="Times New Roman" w:hAnsi="Times New Roman" w:cs="Times New Roman"/>
          <w:sz w:val="24"/>
          <w:szCs w:val="24"/>
          <w:lang w:eastAsia="ru-RU"/>
        </w:rPr>
        <w:t xml:space="preserve"> процента.</w:t>
      </w:r>
    </w:p>
    <w:p w:rsidR="00D30293" w:rsidRPr="00B05B95" w:rsidRDefault="00D30293" w:rsidP="00C73D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B95">
        <w:rPr>
          <w:rFonts w:ascii="Times New Roman" w:eastAsia="Times New Roman" w:hAnsi="Times New Roman" w:cs="Times New Roman"/>
          <w:sz w:val="24"/>
          <w:szCs w:val="24"/>
          <w:lang w:eastAsia="ru-RU"/>
        </w:rPr>
        <w:t>Основным источником финансирования инвестиций в основной капитал (без субъектов малого предпринимательства и объема инвестиций, не наблюдаемых прямыми статистическими методами) в 2</w:t>
      </w:r>
      <w:r w:rsidR="00B05B95" w:rsidRPr="00B05B95">
        <w:rPr>
          <w:rFonts w:ascii="Times New Roman" w:eastAsia="Times New Roman" w:hAnsi="Times New Roman" w:cs="Times New Roman"/>
          <w:sz w:val="24"/>
          <w:szCs w:val="24"/>
          <w:lang w:eastAsia="ru-RU"/>
        </w:rPr>
        <w:t>015</w:t>
      </w:r>
      <w:r w:rsidRPr="00B05B95">
        <w:rPr>
          <w:rFonts w:ascii="Times New Roman" w:eastAsia="Times New Roman" w:hAnsi="Times New Roman" w:cs="Times New Roman"/>
          <w:sz w:val="24"/>
          <w:szCs w:val="24"/>
          <w:lang w:eastAsia="ru-RU"/>
        </w:rPr>
        <w:t xml:space="preserve"> году являлись, как и в предыдущие годы, привлеченные средства (</w:t>
      </w:r>
      <w:r w:rsidR="00B05B95" w:rsidRPr="00B05B95">
        <w:rPr>
          <w:rFonts w:ascii="Times New Roman" w:eastAsia="Times New Roman" w:hAnsi="Times New Roman" w:cs="Times New Roman"/>
          <w:sz w:val="24"/>
          <w:szCs w:val="24"/>
          <w:lang w:eastAsia="ru-RU"/>
        </w:rPr>
        <w:t>71,8</w:t>
      </w:r>
      <w:r w:rsidRPr="00B05B95">
        <w:rPr>
          <w:rFonts w:ascii="Times New Roman" w:eastAsia="Times New Roman" w:hAnsi="Times New Roman" w:cs="Times New Roman"/>
          <w:sz w:val="24"/>
          <w:szCs w:val="24"/>
          <w:lang w:eastAsia="ru-RU"/>
        </w:rPr>
        <w:t xml:space="preserve"> процент</w:t>
      </w:r>
      <w:r w:rsidR="00B05B95" w:rsidRPr="00B05B95">
        <w:rPr>
          <w:rFonts w:ascii="Times New Roman" w:eastAsia="Times New Roman" w:hAnsi="Times New Roman" w:cs="Times New Roman"/>
          <w:sz w:val="24"/>
          <w:szCs w:val="24"/>
          <w:lang w:eastAsia="ru-RU"/>
        </w:rPr>
        <w:t>а</w:t>
      </w:r>
      <w:r w:rsidRPr="00B05B95">
        <w:rPr>
          <w:rFonts w:ascii="Times New Roman" w:eastAsia="Times New Roman" w:hAnsi="Times New Roman" w:cs="Times New Roman"/>
          <w:sz w:val="24"/>
          <w:szCs w:val="24"/>
          <w:lang w:eastAsia="ru-RU"/>
        </w:rPr>
        <w:t xml:space="preserve"> общего объема) - кредиты банков, заемные, бюджетные средства, средства внебюджетных фондов и прочие.</w:t>
      </w:r>
    </w:p>
    <w:p w:rsidR="00B47A1F" w:rsidRDefault="00D30293" w:rsidP="009219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1910">
        <w:rPr>
          <w:rFonts w:ascii="Times New Roman" w:eastAsia="Times New Roman" w:hAnsi="Times New Roman" w:cs="Times New Roman"/>
          <w:sz w:val="24"/>
          <w:szCs w:val="24"/>
          <w:lang w:eastAsia="ru-RU"/>
        </w:rPr>
        <w:t>В структуре инвестиций в основной капитал по видам основных фондов в 201</w:t>
      </w:r>
      <w:r w:rsidR="00B05B95" w:rsidRPr="00921910">
        <w:rPr>
          <w:rFonts w:ascii="Times New Roman" w:eastAsia="Times New Roman" w:hAnsi="Times New Roman" w:cs="Times New Roman"/>
          <w:sz w:val="24"/>
          <w:szCs w:val="24"/>
          <w:lang w:eastAsia="ru-RU"/>
        </w:rPr>
        <w:t>5</w:t>
      </w:r>
      <w:r w:rsidRPr="00921910">
        <w:rPr>
          <w:rFonts w:ascii="Times New Roman" w:eastAsia="Times New Roman" w:hAnsi="Times New Roman" w:cs="Times New Roman"/>
          <w:sz w:val="24"/>
          <w:szCs w:val="24"/>
          <w:lang w:eastAsia="ru-RU"/>
        </w:rPr>
        <w:t xml:space="preserve"> году основную долю (</w:t>
      </w:r>
      <w:r w:rsidR="00321328" w:rsidRPr="00921910">
        <w:rPr>
          <w:rFonts w:ascii="Times New Roman" w:eastAsia="Times New Roman" w:hAnsi="Times New Roman" w:cs="Times New Roman"/>
          <w:sz w:val="24"/>
          <w:szCs w:val="24"/>
          <w:lang w:eastAsia="ru-RU"/>
        </w:rPr>
        <w:t>6</w:t>
      </w:r>
      <w:r w:rsidR="00B05B95" w:rsidRPr="00921910">
        <w:rPr>
          <w:rFonts w:ascii="Times New Roman" w:eastAsia="Times New Roman" w:hAnsi="Times New Roman" w:cs="Times New Roman"/>
          <w:sz w:val="24"/>
          <w:szCs w:val="24"/>
          <w:lang w:eastAsia="ru-RU"/>
        </w:rPr>
        <w:t>5</w:t>
      </w:r>
      <w:r w:rsidR="00321328" w:rsidRPr="00921910">
        <w:rPr>
          <w:rFonts w:ascii="Times New Roman" w:eastAsia="Times New Roman" w:hAnsi="Times New Roman" w:cs="Times New Roman"/>
          <w:sz w:val="24"/>
          <w:szCs w:val="24"/>
          <w:lang w:eastAsia="ru-RU"/>
        </w:rPr>
        <w:t>,</w:t>
      </w:r>
      <w:r w:rsidR="00B05B95" w:rsidRPr="00921910">
        <w:rPr>
          <w:rFonts w:ascii="Times New Roman" w:eastAsia="Times New Roman" w:hAnsi="Times New Roman" w:cs="Times New Roman"/>
          <w:sz w:val="24"/>
          <w:szCs w:val="24"/>
          <w:lang w:eastAsia="ru-RU"/>
        </w:rPr>
        <w:t>6</w:t>
      </w:r>
      <w:r w:rsidR="00321328" w:rsidRPr="00921910">
        <w:rPr>
          <w:rFonts w:ascii="Times New Roman" w:eastAsia="Times New Roman" w:hAnsi="Times New Roman" w:cs="Times New Roman"/>
          <w:sz w:val="24"/>
          <w:szCs w:val="24"/>
          <w:lang w:eastAsia="ru-RU"/>
        </w:rPr>
        <w:t xml:space="preserve"> </w:t>
      </w:r>
      <w:r w:rsidRPr="00921910">
        <w:rPr>
          <w:rFonts w:ascii="Times New Roman" w:eastAsia="Times New Roman" w:hAnsi="Times New Roman" w:cs="Times New Roman"/>
          <w:sz w:val="24"/>
          <w:szCs w:val="24"/>
          <w:lang w:eastAsia="ru-RU"/>
        </w:rPr>
        <w:t>процент</w:t>
      </w:r>
      <w:r w:rsidR="00B05B95" w:rsidRPr="00921910">
        <w:rPr>
          <w:rFonts w:ascii="Times New Roman" w:eastAsia="Times New Roman" w:hAnsi="Times New Roman" w:cs="Times New Roman"/>
          <w:sz w:val="24"/>
          <w:szCs w:val="24"/>
          <w:lang w:eastAsia="ru-RU"/>
        </w:rPr>
        <w:t>а</w:t>
      </w:r>
      <w:r w:rsidRPr="00921910">
        <w:rPr>
          <w:rFonts w:ascii="Times New Roman" w:eastAsia="Times New Roman" w:hAnsi="Times New Roman" w:cs="Times New Roman"/>
          <w:sz w:val="24"/>
          <w:szCs w:val="24"/>
          <w:lang w:eastAsia="ru-RU"/>
        </w:rPr>
        <w:t>) занимали инвестиции в здания (кроме жилых) и сооружения</w:t>
      </w:r>
      <w:r w:rsidR="00921910">
        <w:rPr>
          <w:rFonts w:ascii="Times New Roman" w:eastAsia="Times New Roman" w:hAnsi="Times New Roman" w:cs="Times New Roman"/>
          <w:sz w:val="24"/>
          <w:szCs w:val="24"/>
          <w:lang w:eastAsia="ru-RU"/>
        </w:rPr>
        <w:t>.</w:t>
      </w:r>
      <w:r w:rsidR="00220C0C" w:rsidRPr="00921910">
        <w:rPr>
          <w:rFonts w:ascii="Times New Roman" w:eastAsia="Times New Roman" w:hAnsi="Times New Roman" w:cs="Times New Roman"/>
          <w:sz w:val="24"/>
          <w:szCs w:val="24"/>
          <w:lang w:eastAsia="ru-RU"/>
        </w:rPr>
        <w:t xml:space="preserve"> </w:t>
      </w:r>
      <w:r w:rsidR="00921910">
        <w:rPr>
          <w:rFonts w:ascii="Times New Roman" w:eastAsia="Times New Roman" w:hAnsi="Times New Roman" w:cs="Times New Roman"/>
          <w:sz w:val="24"/>
          <w:szCs w:val="24"/>
          <w:lang w:eastAsia="ru-RU"/>
        </w:rPr>
        <w:t>Р</w:t>
      </w:r>
      <w:r w:rsidR="00921910" w:rsidRPr="00921910">
        <w:rPr>
          <w:rFonts w:ascii="Times New Roman" w:eastAsia="Times New Roman" w:hAnsi="Times New Roman" w:cs="Times New Roman"/>
          <w:sz w:val="24"/>
          <w:szCs w:val="24"/>
          <w:lang w:eastAsia="ru-RU"/>
        </w:rPr>
        <w:t>ост инвестиций в 2015 году обусловлен строительством космодрома «Восточный», Нижне-Бурейской ГЭС, второй очереди Благовещенской ТЭЦ, Амурского газоперерабатывающего завода, животноводческого комплекса «Мегаферма» на 1200 голов дойного стада в Ивановском муниципальном районе</w:t>
      </w:r>
      <w:r w:rsidR="00321328" w:rsidRPr="00921910">
        <w:rPr>
          <w:rFonts w:ascii="Times New Roman" w:eastAsia="Times New Roman" w:hAnsi="Times New Roman" w:cs="Times New Roman"/>
          <w:sz w:val="24"/>
          <w:szCs w:val="24"/>
          <w:lang w:eastAsia="ru-RU"/>
        </w:rPr>
        <w:t>.</w:t>
      </w:r>
    </w:p>
    <w:p w:rsidR="00B47A1F" w:rsidRDefault="00B47A1F" w:rsidP="00B47A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A1F">
        <w:rPr>
          <w:rFonts w:ascii="Times New Roman" w:eastAsia="Times New Roman" w:hAnsi="Times New Roman" w:cs="Times New Roman"/>
          <w:sz w:val="24"/>
          <w:szCs w:val="24"/>
          <w:lang w:eastAsia="ru-RU"/>
        </w:rPr>
        <w:t>Объемы инвестирования в основной капитал влияют на показатели ввода новых основных</w:t>
      </w:r>
      <w:r>
        <w:rPr>
          <w:rFonts w:ascii="Times New Roman" w:eastAsia="Times New Roman" w:hAnsi="Times New Roman" w:cs="Times New Roman"/>
          <w:sz w:val="24"/>
          <w:szCs w:val="24"/>
          <w:lang w:eastAsia="ru-RU"/>
        </w:rPr>
        <w:t xml:space="preserve"> </w:t>
      </w:r>
      <w:r w:rsidRPr="00B47A1F">
        <w:rPr>
          <w:rFonts w:ascii="Times New Roman" w:eastAsia="Times New Roman" w:hAnsi="Times New Roman" w:cs="Times New Roman"/>
          <w:sz w:val="24"/>
          <w:szCs w:val="24"/>
          <w:lang w:eastAsia="ru-RU"/>
        </w:rPr>
        <w:t xml:space="preserve">фондов. </w:t>
      </w:r>
      <w:r>
        <w:rPr>
          <w:rFonts w:ascii="Times New Roman" w:eastAsia="Times New Roman" w:hAnsi="Times New Roman" w:cs="Times New Roman"/>
          <w:sz w:val="24"/>
          <w:szCs w:val="24"/>
          <w:lang w:eastAsia="ru-RU"/>
        </w:rPr>
        <w:t>Степень износа основных фондов в Амурской области на конец 2014 года составила 42,3 процента.</w:t>
      </w:r>
    </w:p>
    <w:p w:rsidR="00B47A1F" w:rsidRDefault="00B47A1F" w:rsidP="00B47A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47A1F">
        <w:rPr>
          <w:rFonts w:ascii="Times New Roman" w:eastAsia="Times New Roman" w:hAnsi="Times New Roman" w:cs="Times New Roman"/>
          <w:sz w:val="24"/>
          <w:szCs w:val="24"/>
          <w:lang w:eastAsia="ru-RU"/>
        </w:rPr>
        <w:t xml:space="preserve"> коммерческих предприятиях (без субъектов малого предпринимательства) к концу 2014 года по основному виду деятельности сложилась степень износа в целом по области 34,9</w:t>
      </w:r>
      <w:r>
        <w:rPr>
          <w:rFonts w:ascii="Times New Roman" w:eastAsia="Times New Roman" w:hAnsi="Times New Roman" w:cs="Times New Roman"/>
          <w:sz w:val="24"/>
          <w:szCs w:val="24"/>
          <w:lang w:eastAsia="ru-RU"/>
        </w:rPr>
        <w:t xml:space="preserve"> процента</w:t>
      </w:r>
      <w:r w:rsidRPr="00B47A1F">
        <w:rPr>
          <w:rFonts w:ascii="Times New Roman" w:eastAsia="Times New Roman" w:hAnsi="Times New Roman" w:cs="Times New Roman"/>
          <w:sz w:val="24"/>
          <w:szCs w:val="24"/>
          <w:lang w:eastAsia="ru-RU"/>
        </w:rPr>
        <w:t>, по машинам и оборудованию -</w:t>
      </w:r>
      <w:r>
        <w:rPr>
          <w:rFonts w:ascii="Times New Roman" w:eastAsia="Times New Roman" w:hAnsi="Times New Roman" w:cs="Times New Roman"/>
          <w:sz w:val="24"/>
          <w:szCs w:val="24"/>
          <w:lang w:eastAsia="ru-RU"/>
        </w:rPr>
        <w:t xml:space="preserve"> </w:t>
      </w:r>
      <w:r w:rsidRPr="00B47A1F">
        <w:rPr>
          <w:rFonts w:ascii="Times New Roman" w:eastAsia="Times New Roman" w:hAnsi="Times New Roman" w:cs="Times New Roman"/>
          <w:sz w:val="24"/>
          <w:szCs w:val="24"/>
          <w:lang w:eastAsia="ru-RU"/>
        </w:rPr>
        <w:t>51,5</w:t>
      </w:r>
      <w:r>
        <w:rPr>
          <w:rFonts w:ascii="Times New Roman" w:eastAsia="Times New Roman" w:hAnsi="Times New Roman" w:cs="Times New Roman"/>
          <w:sz w:val="24"/>
          <w:szCs w:val="24"/>
          <w:lang w:eastAsia="ru-RU"/>
        </w:rPr>
        <w:t xml:space="preserve"> процента,</w:t>
      </w:r>
      <w:r w:rsidRPr="00B47A1F">
        <w:rPr>
          <w:rFonts w:ascii="Times New Roman" w:eastAsia="Times New Roman" w:hAnsi="Times New Roman" w:cs="Times New Roman"/>
          <w:sz w:val="24"/>
          <w:szCs w:val="24"/>
          <w:lang w:eastAsia="ru-RU"/>
        </w:rPr>
        <w:t xml:space="preserve"> а в организациях обрабатывающих производств соответственно 44,2</w:t>
      </w:r>
      <w:r>
        <w:rPr>
          <w:rFonts w:ascii="Times New Roman" w:eastAsia="Times New Roman" w:hAnsi="Times New Roman" w:cs="Times New Roman"/>
          <w:sz w:val="24"/>
          <w:szCs w:val="24"/>
          <w:lang w:eastAsia="ru-RU"/>
        </w:rPr>
        <w:t xml:space="preserve"> процента</w:t>
      </w:r>
      <w:r w:rsidRPr="00B47A1F">
        <w:rPr>
          <w:rFonts w:ascii="Times New Roman" w:eastAsia="Times New Roman" w:hAnsi="Times New Roman" w:cs="Times New Roman"/>
          <w:sz w:val="24"/>
          <w:szCs w:val="24"/>
          <w:lang w:eastAsia="ru-RU"/>
        </w:rPr>
        <w:t xml:space="preserve"> и 56,0</w:t>
      </w:r>
      <w:r>
        <w:rPr>
          <w:rFonts w:ascii="Times New Roman" w:eastAsia="Times New Roman" w:hAnsi="Times New Roman" w:cs="Times New Roman"/>
          <w:sz w:val="24"/>
          <w:szCs w:val="24"/>
          <w:lang w:eastAsia="ru-RU"/>
        </w:rPr>
        <w:t xml:space="preserve"> процентов</w:t>
      </w:r>
      <w:r w:rsidRPr="00B47A1F">
        <w:rPr>
          <w:rFonts w:ascii="Times New Roman" w:eastAsia="Times New Roman" w:hAnsi="Times New Roman" w:cs="Times New Roman"/>
          <w:sz w:val="24"/>
          <w:szCs w:val="24"/>
          <w:lang w:eastAsia="ru-RU"/>
        </w:rPr>
        <w:t>.</w:t>
      </w:r>
      <w:r w:rsidRPr="00B47A1F">
        <w:t xml:space="preserve"> </w:t>
      </w:r>
      <w:r w:rsidRPr="00B47A1F">
        <w:rPr>
          <w:rFonts w:ascii="Times New Roman" w:eastAsia="Times New Roman" w:hAnsi="Times New Roman" w:cs="Times New Roman"/>
          <w:sz w:val="24"/>
          <w:szCs w:val="24"/>
          <w:lang w:eastAsia="ru-RU"/>
        </w:rPr>
        <w:t>Удельный вес полностью изношенн</w:t>
      </w:r>
      <w:r>
        <w:rPr>
          <w:rFonts w:ascii="Times New Roman" w:eastAsia="Times New Roman" w:hAnsi="Times New Roman" w:cs="Times New Roman"/>
          <w:sz w:val="24"/>
          <w:szCs w:val="24"/>
          <w:lang w:eastAsia="ru-RU"/>
        </w:rPr>
        <w:t>ых основных фондов составил 6,2 процента</w:t>
      </w:r>
      <w:r w:rsidRPr="00B47A1F">
        <w:rPr>
          <w:rFonts w:ascii="Times New Roman" w:eastAsia="Times New Roman" w:hAnsi="Times New Roman" w:cs="Times New Roman"/>
          <w:sz w:val="24"/>
          <w:szCs w:val="24"/>
          <w:lang w:eastAsia="ru-RU"/>
        </w:rPr>
        <w:t xml:space="preserve"> к концу 2014</w:t>
      </w:r>
      <w:r>
        <w:rPr>
          <w:rFonts w:ascii="Times New Roman" w:eastAsia="Times New Roman" w:hAnsi="Times New Roman" w:cs="Times New Roman"/>
          <w:sz w:val="24"/>
          <w:szCs w:val="24"/>
          <w:lang w:eastAsia="ru-RU"/>
        </w:rPr>
        <w:t xml:space="preserve"> </w:t>
      </w:r>
      <w:r w:rsidRPr="00B47A1F">
        <w:rPr>
          <w:rFonts w:ascii="Times New Roman" w:eastAsia="Times New Roman" w:hAnsi="Times New Roman" w:cs="Times New Roman"/>
          <w:sz w:val="24"/>
          <w:szCs w:val="24"/>
          <w:lang w:eastAsia="ru-RU"/>
        </w:rPr>
        <w:t>года. На балансе коммерческих организаций области (без субъектов малого предпринимательства)</w:t>
      </w:r>
      <w:r>
        <w:rPr>
          <w:rFonts w:ascii="Times New Roman" w:eastAsia="Times New Roman" w:hAnsi="Times New Roman" w:cs="Times New Roman"/>
          <w:sz w:val="24"/>
          <w:szCs w:val="24"/>
          <w:lang w:eastAsia="ru-RU"/>
        </w:rPr>
        <w:t xml:space="preserve"> числится 14,9 процента</w:t>
      </w:r>
      <w:r w:rsidRPr="00B47A1F">
        <w:rPr>
          <w:rFonts w:ascii="Times New Roman" w:eastAsia="Times New Roman" w:hAnsi="Times New Roman" w:cs="Times New Roman"/>
          <w:sz w:val="24"/>
          <w:szCs w:val="24"/>
          <w:lang w:eastAsia="ru-RU"/>
        </w:rPr>
        <w:t xml:space="preserve"> изношенных машин и</w:t>
      </w:r>
      <w:r>
        <w:rPr>
          <w:rFonts w:ascii="Times New Roman" w:eastAsia="Times New Roman" w:hAnsi="Times New Roman" w:cs="Times New Roman"/>
          <w:sz w:val="24"/>
          <w:szCs w:val="24"/>
          <w:lang w:eastAsia="ru-RU"/>
        </w:rPr>
        <w:t xml:space="preserve"> оборудования, 7,0 процентов</w:t>
      </w:r>
      <w:r w:rsidRPr="00B47A1F">
        <w:rPr>
          <w:rFonts w:ascii="Times New Roman" w:eastAsia="Times New Roman" w:hAnsi="Times New Roman" w:cs="Times New Roman"/>
          <w:sz w:val="24"/>
          <w:szCs w:val="24"/>
          <w:lang w:eastAsia="ru-RU"/>
        </w:rPr>
        <w:t xml:space="preserve"> транспортных средств. </w:t>
      </w:r>
      <w:r w:rsidR="008D149A">
        <w:rPr>
          <w:rFonts w:ascii="Times New Roman" w:eastAsia="Times New Roman" w:hAnsi="Times New Roman" w:cs="Times New Roman"/>
          <w:sz w:val="24"/>
          <w:szCs w:val="24"/>
          <w:lang w:eastAsia="ru-RU"/>
        </w:rPr>
        <w:t>По данным Территориального органа Федеральной службы государственной статистики по Амурской области н</w:t>
      </w:r>
      <w:r w:rsidRPr="00B47A1F">
        <w:rPr>
          <w:rFonts w:ascii="Times New Roman" w:eastAsia="Times New Roman" w:hAnsi="Times New Roman" w:cs="Times New Roman"/>
          <w:sz w:val="24"/>
          <w:szCs w:val="24"/>
          <w:lang w:eastAsia="ru-RU"/>
        </w:rPr>
        <w:t>аиболее велика</w:t>
      </w:r>
      <w:r>
        <w:rPr>
          <w:rFonts w:ascii="Times New Roman" w:eastAsia="Times New Roman" w:hAnsi="Times New Roman" w:cs="Times New Roman"/>
          <w:sz w:val="24"/>
          <w:szCs w:val="24"/>
          <w:lang w:eastAsia="ru-RU"/>
        </w:rPr>
        <w:t xml:space="preserve"> </w:t>
      </w:r>
      <w:r w:rsidRPr="00B47A1F">
        <w:rPr>
          <w:rFonts w:ascii="Times New Roman" w:eastAsia="Times New Roman" w:hAnsi="Times New Roman" w:cs="Times New Roman"/>
          <w:sz w:val="24"/>
          <w:szCs w:val="24"/>
          <w:lang w:eastAsia="ru-RU"/>
        </w:rPr>
        <w:t>доля полностью изношенных машин, оборудования, транспорт</w:t>
      </w:r>
      <w:r w:rsidR="0074635D">
        <w:rPr>
          <w:rFonts w:ascii="Times New Roman" w:eastAsia="Times New Roman" w:hAnsi="Times New Roman" w:cs="Times New Roman"/>
          <w:sz w:val="24"/>
          <w:szCs w:val="24"/>
          <w:lang w:eastAsia="ru-RU"/>
        </w:rPr>
        <w:t>а</w:t>
      </w:r>
      <w:r w:rsidRPr="00B47A1F">
        <w:rPr>
          <w:rFonts w:ascii="Times New Roman" w:eastAsia="Times New Roman" w:hAnsi="Times New Roman" w:cs="Times New Roman"/>
          <w:sz w:val="24"/>
          <w:szCs w:val="24"/>
          <w:lang w:eastAsia="ru-RU"/>
        </w:rPr>
        <w:t xml:space="preserve"> в организациях строительства и обрабатывающих производств.</w:t>
      </w:r>
    </w:p>
    <w:p w:rsidR="00BD32B9" w:rsidRDefault="00921910" w:rsidP="00B47A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1910">
        <w:rPr>
          <w:rFonts w:ascii="Times New Roman" w:eastAsia="Times New Roman" w:hAnsi="Times New Roman" w:cs="Times New Roman"/>
          <w:sz w:val="24"/>
          <w:szCs w:val="24"/>
          <w:lang w:eastAsia="ru-RU"/>
        </w:rPr>
        <w:t>Доля инвестиций, направленных на развитие активной части основных фондов (машины, оборудование, транспортные средства)</w:t>
      </w:r>
      <w:r w:rsidR="00B47A1F">
        <w:rPr>
          <w:rFonts w:ascii="Times New Roman" w:eastAsia="Times New Roman" w:hAnsi="Times New Roman" w:cs="Times New Roman"/>
          <w:sz w:val="24"/>
          <w:szCs w:val="24"/>
          <w:lang w:eastAsia="ru-RU"/>
        </w:rPr>
        <w:t xml:space="preserve"> в 2015 году</w:t>
      </w:r>
      <w:r w:rsidRPr="00921910">
        <w:rPr>
          <w:rFonts w:ascii="Times New Roman" w:eastAsia="Times New Roman" w:hAnsi="Times New Roman" w:cs="Times New Roman"/>
          <w:sz w:val="24"/>
          <w:szCs w:val="24"/>
          <w:lang w:eastAsia="ru-RU"/>
        </w:rPr>
        <w:t xml:space="preserve"> составила 24,3 процента пр</w:t>
      </w:r>
      <w:r w:rsidR="001B3FC8">
        <w:rPr>
          <w:rFonts w:ascii="Times New Roman" w:eastAsia="Times New Roman" w:hAnsi="Times New Roman" w:cs="Times New Roman"/>
          <w:sz w:val="24"/>
          <w:szCs w:val="24"/>
          <w:lang w:eastAsia="ru-RU"/>
        </w:rPr>
        <w:t>отив 28,8 процента в 2014 году.</w:t>
      </w:r>
    </w:p>
    <w:p w:rsidR="00B47A1F" w:rsidRPr="00921910" w:rsidRDefault="00B47A1F" w:rsidP="00967DB2">
      <w:pPr>
        <w:widowControl w:val="0"/>
        <w:autoSpaceDE w:val="0"/>
        <w:autoSpaceDN w:val="0"/>
        <w:adjustRightInd w:val="0"/>
        <w:spacing w:after="0" w:line="240" w:lineRule="auto"/>
        <w:ind w:firstLine="709"/>
        <w:jc w:val="both"/>
      </w:pPr>
      <w:r>
        <w:rPr>
          <w:rFonts w:ascii="Times New Roman" w:eastAsia="Times New Roman" w:hAnsi="Times New Roman" w:cs="Times New Roman"/>
          <w:sz w:val="24"/>
          <w:szCs w:val="24"/>
          <w:lang w:eastAsia="ru-RU"/>
        </w:rPr>
        <w:lastRenderedPageBreak/>
        <w:t xml:space="preserve">В 2015 году из всего объема инвестиций в основной капитал 50,9 процента приходилось на </w:t>
      </w:r>
      <w:r w:rsidR="00967DB2">
        <w:rPr>
          <w:rFonts w:ascii="Times New Roman" w:eastAsia="Times New Roman" w:hAnsi="Times New Roman" w:cs="Times New Roman"/>
          <w:sz w:val="24"/>
          <w:szCs w:val="24"/>
          <w:lang w:eastAsia="ru-RU"/>
        </w:rPr>
        <w:t xml:space="preserve">организации, осуществляющие вид деятельности «Транспорт и связь», </w:t>
      </w:r>
      <w:r w:rsidR="008D149A">
        <w:rPr>
          <w:rFonts w:ascii="Times New Roman" w:eastAsia="Times New Roman" w:hAnsi="Times New Roman" w:cs="Times New Roman"/>
          <w:sz w:val="24"/>
          <w:szCs w:val="24"/>
          <w:lang w:eastAsia="ru-RU"/>
        </w:rPr>
        <w:br/>
      </w:r>
      <w:r w:rsidR="00967DB2">
        <w:rPr>
          <w:rFonts w:ascii="Times New Roman" w:eastAsia="Times New Roman" w:hAnsi="Times New Roman" w:cs="Times New Roman"/>
          <w:sz w:val="24"/>
          <w:szCs w:val="24"/>
          <w:lang w:eastAsia="ru-RU"/>
        </w:rPr>
        <w:t>32,3 процента – «П</w:t>
      </w:r>
      <w:r w:rsidR="00967DB2" w:rsidRPr="00967DB2">
        <w:rPr>
          <w:rFonts w:ascii="Times New Roman" w:eastAsia="Times New Roman" w:hAnsi="Times New Roman" w:cs="Times New Roman"/>
          <w:sz w:val="24"/>
          <w:szCs w:val="24"/>
          <w:lang w:eastAsia="ru-RU"/>
        </w:rPr>
        <w:t>роизводство и распределение электроэнергии, газа и воды</w:t>
      </w:r>
      <w:r w:rsidR="00967DB2">
        <w:rPr>
          <w:rFonts w:ascii="Times New Roman" w:eastAsia="Times New Roman" w:hAnsi="Times New Roman" w:cs="Times New Roman"/>
          <w:sz w:val="24"/>
          <w:szCs w:val="24"/>
          <w:lang w:eastAsia="ru-RU"/>
        </w:rPr>
        <w:t xml:space="preserve">». На организации, осуществляющие вид деятельности «Обрабатывающие производства» в </w:t>
      </w:r>
      <w:r w:rsidR="008D149A">
        <w:rPr>
          <w:rFonts w:ascii="Times New Roman" w:eastAsia="Times New Roman" w:hAnsi="Times New Roman" w:cs="Times New Roman"/>
          <w:sz w:val="24"/>
          <w:szCs w:val="24"/>
          <w:lang w:eastAsia="ru-RU"/>
        </w:rPr>
        <w:br/>
      </w:r>
      <w:r w:rsidR="00967DB2">
        <w:rPr>
          <w:rFonts w:ascii="Times New Roman" w:eastAsia="Times New Roman" w:hAnsi="Times New Roman" w:cs="Times New Roman"/>
          <w:sz w:val="24"/>
          <w:szCs w:val="24"/>
          <w:lang w:eastAsia="ru-RU"/>
        </w:rPr>
        <w:t>2015 году приходилось 2,1 процента инвестиций в основной капитал.</w:t>
      </w:r>
    </w:p>
    <w:p w:rsidR="00420723" w:rsidRPr="00784853" w:rsidRDefault="00420723" w:rsidP="004207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u w:val="single"/>
          <w:lang w:eastAsia="ru-RU"/>
        </w:rPr>
      </w:pPr>
      <w:r w:rsidRPr="00784853">
        <w:rPr>
          <w:rFonts w:ascii="Times New Roman" w:eastAsia="Times New Roman" w:hAnsi="Times New Roman" w:cs="Times New Roman"/>
          <w:sz w:val="24"/>
          <w:szCs w:val="20"/>
          <w:u w:val="single"/>
          <w:lang w:eastAsia="ru-RU"/>
        </w:rPr>
        <w:t>1.2.4. Транспорт и связь в Амурской области.</w:t>
      </w:r>
    </w:p>
    <w:p w:rsidR="00F5015C" w:rsidRPr="00784853" w:rsidRDefault="00420723" w:rsidP="007848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7B27E1">
        <w:rPr>
          <w:rFonts w:ascii="Times New Roman" w:eastAsia="Times New Roman" w:hAnsi="Times New Roman" w:cs="Times New Roman"/>
          <w:i/>
          <w:sz w:val="24"/>
          <w:szCs w:val="20"/>
          <w:lang w:eastAsia="ru-RU"/>
        </w:rPr>
        <w:t>Грузооборот</w:t>
      </w:r>
      <w:r w:rsidRPr="007B27E1">
        <w:rPr>
          <w:rFonts w:ascii="Times New Roman" w:eastAsia="Times New Roman" w:hAnsi="Times New Roman" w:cs="Times New Roman"/>
          <w:sz w:val="24"/>
          <w:szCs w:val="20"/>
          <w:lang w:eastAsia="ru-RU"/>
        </w:rPr>
        <w:t xml:space="preserve"> </w:t>
      </w:r>
      <w:r w:rsidR="005011C6" w:rsidRPr="007B27E1">
        <w:rPr>
          <w:rFonts w:ascii="Times New Roman" w:eastAsia="Times New Roman" w:hAnsi="Times New Roman" w:cs="Times New Roman"/>
          <w:sz w:val="24"/>
          <w:szCs w:val="20"/>
          <w:lang w:eastAsia="ru-RU"/>
        </w:rPr>
        <w:t>транспорта (включая коммерческий и не</w:t>
      </w:r>
      <w:r w:rsidR="008D149A" w:rsidRPr="007B27E1">
        <w:rPr>
          <w:rFonts w:ascii="Times New Roman" w:eastAsia="Times New Roman" w:hAnsi="Times New Roman" w:cs="Times New Roman"/>
          <w:sz w:val="24"/>
          <w:szCs w:val="20"/>
          <w:lang w:eastAsia="ru-RU"/>
        </w:rPr>
        <w:t>коммерческий грузооборот) в 2015</w:t>
      </w:r>
      <w:r w:rsidR="005011C6" w:rsidRPr="007B27E1">
        <w:rPr>
          <w:rFonts w:ascii="Times New Roman" w:eastAsia="Times New Roman" w:hAnsi="Times New Roman" w:cs="Times New Roman"/>
          <w:sz w:val="24"/>
          <w:szCs w:val="20"/>
          <w:lang w:eastAsia="ru-RU"/>
        </w:rPr>
        <w:t xml:space="preserve"> году </w:t>
      </w:r>
      <w:r w:rsidRPr="007B27E1">
        <w:rPr>
          <w:rFonts w:ascii="Times New Roman" w:eastAsia="Times New Roman" w:hAnsi="Times New Roman" w:cs="Times New Roman"/>
          <w:sz w:val="24"/>
          <w:szCs w:val="20"/>
          <w:lang w:eastAsia="ru-RU"/>
        </w:rPr>
        <w:t xml:space="preserve">составил </w:t>
      </w:r>
      <w:r w:rsidR="007B27E1" w:rsidRPr="007B27E1">
        <w:rPr>
          <w:rFonts w:ascii="Times New Roman" w:eastAsia="Times New Roman" w:hAnsi="Times New Roman" w:cs="Times New Roman"/>
          <w:sz w:val="24"/>
          <w:szCs w:val="20"/>
          <w:lang w:eastAsia="ru-RU"/>
        </w:rPr>
        <w:t>724,0</w:t>
      </w:r>
      <w:r w:rsidRPr="007B27E1">
        <w:rPr>
          <w:rFonts w:ascii="Times New Roman" w:eastAsia="Times New Roman" w:hAnsi="Times New Roman" w:cs="Times New Roman"/>
          <w:sz w:val="24"/>
          <w:szCs w:val="20"/>
          <w:lang w:eastAsia="ru-RU"/>
        </w:rPr>
        <w:t xml:space="preserve"> мл</w:t>
      </w:r>
      <w:r w:rsidR="005011C6" w:rsidRPr="007B27E1">
        <w:rPr>
          <w:rFonts w:ascii="Times New Roman" w:eastAsia="Times New Roman" w:hAnsi="Times New Roman" w:cs="Times New Roman"/>
          <w:sz w:val="24"/>
          <w:szCs w:val="20"/>
          <w:lang w:eastAsia="ru-RU"/>
        </w:rPr>
        <w:t>н</w:t>
      </w:r>
      <w:r w:rsidRPr="007B27E1">
        <w:rPr>
          <w:rFonts w:ascii="Times New Roman" w:eastAsia="Times New Roman" w:hAnsi="Times New Roman" w:cs="Times New Roman"/>
          <w:sz w:val="24"/>
          <w:szCs w:val="20"/>
          <w:lang w:eastAsia="ru-RU"/>
        </w:rPr>
        <w:t>. тонно-километров и у</w:t>
      </w:r>
      <w:r w:rsidR="005011C6" w:rsidRPr="007B27E1">
        <w:rPr>
          <w:rFonts w:ascii="Times New Roman" w:eastAsia="Times New Roman" w:hAnsi="Times New Roman" w:cs="Times New Roman"/>
          <w:sz w:val="24"/>
          <w:szCs w:val="20"/>
          <w:lang w:eastAsia="ru-RU"/>
        </w:rPr>
        <w:t>величился по сравнению с 201</w:t>
      </w:r>
      <w:r w:rsidR="00784853" w:rsidRPr="007B27E1">
        <w:rPr>
          <w:rFonts w:ascii="Times New Roman" w:eastAsia="Times New Roman" w:hAnsi="Times New Roman" w:cs="Times New Roman"/>
          <w:sz w:val="24"/>
          <w:szCs w:val="20"/>
          <w:lang w:eastAsia="ru-RU"/>
        </w:rPr>
        <w:t>4</w:t>
      </w:r>
      <w:r w:rsidRPr="007B27E1">
        <w:rPr>
          <w:rFonts w:ascii="Times New Roman" w:eastAsia="Times New Roman" w:hAnsi="Times New Roman" w:cs="Times New Roman"/>
          <w:sz w:val="24"/>
          <w:szCs w:val="20"/>
          <w:lang w:eastAsia="ru-RU"/>
        </w:rPr>
        <w:t xml:space="preserve"> годом на </w:t>
      </w:r>
      <w:r w:rsidR="007B27E1" w:rsidRPr="007B27E1">
        <w:rPr>
          <w:rFonts w:ascii="Times New Roman" w:eastAsia="Times New Roman" w:hAnsi="Times New Roman" w:cs="Times New Roman"/>
          <w:sz w:val="24"/>
          <w:szCs w:val="20"/>
          <w:lang w:eastAsia="ru-RU"/>
        </w:rPr>
        <w:t>5,7</w:t>
      </w:r>
      <w:r w:rsidR="00926283" w:rsidRPr="007B27E1">
        <w:rPr>
          <w:rFonts w:ascii="Times New Roman" w:eastAsia="Times New Roman" w:hAnsi="Times New Roman" w:cs="Times New Roman"/>
          <w:sz w:val="24"/>
          <w:szCs w:val="20"/>
          <w:lang w:eastAsia="ru-RU"/>
        </w:rPr>
        <w:t xml:space="preserve"> процент</w:t>
      </w:r>
      <w:r w:rsidR="007B27E1" w:rsidRPr="007B27E1">
        <w:rPr>
          <w:rFonts w:ascii="Times New Roman" w:eastAsia="Times New Roman" w:hAnsi="Times New Roman" w:cs="Times New Roman"/>
          <w:sz w:val="24"/>
          <w:szCs w:val="20"/>
          <w:lang w:eastAsia="ru-RU"/>
        </w:rPr>
        <w:t>а</w:t>
      </w:r>
      <w:r w:rsidR="00F5015C" w:rsidRPr="007B27E1">
        <w:rPr>
          <w:rFonts w:ascii="Times New Roman" w:eastAsia="Times New Roman" w:hAnsi="Times New Roman" w:cs="Times New Roman"/>
          <w:sz w:val="24"/>
          <w:szCs w:val="20"/>
          <w:lang w:eastAsia="ru-RU"/>
        </w:rPr>
        <w:t>.</w:t>
      </w:r>
    </w:p>
    <w:p w:rsidR="00420723" w:rsidRPr="000263F2" w:rsidRDefault="00420723" w:rsidP="00712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784853">
        <w:rPr>
          <w:rFonts w:ascii="Times New Roman" w:eastAsia="Times New Roman" w:hAnsi="Times New Roman" w:cs="Times New Roman"/>
          <w:i/>
          <w:sz w:val="24"/>
          <w:szCs w:val="20"/>
          <w:lang w:eastAsia="ru-RU"/>
        </w:rPr>
        <w:t>Индекс тарифов на грузовые перевозки</w:t>
      </w:r>
      <w:r w:rsidRPr="00784853">
        <w:rPr>
          <w:rFonts w:ascii="Times New Roman" w:eastAsia="Times New Roman" w:hAnsi="Times New Roman" w:cs="Times New Roman"/>
          <w:sz w:val="24"/>
          <w:szCs w:val="20"/>
          <w:lang w:eastAsia="ru-RU"/>
        </w:rPr>
        <w:t xml:space="preserve"> в декабре 201</w:t>
      </w:r>
      <w:r w:rsidR="00784853" w:rsidRPr="00784853">
        <w:rPr>
          <w:rFonts w:ascii="Times New Roman" w:eastAsia="Times New Roman" w:hAnsi="Times New Roman" w:cs="Times New Roman"/>
          <w:sz w:val="24"/>
          <w:szCs w:val="20"/>
          <w:lang w:eastAsia="ru-RU"/>
        </w:rPr>
        <w:t>5</w:t>
      </w:r>
      <w:r w:rsidRPr="00784853">
        <w:rPr>
          <w:rFonts w:ascii="Times New Roman" w:eastAsia="Times New Roman" w:hAnsi="Times New Roman" w:cs="Times New Roman"/>
          <w:sz w:val="24"/>
          <w:szCs w:val="20"/>
          <w:lang w:eastAsia="ru-RU"/>
        </w:rPr>
        <w:t xml:space="preserve"> года составил </w:t>
      </w:r>
      <w:r w:rsidR="00FC4664" w:rsidRPr="00784853">
        <w:rPr>
          <w:rFonts w:ascii="Times New Roman" w:eastAsia="Times New Roman" w:hAnsi="Times New Roman" w:cs="Times New Roman"/>
          <w:sz w:val="24"/>
          <w:szCs w:val="20"/>
          <w:lang w:eastAsia="ru-RU"/>
        </w:rPr>
        <w:br/>
      </w:r>
      <w:r w:rsidRPr="00784853">
        <w:rPr>
          <w:rFonts w:ascii="Times New Roman" w:eastAsia="Times New Roman" w:hAnsi="Times New Roman" w:cs="Times New Roman"/>
          <w:sz w:val="24"/>
          <w:szCs w:val="20"/>
          <w:lang w:eastAsia="ru-RU"/>
        </w:rPr>
        <w:t>1</w:t>
      </w:r>
      <w:r w:rsidR="00784853" w:rsidRPr="00784853">
        <w:rPr>
          <w:rFonts w:ascii="Times New Roman" w:eastAsia="Times New Roman" w:hAnsi="Times New Roman" w:cs="Times New Roman"/>
          <w:sz w:val="24"/>
          <w:szCs w:val="20"/>
          <w:lang w:eastAsia="ru-RU"/>
        </w:rPr>
        <w:t>16</w:t>
      </w:r>
      <w:r w:rsidR="00352763" w:rsidRPr="00784853">
        <w:rPr>
          <w:rFonts w:ascii="Times New Roman" w:eastAsia="Times New Roman" w:hAnsi="Times New Roman" w:cs="Times New Roman"/>
          <w:sz w:val="24"/>
          <w:szCs w:val="20"/>
          <w:lang w:eastAsia="ru-RU"/>
        </w:rPr>
        <w:t>,0</w:t>
      </w:r>
      <w:r w:rsidRPr="00784853">
        <w:rPr>
          <w:rFonts w:ascii="Times New Roman" w:eastAsia="Times New Roman" w:hAnsi="Times New Roman" w:cs="Times New Roman"/>
          <w:sz w:val="24"/>
          <w:szCs w:val="20"/>
          <w:lang w:eastAsia="ru-RU"/>
        </w:rPr>
        <w:t xml:space="preserve"> процентов к декабрю 201</w:t>
      </w:r>
      <w:r w:rsidR="00784853" w:rsidRPr="00784853">
        <w:rPr>
          <w:rFonts w:ascii="Times New Roman" w:eastAsia="Times New Roman" w:hAnsi="Times New Roman" w:cs="Times New Roman"/>
          <w:sz w:val="24"/>
          <w:szCs w:val="20"/>
          <w:lang w:eastAsia="ru-RU"/>
        </w:rPr>
        <w:t>4</w:t>
      </w:r>
      <w:r w:rsidRPr="00784853">
        <w:rPr>
          <w:rFonts w:ascii="Times New Roman" w:eastAsia="Times New Roman" w:hAnsi="Times New Roman" w:cs="Times New Roman"/>
          <w:sz w:val="24"/>
          <w:szCs w:val="20"/>
          <w:lang w:eastAsia="ru-RU"/>
        </w:rPr>
        <w:t xml:space="preserve"> года.</w:t>
      </w:r>
      <w:r w:rsidR="00712985" w:rsidRPr="000E574F">
        <w:rPr>
          <w:color w:val="FF0000"/>
        </w:rPr>
        <w:t xml:space="preserve"> </w:t>
      </w:r>
      <w:r w:rsidR="00712985" w:rsidRPr="000263F2">
        <w:rPr>
          <w:rFonts w:ascii="Times New Roman" w:eastAsia="Times New Roman" w:hAnsi="Times New Roman" w:cs="Times New Roman"/>
          <w:sz w:val="24"/>
          <w:szCs w:val="20"/>
          <w:lang w:eastAsia="ru-RU"/>
        </w:rPr>
        <w:t xml:space="preserve">Пассажирооборот по сравнению с 2013 годом снизился на </w:t>
      </w:r>
      <w:r w:rsidR="000263F2" w:rsidRPr="000263F2">
        <w:rPr>
          <w:rFonts w:ascii="Times New Roman" w:eastAsia="Times New Roman" w:hAnsi="Times New Roman" w:cs="Times New Roman"/>
          <w:sz w:val="24"/>
          <w:szCs w:val="20"/>
          <w:lang w:eastAsia="ru-RU"/>
        </w:rPr>
        <w:t xml:space="preserve">4,9 </w:t>
      </w:r>
      <w:r w:rsidR="00712985" w:rsidRPr="000263F2">
        <w:rPr>
          <w:rFonts w:ascii="Times New Roman" w:eastAsia="Times New Roman" w:hAnsi="Times New Roman" w:cs="Times New Roman"/>
          <w:sz w:val="24"/>
          <w:szCs w:val="20"/>
          <w:lang w:eastAsia="ru-RU"/>
        </w:rPr>
        <w:t>процента и составил 3</w:t>
      </w:r>
      <w:r w:rsidR="000263F2" w:rsidRPr="000263F2">
        <w:rPr>
          <w:rFonts w:ascii="Times New Roman" w:eastAsia="Times New Roman" w:hAnsi="Times New Roman" w:cs="Times New Roman"/>
          <w:sz w:val="24"/>
          <w:szCs w:val="20"/>
          <w:lang w:eastAsia="ru-RU"/>
        </w:rPr>
        <w:t xml:space="preserve">50,4 </w:t>
      </w:r>
      <w:r w:rsidR="00712985" w:rsidRPr="000263F2">
        <w:rPr>
          <w:rFonts w:ascii="Times New Roman" w:eastAsia="Times New Roman" w:hAnsi="Times New Roman" w:cs="Times New Roman"/>
          <w:sz w:val="24"/>
          <w:szCs w:val="20"/>
          <w:lang w:eastAsia="ru-RU"/>
        </w:rPr>
        <w:t>млн. пассажиро-км.</w:t>
      </w:r>
    </w:p>
    <w:p w:rsidR="0040159D" w:rsidRPr="000263F2" w:rsidRDefault="0040159D" w:rsidP="004207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7B27E1">
        <w:rPr>
          <w:rFonts w:ascii="Times New Roman" w:eastAsia="Times New Roman" w:hAnsi="Times New Roman" w:cs="Times New Roman"/>
          <w:sz w:val="24"/>
          <w:szCs w:val="20"/>
          <w:lang w:eastAsia="ru-RU"/>
        </w:rPr>
        <w:t>В 201</w:t>
      </w:r>
      <w:r w:rsidR="000263F2" w:rsidRPr="007B27E1">
        <w:rPr>
          <w:rFonts w:ascii="Times New Roman" w:eastAsia="Times New Roman" w:hAnsi="Times New Roman" w:cs="Times New Roman"/>
          <w:sz w:val="24"/>
          <w:szCs w:val="20"/>
          <w:lang w:eastAsia="ru-RU"/>
        </w:rPr>
        <w:t>5</w:t>
      </w:r>
      <w:r w:rsidRPr="007B27E1">
        <w:rPr>
          <w:rFonts w:ascii="Times New Roman" w:eastAsia="Times New Roman" w:hAnsi="Times New Roman" w:cs="Times New Roman"/>
          <w:sz w:val="24"/>
          <w:szCs w:val="20"/>
          <w:lang w:eastAsia="ru-RU"/>
        </w:rPr>
        <w:t xml:space="preserve"> году общий </w:t>
      </w:r>
      <w:r w:rsidRPr="007B27E1">
        <w:rPr>
          <w:rFonts w:ascii="Times New Roman" w:eastAsia="Times New Roman" w:hAnsi="Times New Roman" w:cs="Times New Roman"/>
          <w:i/>
          <w:sz w:val="24"/>
          <w:szCs w:val="20"/>
          <w:lang w:eastAsia="ru-RU"/>
        </w:rPr>
        <w:t>объём услуг связи</w:t>
      </w:r>
      <w:r w:rsidRPr="007B27E1">
        <w:rPr>
          <w:rFonts w:ascii="Times New Roman" w:eastAsia="Times New Roman" w:hAnsi="Times New Roman" w:cs="Times New Roman"/>
          <w:sz w:val="24"/>
          <w:szCs w:val="20"/>
          <w:lang w:eastAsia="ru-RU"/>
        </w:rPr>
        <w:t>, оказанный всеми организациями связи, состав</w:t>
      </w:r>
      <w:r w:rsidR="00712985" w:rsidRPr="007B27E1">
        <w:rPr>
          <w:rFonts w:ascii="Times New Roman" w:eastAsia="Times New Roman" w:hAnsi="Times New Roman" w:cs="Times New Roman"/>
          <w:sz w:val="24"/>
          <w:szCs w:val="20"/>
          <w:lang w:eastAsia="ru-RU"/>
        </w:rPr>
        <w:t>и</w:t>
      </w:r>
      <w:r w:rsidRPr="007B27E1">
        <w:rPr>
          <w:rFonts w:ascii="Times New Roman" w:eastAsia="Times New Roman" w:hAnsi="Times New Roman" w:cs="Times New Roman"/>
          <w:sz w:val="24"/>
          <w:szCs w:val="20"/>
          <w:lang w:eastAsia="ru-RU"/>
        </w:rPr>
        <w:t xml:space="preserve">л </w:t>
      </w:r>
      <w:r w:rsidR="00712985" w:rsidRPr="007B27E1">
        <w:rPr>
          <w:rFonts w:ascii="Times New Roman" w:eastAsia="Times New Roman" w:hAnsi="Times New Roman" w:cs="Times New Roman"/>
          <w:sz w:val="24"/>
          <w:szCs w:val="20"/>
          <w:lang w:eastAsia="ru-RU"/>
        </w:rPr>
        <w:t xml:space="preserve">по предварительным данным </w:t>
      </w:r>
      <w:r w:rsidRPr="007B27E1">
        <w:rPr>
          <w:rFonts w:ascii="Times New Roman" w:eastAsia="Times New Roman" w:hAnsi="Times New Roman" w:cs="Times New Roman"/>
          <w:sz w:val="24"/>
          <w:szCs w:val="20"/>
          <w:lang w:eastAsia="ru-RU"/>
        </w:rPr>
        <w:t xml:space="preserve">в действующих ценах </w:t>
      </w:r>
      <w:r w:rsidR="00712985" w:rsidRPr="007B27E1">
        <w:rPr>
          <w:rFonts w:ascii="Times New Roman" w:eastAsia="Times New Roman" w:hAnsi="Times New Roman" w:cs="Times New Roman"/>
          <w:sz w:val="24"/>
          <w:szCs w:val="20"/>
          <w:lang w:eastAsia="ru-RU"/>
        </w:rPr>
        <w:t>7</w:t>
      </w:r>
      <w:r w:rsidR="000263F2" w:rsidRPr="007B27E1">
        <w:rPr>
          <w:rFonts w:ascii="Times New Roman" w:eastAsia="Times New Roman" w:hAnsi="Times New Roman" w:cs="Times New Roman"/>
          <w:sz w:val="24"/>
          <w:szCs w:val="20"/>
          <w:lang w:eastAsia="ru-RU"/>
        </w:rPr>
        <w:t>639,5</w:t>
      </w:r>
      <w:r w:rsidRPr="007B27E1">
        <w:rPr>
          <w:rFonts w:ascii="Times New Roman" w:eastAsia="Times New Roman" w:hAnsi="Times New Roman" w:cs="Times New Roman"/>
          <w:sz w:val="24"/>
          <w:szCs w:val="20"/>
          <w:lang w:eastAsia="ru-RU"/>
        </w:rPr>
        <w:t xml:space="preserve"> млн. рублей, в том числе услуг связи населению – </w:t>
      </w:r>
      <w:r w:rsidR="000263F2" w:rsidRPr="007B27E1">
        <w:rPr>
          <w:rFonts w:ascii="Times New Roman" w:eastAsia="Times New Roman" w:hAnsi="Times New Roman" w:cs="Times New Roman"/>
          <w:sz w:val="24"/>
          <w:szCs w:val="20"/>
          <w:lang w:eastAsia="ru-RU"/>
        </w:rPr>
        <w:t>4932,1</w:t>
      </w:r>
      <w:r w:rsidRPr="007B27E1">
        <w:rPr>
          <w:rFonts w:ascii="Times New Roman" w:eastAsia="Times New Roman" w:hAnsi="Times New Roman" w:cs="Times New Roman"/>
          <w:sz w:val="24"/>
          <w:szCs w:val="20"/>
          <w:lang w:eastAsia="ru-RU"/>
        </w:rPr>
        <w:t xml:space="preserve"> млн. рублей (за 201</w:t>
      </w:r>
      <w:r w:rsidR="000263F2" w:rsidRPr="007B27E1">
        <w:rPr>
          <w:rFonts w:ascii="Times New Roman" w:eastAsia="Times New Roman" w:hAnsi="Times New Roman" w:cs="Times New Roman"/>
          <w:sz w:val="24"/>
          <w:szCs w:val="20"/>
          <w:lang w:eastAsia="ru-RU"/>
        </w:rPr>
        <w:t>4</w:t>
      </w:r>
      <w:r w:rsidRPr="007B27E1">
        <w:rPr>
          <w:rFonts w:ascii="Times New Roman" w:eastAsia="Times New Roman" w:hAnsi="Times New Roman" w:cs="Times New Roman"/>
          <w:sz w:val="24"/>
          <w:szCs w:val="20"/>
          <w:lang w:eastAsia="ru-RU"/>
        </w:rPr>
        <w:t xml:space="preserve"> год - соответственно </w:t>
      </w:r>
      <w:r w:rsidR="00712985" w:rsidRPr="007B27E1">
        <w:rPr>
          <w:rFonts w:ascii="Times New Roman" w:eastAsia="Times New Roman" w:hAnsi="Times New Roman" w:cs="Times New Roman"/>
          <w:sz w:val="24"/>
          <w:szCs w:val="20"/>
          <w:lang w:eastAsia="ru-RU"/>
        </w:rPr>
        <w:t>7</w:t>
      </w:r>
      <w:r w:rsidR="000263F2" w:rsidRPr="007B27E1">
        <w:rPr>
          <w:rFonts w:ascii="Times New Roman" w:eastAsia="Times New Roman" w:hAnsi="Times New Roman" w:cs="Times New Roman"/>
          <w:sz w:val="24"/>
          <w:szCs w:val="20"/>
          <w:lang w:eastAsia="ru-RU"/>
        </w:rPr>
        <w:t>894,1</w:t>
      </w:r>
      <w:r w:rsidRPr="007B27E1">
        <w:rPr>
          <w:rFonts w:ascii="Times New Roman" w:eastAsia="Times New Roman" w:hAnsi="Times New Roman" w:cs="Times New Roman"/>
          <w:sz w:val="24"/>
          <w:szCs w:val="20"/>
          <w:lang w:eastAsia="ru-RU"/>
        </w:rPr>
        <w:t xml:space="preserve"> и </w:t>
      </w:r>
      <w:r w:rsidR="00D65AD4" w:rsidRPr="007B27E1">
        <w:rPr>
          <w:rFonts w:ascii="Times New Roman" w:eastAsia="Times New Roman" w:hAnsi="Times New Roman" w:cs="Times New Roman"/>
          <w:sz w:val="24"/>
          <w:szCs w:val="20"/>
          <w:lang w:eastAsia="ru-RU"/>
        </w:rPr>
        <w:br/>
      </w:r>
      <w:r w:rsidR="000263F2" w:rsidRPr="007B27E1">
        <w:rPr>
          <w:rFonts w:ascii="Times New Roman" w:eastAsia="Times New Roman" w:hAnsi="Times New Roman" w:cs="Times New Roman"/>
          <w:sz w:val="24"/>
          <w:szCs w:val="20"/>
          <w:lang w:eastAsia="ru-RU"/>
        </w:rPr>
        <w:t>518</w:t>
      </w:r>
      <w:r w:rsidR="007B27E1" w:rsidRPr="007B27E1">
        <w:rPr>
          <w:rFonts w:ascii="Times New Roman" w:eastAsia="Times New Roman" w:hAnsi="Times New Roman" w:cs="Times New Roman"/>
          <w:sz w:val="24"/>
          <w:szCs w:val="20"/>
          <w:lang w:eastAsia="ru-RU"/>
        </w:rPr>
        <w:t>7,1</w:t>
      </w:r>
      <w:r w:rsidRPr="007B27E1">
        <w:rPr>
          <w:rFonts w:ascii="Times New Roman" w:eastAsia="Times New Roman" w:hAnsi="Times New Roman" w:cs="Times New Roman"/>
          <w:sz w:val="24"/>
          <w:szCs w:val="20"/>
          <w:lang w:eastAsia="ru-RU"/>
        </w:rPr>
        <w:t xml:space="preserve"> млн. рублей).</w:t>
      </w:r>
    </w:p>
    <w:p w:rsidR="00E07930" w:rsidRPr="000263F2" w:rsidRDefault="0010755A" w:rsidP="00C003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u w:val="single"/>
          <w:lang w:eastAsia="ru-RU"/>
        </w:rPr>
      </w:pPr>
      <w:r w:rsidRPr="000263F2">
        <w:rPr>
          <w:rFonts w:ascii="Times New Roman" w:eastAsia="Times New Roman" w:hAnsi="Times New Roman" w:cs="Times New Roman"/>
          <w:sz w:val="24"/>
          <w:szCs w:val="20"/>
          <w:u w:val="single"/>
          <w:lang w:eastAsia="ru-RU"/>
        </w:rPr>
        <w:t>1.2.5. Торговля и услуги.</w:t>
      </w:r>
    </w:p>
    <w:p w:rsidR="007E4488" w:rsidRPr="00FE19A0" w:rsidRDefault="007E4488" w:rsidP="007E448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0"/>
          <w:lang w:eastAsia="ru-RU"/>
        </w:rPr>
      </w:pPr>
      <w:r w:rsidRPr="00FE19A0">
        <w:rPr>
          <w:rFonts w:ascii="Times New Roman" w:eastAsia="Times New Roman" w:hAnsi="Times New Roman" w:cs="Times New Roman"/>
          <w:sz w:val="24"/>
          <w:szCs w:val="20"/>
          <w:lang w:eastAsia="ru-RU"/>
        </w:rPr>
        <w:t>В 201</w:t>
      </w:r>
      <w:r w:rsidR="00FE19A0">
        <w:rPr>
          <w:rFonts w:ascii="Times New Roman" w:eastAsia="Times New Roman" w:hAnsi="Times New Roman" w:cs="Times New Roman"/>
          <w:sz w:val="24"/>
          <w:szCs w:val="20"/>
          <w:lang w:eastAsia="ru-RU"/>
        </w:rPr>
        <w:t>5</w:t>
      </w:r>
      <w:r w:rsidRPr="00FE19A0">
        <w:rPr>
          <w:rFonts w:ascii="Times New Roman" w:eastAsia="Times New Roman" w:hAnsi="Times New Roman" w:cs="Times New Roman"/>
          <w:sz w:val="24"/>
          <w:szCs w:val="20"/>
          <w:lang w:eastAsia="ru-RU"/>
        </w:rPr>
        <w:t xml:space="preserve"> году </w:t>
      </w:r>
      <w:r w:rsidRPr="00FE19A0">
        <w:rPr>
          <w:rFonts w:ascii="Times New Roman" w:eastAsia="Times New Roman" w:hAnsi="Times New Roman" w:cs="Times New Roman"/>
          <w:i/>
          <w:sz w:val="24"/>
          <w:szCs w:val="20"/>
          <w:lang w:eastAsia="ru-RU"/>
        </w:rPr>
        <w:t>оборот оптовой торговли</w:t>
      </w:r>
      <w:r w:rsidRPr="00FE19A0">
        <w:rPr>
          <w:rFonts w:ascii="Times New Roman" w:eastAsia="Times New Roman" w:hAnsi="Times New Roman" w:cs="Times New Roman"/>
          <w:sz w:val="24"/>
          <w:szCs w:val="20"/>
          <w:lang w:eastAsia="ru-RU"/>
        </w:rPr>
        <w:t xml:space="preserve"> сложился в сумме </w:t>
      </w:r>
      <w:r w:rsidR="00FE19A0" w:rsidRPr="00FE19A0">
        <w:rPr>
          <w:rFonts w:ascii="Times New Roman" w:eastAsia="Times New Roman" w:hAnsi="Times New Roman" w:cs="Times New Roman"/>
          <w:sz w:val="24"/>
          <w:szCs w:val="20"/>
          <w:lang w:eastAsia="ru-RU"/>
        </w:rPr>
        <w:t>74,1</w:t>
      </w:r>
      <w:r w:rsidR="000911A1" w:rsidRPr="00FE19A0">
        <w:rPr>
          <w:rFonts w:ascii="Times New Roman" w:eastAsia="Times New Roman" w:hAnsi="Times New Roman" w:cs="Times New Roman"/>
          <w:sz w:val="24"/>
          <w:szCs w:val="20"/>
          <w:lang w:eastAsia="ru-RU"/>
        </w:rPr>
        <w:t xml:space="preserve"> </w:t>
      </w:r>
      <w:r w:rsidRPr="00FE19A0">
        <w:rPr>
          <w:rFonts w:ascii="Times New Roman" w:eastAsia="Times New Roman" w:hAnsi="Times New Roman" w:cs="Times New Roman"/>
          <w:sz w:val="24"/>
          <w:szCs w:val="20"/>
          <w:lang w:eastAsia="ru-RU"/>
        </w:rPr>
        <w:t xml:space="preserve">млрд. рублей, что в сопоставимой оценке меньше на </w:t>
      </w:r>
      <w:r w:rsidR="000911A1" w:rsidRPr="00FE19A0">
        <w:rPr>
          <w:rFonts w:ascii="Times New Roman" w:eastAsia="Times New Roman" w:hAnsi="Times New Roman" w:cs="Times New Roman"/>
          <w:sz w:val="24"/>
          <w:szCs w:val="20"/>
          <w:lang w:eastAsia="ru-RU"/>
        </w:rPr>
        <w:t>7,</w:t>
      </w:r>
      <w:r w:rsidR="00FE19A0" w:rsidRPr="00FE19A0">
        <w:rPr>
          <w:rFonts w:ascii="Times New Roman" w:eastAsia="Times New Roman" w:hAnsi="Times New Roman" w:cs="Times New Roman"/>
          <w:sz w:val="24"/>
          <w:szCs w:val="20"/>
          <w:lang w:eastAsia="ru-RU"/>
        </w:rPr>
        <w:t>1</w:t>
      </w:r>
      <w:r w:rsidR="000911A1" w:rsidRPr="00FE19A0">
        <w:rPr>
          <w:rFonts w:ascii="Times New Roman" w:eastAsia="Times New Roman" w:hAnsi="Times New Roman" w:cs="Times New Roman"/>
          <w:sz w:val="24"/>
          <w:szCs w:val="20"/>
          <w:lang w:eastAsia="ru-RU"/>
        </w:rPr>
        <w:t xml:space="preserve"> процента, чем в 201</w:t>
      </w:r>
      <w:r w:rsidR="00FE19A0" w:rsidRPr="00FE19A0">
        <w:rPr>
          <w:rFonts w:ascii="Times New Roman" w:eastAsia="Times New Roman" w:hAnsi="Times New Roman" w:cs="Times New Roman"/>
          <w:sz w:val="24"/>
          <w:szCs w:val="20"/>
          <w:lang w:eastAsia="ru-RU"/>
        </w:rPr>
        <w:t>4</w:t>
      </w:r>
      <w:r w:rsidR="001B3FC8">
        <w:rPr>
          <w:rFonts w:ascii="Times New Roman" w:eastAsia="Times New Roman" w:hAnsi="Times New Roman" w:cs="Times New Roman"/>
          <w:sz w:val="24"/>
          <w:szCs w:val="20"/>
          <w:lang w:eastAsia="ru-RU"/>
        </w:rPr>
        <w:t xml:space="preserve"> году.</w:t>
      </w:r>
    </w:p>
    <w:p w:rsidR="0025602A" w:rsidRPr="00FE19A0" w:rsidRDefault="0025602A" w:rsidP="007E44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FE19A0">
        <w:rPr>
          <w:rFonts w:ascii="Times New Roman" w:eastAsia="Times New Roman" w:hAnsi="Times New Roman" w:cs="Times New Roman"/>
          <w:i/>
          <w:sz w:val="24"/>
          <w:szCs w:val="20"/>
          <w:lang w:eastAsia="ru-RU"/>
        </w:rPr>
        <w:t xml:space="preserve">Оборот розничной торговли </w:t>
      </w:r>
      <w:r w:rsidR="006674EB" w:rsidRPr="00FE19A0">
        <w:rPr>
          <w:rFonts w:ascii="Times New Roman" w:eastAsia="Times New Roman" w:hAnsi="Times New Roman" w:cs="Times New Roman"/>
          <w:sz w:val="24"/>
          <w:szCs w:val="20"/>
          <w:lang w:eastAsia="ru-RU"/>
        </w:rPr>
        <w:t>в Амурской</w:t>
      </w:r>
      <w:r w:rsidR="006674EB" w:rsidRPr="00FE19A0">
        <w:rPr>
          <w:rFonts w:ascii="Times New Roman" w:eastAsia="Times New Roman" w:hAnsi="Times New Roman" w:cs="Times New Roman"/>
          <w:i/>
          <w:sz w:val="24"/>
          <w:szCs w:val="20"/>
          <w:lang w:eastAsia="ru-RU"/>
        </w:rPr>
        <w:t xml:space="preserve"> </w:t>
      </w:r>
      <w:r w:rsidRPr="00FE19A0">
        <w:rPr>
          <w:rFonts w:ascii="Times New Roman" w:eastAsia="Times New Roman" w:hAnsi="Times New Roman" w:cs="Times New Roman"/>
          <w:sz w:val="24"/>
          <w:szCs w:val="20"/>
          <w:lang w:eastAsia="ru-RU"/>
        </w:rPr>
        <w:t>области за 201</w:t>
      </w:r>
      <w:r w:rsidR="00FE19A0" w:rsidRPr="00FE19A0">
        <w:rPr>
          <w:rFonts w:ascii="Times New Roman" w:eastAsia="Times New Roman" w:hAnsi="Times New Roman" w:cs="Times New Roman"/>
          <w:sz w:val="24"/>
          <w:szCs w:val="20"/>
          <w:lang w:eastAsia="ru-RU"/>
        </w:rPr>
        <w:t>5</w:t>
      </w:r>
      <w:r w:rsidRPr="00FE19A0">
        <w:rPr>
          <w:rFonts w:ascii="Times New Roman" w:eastAsia="Times New Roman" w:hAnsi="Times New Roman" w:cs="Times New Roman"/>
          <w:sz w:val="24"/>
          <w:szCs w:val="20"/>
          <w:lang w:eastAsia="ru-RU"/>
        </w:rPr>
        <w:t xml:space="preserve"> год составил </w:t>
      </w:r>
      <w:r w:rsidR="000911A1" w:rsidRPr="00FE19A0">
        <w:rPr>
          <w:rFonts w:ascii="Times New Roman" w:eastAsia="Times New Roman" w:hAnsi="Times New Roman" w:cs="Times New Roman"/>
          <w:sz w:val="24"/>
          <w:szCs w:val="20"/>
          <w:lang w:eastAsia="ru-RU"/>
        </w:rPr>
        <w:t>1</w:t>
      </w:r>
      <w:r w:rsidR="00FE19A0" w:rsidRPr="00FE19A0">
        <w:rPr>
          <w:rFonts w:ascii="Times New Roman" w:eastAsia="Times New Roman" w:hAnsi="Times New Roman" w:cs="Times New Roman"/>
          <w:sz w:val="24"/>
          <w:szCs w:val="20"/>
          <w:lang w:eastAsia="ru-RU"/>
        </w:rPr>
        <w:t>47,4</w:t>
      </w:r>
      <w:r w:rsidRPr="00FE19A0">
        <w:rPr>
          <w:rFonts w:ascii="Times New Roman" w:eastAsia="Times New Roman" w:hAnsi="Times New Roman" w:cs="Times New Roman"/>
          <w:sz w:val="24"/>
          <w:szCs w:val="20"/>
          <w:lang w:eastAsia="ru-RU"/>
        </w:rPr>
        <w:t xml:space="preserve"> млрд. рублей и на </w:t>
      </w:r>
      <w:r w:rsidR="00FE19A0" w:rsidRPr="00FE19A0">
        <w:rPr>
          <w:rFonts w:ascii="Times New Roman" w:eastAsia="Times New Roman" w:hAnsi="Times New Roman" w:cs="Times New Roman"/>
          <w:sz w:val="24"/>
          <w:szCs w:val="20"/>
          <w:lang w:eastAsia="ru-RU"/>
        </w:rPr>
        <w:t>11,0</w:t>
      </w:r>
      <w:r w:rsidR="007E4488" w:rsidRPr="00FE19A0">
        <w:rPr>
          <w:rFonts w:ascii="Times New Roman" w:eastAsia="Times New Roman" w:hAnsi="Times New Roman" w:cs="Times New Roman"/>
          <w:sz w:val="24"/>
          <w:szCs w:val="20"/>
          <w:lang w:eastAsia="ru-RU"/>
        </w:rPr>
        <w:t xml:space="preserve"> процент</w:t>
      </w:r>
      <w:r w:rsidR="00FE19A0" w:rsidRPr="00FE19A0">
        <w:rPr>
          <w:rFonts w:ascii="Times New Roman" w:eastAsia="Times New Roman" w:hAnsi="Times New Roman" w:cs="Times New Roman"/>
          <w:sz w:val="24"/>
          <w:szCs w:val="20"/>
          <w:lang w:eastAsia="ru-RU"/>
        </w:rPr>
        <w:t>ов</w:t>
      </w:r>
      <w:r w:rsidRPr="00FE19A0">
        <w:rPr>
          <w:rFonts w:ascii="Times New Roman" w:eastAsia="Times New Roman" w:hAnsi="Times New Roman" w:cs="Times New Roman"/>
          <w:sz w:val="24"/>
          <w:szCs w:val="20"/>
          <w:lang w:eastAsia="ru-RU"/>
        </w:rPr>
        <w:t xml:space="preserve"> превысил уровень 201</w:t>
      </w:r>
      <w:r w:rsidR="00FE19A0" w:rsidRPr="00FE19A0">
        <w:rPr>
          <w:rFonts w:ascii="Times New Roman" w:eastAsia="Times New Roman" w:hAnsi="Times New Roman" w:cs="Times New Roman"/>
          <w:sz w:val="24"/>
          <w:szCs w:val="20"/>
          <w:lang w:eastAsia="ru-RU"/>
        </w:rPr>
        <w:t>4</w:t>
      </w:r>
      <w:r w:rsidRPr="00FE19A0">
        <w:rPr>
          <w:rFonts w:ascii="Times New Roman" w:eastAsia="Times New Roman" w:hAnsi="Times New Roman" w:cs="Times New Roman"/>
          <w:sz w:val="24"/>
          <w:szCs w:val="20"/>
          <w:lang w:eastAsia="ru-RU"/>
        </w:rPr>
        <w:t xml:space="preserve"> года</w:t>
      </w:r>
      <w:r w:rsidR="00FE19A0" w:rsidRPr="00FE19A0">
        <w:rPr>
          <w:rFonts w:ascii="Times New Roman" w:eastAsia="Times New Roman" w:hAnsi="Times New Roman" w:cs="Times New Roman"/>
          <w:sz w:val="24"/>
          <w:szCs w:val="20"/>
          <w:lang w:eastAsia="ru-RU"/>
        </w:rPr>
        <w:t>.</w:t>
      </w:r>
      <w:r w:rsidR="006674EB" w:rsidRPr="00FE19A0">
        <w:rPr>
          <w:rFonts w:ascii="Times New Roman" w:eastAsia="Times New Roman" w:hAnsi="Times New Roman" w:cs="Times New Roman"/>
          <w:sz w:val="24"/>
          <w:szCs w:val="20"/>
          <w:lang w:eastAsia="ru-RU"/>
        </w:rPr>
        <w:t xml:space="preserve"> В структуре оборота розничной торговли в 201</w:t>
      </w:r>
      <w:r w:rsidR="00FE19A0" w:rsidRPr="00FE19A0">
        <w:rPr>
          <w:rFonts w:ascii="Times New Roman" w:eastAsia="Times New Roman" w:hAnsi="Times New Roman" w:cs="Times New Roman"/>
          <w:sz w:val="24"/>
          <w:szCs w:val="20"/>
          <w:lang w:eastAsia="ru-RU"/>
        </w:rPr>
        <w:t>5</w:t>
      </w:r>
      <w:r w:rsidR="006674EB" w:rsidRPr="00FE19A0">
        <w:rPr>
          <w:rFonts w:ascii="Times New Roman" w:eastAsia="Times New Roman" w:hAnsi="Times New Roman" w:cs="Times New Roman"/>
          <w:sz w:val="24"/>
          <w:szCs w:val="20"/>
          <w:lang w:eastAsia="ru-RU"/>
        </w:rPr>
        <w:t xml:space="preserve"> году </w:t>
      </w:r>
      <w:r w:rsidR="00FE19A0" w:rsidRPr="00FE19A0">
        <w:rPr>
          <w:rFonts w:ascii="Times New Roman" w:eastAsia="Times New Roman" w:hAnsi="Times New Roman" w:cs="Times New Roman"/>
          <w:sz w:val="24"/>
          <w:szCs w:val="20"/>
          <w:lang w:eastAsia="ru-RU"/>
        </w:rPr>
        <w:t>50,9</w:t>
      </w:r>
      <w:r w:rsidR="006674EB" w:rsidRPr="00FE19A0">
        <w:rPr>
          <w:rFonts w:ascii="Times New Roman" w:eastAsia="Times New Roman" w:hAnsi="Times New Roman" w:cs="Times New Roman"/>
          <w:sz w:val="24"/>
          <w:szCs w:val="20"/>
          <w:lang w:eastAsia="ru-RU"/>
        </w:rPr>
        <w:t xml:space="preserve"> процента занимают непродовольственные товары, </w:t>
      </w:r>
      <w:r w:rsidR="00FE19A0" w:rsidRPr="00FE19A0">
        <w:rPr>
          <w:rFonts w:ascii="Times New Roman" w:eastAsia="Times New Roman" w:hAnsi="Times New Roman" w:cs="Times New Roman"/>
          <w:sz w:val="24"/>
          <w:szCs w:val="20"/>
          <w:lang w:eastAsia="ru-RU"/>
        </w:rPr>
        <w:t>49,1</w:t>
      </w:r>
      <w:r w:rsidR="006674EB" w:rsidRPr="00FE19A0">
        <w:rPr>
          <w:rFonts w:ascii="Times New Roman" w:eastAsia="Times New Roman" w:hAnsi="Times New Roman" w:cs="Times New Roman"/>
          <w:sz w:val="24"/>
          <w:szCs w:val="20"/>
          <w:lang w:eastAsia="ru-RU"/>
        </w:rPr>
        <w:t xml:space="preserve"> процента – продовольствие.</w:t>
      </w:r>
    </w:p>
    <w:p w:rsidR="006674EB" w:rsidRPr="00306B67" w:rsidRDefault="006674EB" w:rsidP="00C003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06B67">
        <w:rPr>
          <w:rFonts w:ascii="Times New Roman" w:eastAsia="Times New Roman" w:hAnsi="Times New Roman" w:cs="Times New Roman"/>
          <w:i/>
          <w:sz w:val="24"/>
          <w:szCs w:val="20"/>
          <w:lang w:eastAsia="ru-RU"/>
        </w:rPr>
        <w:t>Индекс физического объема оборота розничной торговли</w:t>
      </w:r>
      <w:r w:rsidRPr="00306B67">
        <w:rPr>
          <w:rFonts w:ascii="Times New Roman" w:eastAsia="Times New Roman" w:hAnsi="Times New Roman" w:cs="Times New Roman"/>
          <w:sz w:val="24"/>
          <w:szCs w:val="20"/>
          <w:lang w:eastAsia="ru-RU"/>
        </w:rPr>
        <w:t xml:space="preserve"> </w:t>
      </w:r>
      <w:r w:rsidR="00306B67" w:rsidRPr="00306B67">
        <w:rPr>
          <w:rFonts w:ascii="Times New Roman" w:eastAsia="Times New Roman" w:hAnsi="Times New Roman" w:cs="Times New Roman"/>
          <w:sz w:val="24"/>
          <w:szCs w:val="20"/>
          <w:lang w:eastAsia="ru-RU"/>
        </w:rPr>
        <w:t xml:space="preserve">в 2015 году составил </w:t>
      </w:r>
      <w:r w:rsidR="006B57D3">
        <w:rPr>
          <w:rFonts w:ascii="Times New Roman" w:eastAsia="Times New Roman" w:hAnsi="Times New Roman" w:cs="Times New Roman"/>
          <w:sz w:val="24"/>
          <w:szCs w:val="20"/>
          <w:lang w:eastAsia="ru-RU"/>
        </w:rPr>
        <w:br/>
      </w:r>
      <w:r w:rsidR="00306B67" w:rsidRPr="00306B67">
        <w:rPr>
          <w:rFonts w:ascii="Times New Roman" w:eastAsia="Times New Roman" w:hAnsi="Times New Roman" w:cs="Times New Roman"/>
          <w:sz w:val="24"/>
          <w:szCs w:val="20"/>
          <w:lang w:eastAsia="ru-RU"/>
        </w:rPr>
        <w:t>95,0 процентов к уровню 2014 года. П</w:t>
      </w:r>
      <w:r w:rsidRPr="00306B67">
        <w:rPr>
          <w:rFonts w:ascii="Times New Roman" w:eastAsia="Times New Roman" w:hAnsi="Times New Roman" w:cs="Times New Roman"/>
          <w:sz w:val="24"/>
          <w:szCs w:val="20"/>
          <w:lang w:eastAsia="ru-RU"/>
        </w:rPr>
        <w:t>о пищевым продуктам, включая напитки и табачные изделия</w:t>
      </w:r>
      <w:r w:rsidR="00306B67">
        <w:rPr>
          <w:rFonts w:ascii="Times New Roman" w:eastAsia="Times New Roman" w:hAnsi="Times New Roman" w:cs="Times New Roman"/>
          <w:sz w:val="24"/>
          <w:szCs w:val="20"/>
          <w:lang w:eastAsia="ru-RU"/>
        </w:rPr>
        <w:t>,</w:t>
      </w:r>
      <w:r w:rsidR="00306B67" w:rsidRPr="00306B67">
        <w:rPr>
          <w:rFonts w:ascii="Times New Roman" w:eastAsia="Times New Roman" w:hAnsi="Times New Roman" w:cs="Times New Roman"/>
          <w:sz w:val="24"/>
          <w:szCs w:val="20"/>
          <w:lang w:eastAsia="ru-RU"/>
        </w:rPr>
        <w:t xml:space="preserve"> индекс физического объема оборота розничной торговли составил 93,0 процента</w:t>
      </w:r>
      <w:r w:rsidR="00352763" w:rsidRPr="00306B67">
        <w:rPr>
          <w:rFonts w:ascii="Times New Roman" w:eastAsia="Times New Roman" w:hAnsi="Times New Roman" w:cs="Times New Roman"/>
          <w:sz w:val="24"/>
          <w:szCs w:val="20"/>
          <w:lang w:eastAsia="ru-RU"/>
        </w:rPr>
        <w:t>,</w:t>
      </w:r>
      <w:r w:rsidRPr="00306B67">
        <w:rPr>
          <w:rFonts w:ascii="Times New Roman" w:eastAsia="Times New Roman" w:hAnsi="Times New Roman" w:cs="Times New Roman"/>
          <w:sz w:val="24"/>
          <w:szCs w:val="20"/>
          <w:lang w:eastAsia="ru-RU"/>
        </w:rPr>
        <w:t xml:space="preserve"> </w:t>
      </w:r>
      <w:r w:rsidR="000911A1" w:rsidRPr="00306B67">
        <w:rPr>
          <w:rFonts w:ascii="Times New Roman" w:eastAsia="Times New Roman" w:hAnsi="Times New Roman" w:cs="Times New Roman"/>
          <w:sz w:val="24"/>
          <w:szCs w:val="20"/>
          <w:lang w:eastAsia="ru-RU"/>
        </w:rPr>
        <w:t xml:space="preserve">по непродовольственным товарам </w:t>
      </w:r>
      <w:r w:rsidR="00306B67" w:rsidRPr="00306B67">
        <w:rPr>
          <w:rFonts w:ascii="Times New Roman" w:eastAsia="Times New Roman" w:hAnsi="Times New Roman" w:cs="Times New Roman"/>
          <w:sz w:val="24"/>
          <w:szCs w:val="20"/>
          <w:lang w:eastAsia="ru-RU"/>
        </w:rPr>
        <w:t>– 97</w:t>
      </w:r>
      <w:r w:rsidRPr="00306B67">
        <w:rPr>
          <w:rFonts w:ascii="Times New Roman" w:eastAsia="Times New Roman" w:hAnsi="Times New Roman" w:cs="Times New Roman"/>
          <w:sz w:val="24"/>
          <w:szCs w:val="20"/>
          <w:lang w:eastAsia="ru-RU"/>
        </w:rPr>
        <w:t>,0 процент</w:t>
      </w:r>
      <w:r w:rsidR="00306B67" w:rsidRPr="00306B67">
        <w:rPr>
          <w:rFonts w:ascii="Times New Roman" w:eastAsia="Times New Roman" w:hAnsi="Times New Roman" w:cs="Times New Roman"/>
          <w:sz w:val="24"/>
          <w:szCs w:val="20"/>
          <w:lang w:eastAsia="ru-RU"/>
        </w:rPr>
        <w:t>ов</w:t>
      </w:r>
      <w:r w:rsidRPr="00306B67">
        <w:rPr>
          <w:rFonts w:ascii="Times New Roman" w:eastAsia="Times New Roman" w:hAnsi="Times New Roman" w:cs="Times New Roman"/>
          <w:sz w:val="24"/>
          <w:szCs w:val="20"/>
          <w:lang w:eastAsia="ru-RU"/>
        </w:rPr>
        <w:t xml:space="preserve"> по отношению к 201</w:t>
      </w:r>
      <w:r w:rsidR="00306B67" w:rsidRPr="00306B67">
        <w:rPr>
          <w:rFonts w:ascii="Times New Roman" w:eastAsia="Times New Roman" w:hAnsi="Times New Roman" w:cs="Times New Roman"/>
          <w:sz w:val="24"/>
          <w:szCs w:val="20"/>
          <w:lang w:eastAsia="ru-RU"/>
        </w:rPr>
        <w:t>4</w:t>
      </w:r>
      <w:r w:rsidRPr="00306B67">
        <w:rPr>
          <w:rFonts w:ascii="Times New Roman" w:eastAsia="Times New Roman" w:hAnsi="Times New Roman" w:cs="Times New Roman"/>
          <w:sz w:val="24"/>
          <w:szCs w:val="20"/>
          <w:lang w:eastAsia="ru-RU"/>
        </w:rPr>
        <w:t xml:space="preserve"> году</w:t>
      </w:r>
      <w:r w:rsidR="000911A1" w:rsidRPr="00306B67">
        <w:rPr>
          <w:rFonts w:ascii="Times New Roman" w:eastAsia="Times New Roman" w:hAnsi="Times New Roman" w:cs="Times New Roman"/>
          <w:sz w:val="24"/>
          <w:szCs w:val="20"/>
          <w:lang w:eastAsia="ru-RU"/>
        </w:rPr>
        <w:t>.</w:t>
      </w:r>
    </w:p>
    <w:p w:rsidR="00306B67" w:rsidRPr="00306B67" w:rsidRDefault="00F5015C" w:rsidP="00C003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06B67">
        <w:rPr>
          <w:rFonts w:ascii="Times New Roman" w:eastAsia="Times New Roman" w:hAnsi="Times New Roman" w:cs="Times New Roman"/>
          <w:sz w:val="24"/>
          <w:szCs w:val="20"/>
          <w:lang w:eastAsia="ru-RU"/>
        </w:rPr>
        <w:t>По состоянию на 01.01.201</w:t>
      </w:r>
      <w:r w:rsidR="00306B67" w:rsidRPr="00306B67">
        <w:rPr>
          <w:rFonts w:ascii="Times New Roman" w:eastAsia="Times New Roman" w:hAnsi="Times New Roman" w:cs="Times New Roman"/>
          <w:sz w:val="24"/>
          <w:szCs w:val="20"/>
          <w:lang w:eastAsia="ru-RU"/>
        </w:rPr>
        <w:t>6</w:t>
      </w:r>
      <w:r w:rsidRPr="00306B67">
        <w:rPr>
          <w:rFonts w:ascii="Times New Roman" w:eastAsia="Times New Roman" w:hAnsi="Times New Roman" w:cs="Times New Roman"/>
          <w:sz w:val="24"/>
          <w:szCs w:val="20"/>
          <w:lang w:eastAsia="ru-RU"/>
        </w:rPr>
        <w:t xml:space="preserve"> </w:t>
      </w:r>
      <w:r w:rsidRPr="00306B67">
        <w:rPr>
          <w:rFonts w:ascii="Times New Roman" w:eastAsia="Times New Roman" w:hAnsi="Times New Roman" w:cs="Times New Roman"/>
          <w:i/>
          <w:sz w:val="24"/>
          <w:szCs w:val="20"/>
          <w:lang w:eastAsia="ru-RU"/>
        </w:rPr>
        <w:t>товарные запасы в организациях розничной торговли</w:t>
      </w:r>
      <w:r w:rsidRPr="00306B67">
        <w:rPr>
          <w:rFonts w:ascii="Times New Roman" w:eastAsia="Times New Roman" w:hAnsi="Times New Roman" w:cs="Times New Roman"/>
          <w:sz w:val="24"/>
          <w:szCs w:val="20"/>
          <w:lang w:eastAsia="ru-RU"/>
        </w:rPr>
        <w:t xml:space="preserve"> составляли </w:t>
      </w:r>
      <w:r w:rsidR="00306B67" w:rsidRPr="00306B67">
        <w:rPr>
          <w:rFonts w:ascii="Times New Roman" w:eastAsia="Times New Roman" w:hAnsi="Times New Roman" w:cs="Times New Roman"/>
          <w:sz w:val="24"/>
          <w:szCs w:val="20"/>
          <w:lang w:eastAsia="ru-RU"/>
        </w:rPr>
        <w:t>4118,0</w:t>
      </w:r>
      <w:r w:rsidRPr="00306B67">
        <w:rPr>
          <w:rFonts w:ascii="Times New Roman" w:eastAsia="Times New Roman" w:hAnsi="Times New Roman" w:cs="Times New Roman"/>
          <w:sz w:val="24"/>
          <w:szCs w:val="20"/>
          <w:lang w:eastAsia="ru-RU"/>
        </w:rPr>
        <w:t xml:space="preserve"> млн. рублей.</w:t>
      </w:r>
      <w:r w:rsidR="0025602A" w:rsidRPr="00306B67">
        <w:rPr>
          <w:rFonts w:ascii="Times New Roman" w:eastAsia="Times New Roman" w:hAnsi="Times New Roman" w:cs="Times New Roman"/>
          <w:sz w:val="24"/>
          <w:szCs w:val="20"/>
          <w:lang w:eastAsia="ru-RU"/>
        </w:rPr>
        <w:t xml:space="preserve"> Темп роста по отношению к концу 201</w:t>
      </w:r>
      <w:r w:rsidR="00306B67" w:rsidRPr="00306B67">
        <w:rPr>
          <w:rFonts w:ascii="Times New Roman" w:eastAsia="Times New Roman" w:hAnsi="Times New Roman" w:cs="Times New Roman"/>
          <w:sz w:val="24"/>
          <w:szCs w:val="20"/>
          <w:lang w:eastAsia="ru-RU"/>
        </w:rPr>
        <w:t>4</w:t>
      </w:r>
      <w:r w:rsidR="0025602A" w:rsidRPr="00306B67">
        <w:rPr>
          <w:rFonts w:ascii="Times New Roman" w:eastAsia="Times New Roman" w:hAnsi="Times New Roman" w:cs="Times New Roman"/>
          <w:sz w:val="24"/>
          <w:szCs w:val="20"/>
          <w:lang w:eastAsia="ru-RU"/>
        </w:rPr>
        <w:t xml:space="preserve"> года составил </w:t>
      </w:r>
      <w:r w:rsidR="00FC4664" w:rsidRPr="00306B67">
        <w:rPr>
          <w:rFonts w:ascii="Times New Roman" w:eastAsia="Times New Roman" w:hAnsi="Times New Roman" w:cs="Times New Roman"/>
          <w:sz w:val="24"/>
          <w:szCs w:val="20"/>
          <w:lang w:eastAsia="ru-RU"/>
        </w:rPr>
        <w:br/>
      </w:r>
      <w:r w:rsidR="0025602A" w:rsidRPr="007B27E1">
        <w:rPr>
          <w:rFonts w:ascii="Times New Roman" w:eastAsia="Times New Roman" w:hAnsi="Times New Roman" w:cs="Times New Roman"/>
          <w:sz w:val="24"/>
          <w:szCs w:val="20"/>
          <w:lang w:eastAsia="ru-RU"/>
        </w:rPr>
        <w:t>12</w:t>
      </w:r>
      <w:r w:rsidR="00CE4C92" w:rsidRPr="007B27E1">
        <w:rPr>
          <w:rFonts w:ascii="Times New Roman" w:eastAsia="Times New Roman" w:hAnsi="Times New Roman" w:cs="Times New Roman"/>
          <w:sz w:val="24"/>
          <w:szCs w:val="20"/>
          <w:lang w:eastAsia="ru-RU"/>
        </w:rPr>
        <w:t>2</w:t>
      </w:r>
      <w:r w:rsidR="0025602A" w:rsidRPr="007B27E1">
        <w:rPr>
          <w:rFonts w:ascii="Times New Roman" w:eastAsia="Times New Roman" w:hAnsi="Times New Roman" w:cs="Times New Roman"/>
          <w:sz w:val="24"/>
          <w:szCs w:val="20"/>
          <w:lang w:eastAsia="ru-RU"/>
        </w:rPr>
        <w:t>,</w:t>
      </w:r>
      <w:r w:rsidR="00CE4C92" w:rsidRPr="007B27E1">
        <w:rPr>
          <w:rFonts w:ascii="Times New Roman" w:eastAsia="Times New Roman" w:hAnsi="Times New Roman" w:cs="Times New Roman"/>
          <w:sz w:val="24"/>
          <w:szCs w:val="20"/>
          <w:lang w:eastAsia="ru-RU"/>
        </w:rPr>
        <w:t>9</w:t>
      </w:r>
      <w:r w:rsidR="001B3FC8" w:rsidRPr="007B27E1">
        <w:rPr>
          <w:rFonts w:ascii="Times New Roman" w:eastAsia="Times New Roman" w:hAnsi="Times New Roman" w:cs="Times New Roman"/>
          <w:sz w:val="24"/>
          <w:szCs w:val="20"/>
          <w:lang w:eastAsia="ru-RU"/>
        </w:rPr>
        <w:t xml:space="preserve"> процента</w:t>
      </w:r>
      <w:r w:rsidR="001B3FC8">
        <w:rPr>
          <w:rFonts w:ascii="Times New Roman" w:eastAsia="Times New Roman" w:hAnsi="Times New Roman" w:cs="Times New Roman"/>
          <w:sz w:val="24"/>
          <w:szCs w:val="20"/>
          <w:lang w:eastAsia="ru-RU"/>
        </w:rPr>
        <w:t>.</w:t>
      </w:r>
    </w:p>
    <w:p w:rsidR="007E4488" w:rsidRPr="00306B67" w:rsidRDefault="007E4488" w:rsidP="00C00332">
      <w:pPr>
        <w:widowControl w:val="0"/>
        <w:autoSpaceDE w:val="0"/>
        <w:autoSpaceDN w:val="0"/>
        <w:adjustRightInd w:val="0"/>
        <w:spacing w:after="0" w:line="240" w:lineRule="auto"/>
        <w:ind w:firstLine="709"/>
        <w:jc w:val="both"/>
      </w:pPr>
      <w:r w:rsidRPr="00306B67">
        <w:rPr>
          <w:rFonts w:ascii="Times New Roman" w:eastAsia="Times New Roman" w:hAnsi="Times New Roman" w:cs="Times New Roman"/>
          <w:i/>
          <w:sz w:val="24"/>
          <w:szCs w:val="20"/>
          <w:lang w:eastAsia="ru-RU"/>
        </w:rPr>
        <w:t>Оборот общественного питания</w:t>
      </w:r>
      <w:r w:rsidRPr="00306B67">
        <w:rPr>
          <w:rFonts w:ascii="Times New Roman" w:eastAsia="Times New Roman" w:hAnsi="Times New Roman" w:cs="Times New Roman"/>
          <w:sz w:val="24"/>
          <w:szCs w:val="20"/>
          <w:lang w:eastAsia="ru-RU"/>
        </w:rPr>
        <w:t xml:space="preserve"> за 201</w:t>
      </w:r>
      <w:r w:rsidR="00CE4C92" w:rsidRPr="00306B67">
        <w:rPr>
          <w:rFonts w:ascii="Times New Roman" w:eastAsia="Times New Roman" w:hAnsi="Times New Roman" w:cs="Times New Roman"/>
          <w:sz w:val="24"/>
          <w:szCs w:val="20"/>
          <w:lang w:eastAsia="ru-RU"/>
        </w:rPr>
        <w:t>4</w:t>
      </w:r>
      <w:r w:rsidRPr="00306B67">
        <w:rPr>
          <w:rFonts w:ascii="Times New Roman" w:eastAsia="Times New Roman" w:hAnsi="Times New Roman" w:cs="Times New Roman"/>
          <w:sz w:val="24"/>
          <w:szCs w:val="20"/>
          <w:lang w:eastAsia="ru-RU"/>
        </w:rPr>
        <w:t xml:space="preserve"> год составил </w:t>
      </w:r>
      <w:r w:rsidR="00306B67" w:rsidRPr="00306B67">
        <w:rPr>
          <w:rFonts w:ascii="Times New Roman" w:eastAsia="Times New Roman" w:hAnsi="Times New Roman" w:cs="Times New Roman"/>
          <w:sz w:val="24"/>
          <w:szCs w:val="20"/>
          <w:lang w:eastAsia="ru-RU"/>
        </w:rPr>
        <w:t>5,9</w:t>
      </w:r>
      <w:r w:rsidRPr="00306B67">
        <w:rPr>
          <w:rFonts w:ascii="Times New Roman" w:eastAsia="Times New Roman" w:hAnsi="Times New Roman" w:cs="Times New Roman"/>
          <w:sz w:val="24"/>
          <w:szCs w:val="20"/>
          <w:lang w:eastAsia="ru-RU"/>
        </w:rPr>
        <w:t xml:space="preserve"> млрд. рублей и на </w:t>
      </w:r>
      <w:r w:rsidR="00306B67" w:rsidRPr="00306B67">
        <w:rPr>
          <w:rFonts w:ascii="Times New Roman" w:eastAsia="Times New Roman" w:hAnsi="Times New Roman" w:cs="Times New Roman"/>
          <w:sz w:val="24"/>
          <w:szCs w:val="20"/>
          <w:lang w:eastAsia="ru-RU"/>
        </w:rPr>
        <w:t>4,2</w:t>
      </w:r>
      <w:r w:rsidRPr="00306B67">
        <w:rPr>
          <w:rFonts w:ascii="Times New Roman" w:eastAsia="Times New Roman" w:hAnsi="Times New Roman" w:cs="Times New Roman"/>
          <w:sz w:val="24"/>
          <w:szCs w:val="20"/>
          <w:lang w:eastAsia="ru-RU"/>
        </w:rPr>
        <w:t xml:space="preserve"> процента превысил уровень 201</w:t>
      </w:r>
      <w:r w:rsidR="00CE4C92" w:rsidRPr="00306B67">
        <w:rPr>
          <w:rFonts w:ascii="Times New Roman" w:eastAsia="Times New Roman" w:hAnsi="Times New Roman" w:cs="Times New Roman"/>
          <w:sz w:val="24"/>
          <w:szCs w:val="20"/>
          <w:lang w:eastAsia="ru-RU"/>
        </w:rPr>
        <w:t>3</w:t>
      </w:r>
      <w:r w:rsidRPr="00306B67">
        <w:rPr>
          <w:rFonts w:ascii="Times New Roman" w:eastAsia="Times New Roman" w:hAnsi="Times New Roman" w:cs="Times New Roman"/>
          <w:sz w:val="24"/>
          <w:szCs w:val="20"/>
          <w:lang w:eastAsia="ru-RU"/>
        </w:rPr>
        <w:t xml:space="preserve"> года</w:t>
      </w:r>
      <w:r w:rsidR="00CE4C92" w:rsidRPr="00306B67">
        <w:rPr>
          <w:rFonts w:ascii="Times New Roman" w:eastAsia="Times New Roman" w:hAnsi="Times New Roman" w:cs="Times New Roman"/>
          <w:sz w:val="24"/>
          <w:szCs w:val="20"/>
          <w:lang w:eastAsia="ru-RU"/>
        </w:rPr>
        <w:t xml:space="preserve"> (в сопоставимых ценах</w:t>
      </w:r>
      <w:r w:rsidR="00306B67" w:rsidRPr="00306B67">
        <w:rPr>
          <w:rFonts w:ascii="Times New Roman" w:eastAsia="Times New Roman" w:hAnsi="Times New Roman" w:cs="Times New Roman"/>
          <w:sz w:val="24"/>
          <w:szCs w:val="20"/>
          <w:lang w:eastAsia="ru-RU"/>
        </w:rPr>
        <w:t xml:space="preserve"> - снижение</w:t>
      </w:r>
      <w:r w:rsidR="00CE4C92" w:rsidRPr="00306B67">
        <w:rPr>
          <w:rFonts w:ascii="Times New Roman" w:eastAsia="Times New Roman" w:hAnsi="Times New Roman" w:cs="Times New Roman"/>
          <w:sz w:val="24"/>
          <w:szCs w:val="20"/>
          <w:lang w:eastAsia="ru-RU"/>
        </w:rPr>
        <w:t xml:space="preserve"> на </w:t>
      </w:r>
      <w:r w:rsidR="00306B67" w:rsidRPr="00306B67">
        <w:rPr>
          <w:rFonts w:ascii="Times New Roman" w:eastAsia="Times New Roman" w:hAnsi="Times New Roman" w:cs="Times New Roman"/>
          <w:sz w:val="24"/>
          <w:szCs w:val="20"/>
          <w:lang w:eastAsia="ru-RU"/>
        </w:rPr>
        <w:t>4</w:t>
      </w:r>
      <w:r w:rsidR="00CE4C92" w:rsidRPr="00306B67">
        <w:rPr>
          <w:rFonts w:ascii="Times New Roman" w:eastAsia="Times New Roman" w:hAnsi="Times New Roman" w:cs="Times New Roman"/>
          <w:sz w:val="24"/>
          <w:szCs w:val="20"/>
          <w:lang w:eastAsia="ru-RU"/>
        </w:rPr>
        <w:t>,0 процент</w:t>
      </w:r>
      <w:r w:rsidR="00306B67" w:rsidRPr="00306B67">
        <w:rPr>
          <w:rFonts w:ascii="Times New Roman" w:eastAsia="Times New Roman" w:hAnsi="Times New Roman" w:cs="Times New Roman"/>
          <w:sz w:val="24"/>
          <w:szCs w:val="20"/>
          <w:lang w:eastAsia="ru-RU"/>
        </w:rPr>
        <w:t>а</w:t>
      </w:r>
      <w:r w:rsidR="00CE4C92" w:rsidRPr="00306B67">
        <w:rPr>
          <w:rFonts w:ascii="Times New Roman" w:eastAsia="Times New Roman" w:hAnsi="Times New Roman" w:cs="Times New Roman"/>
          <w:sz w:val="24"/>
          <w:szCs w:val="20"/>
          <w:lang w:eastAsia="ru-RU"/>
        </w:rPr>
        <w:t>)</w:t>
      </w:r>
      <w:r w:rsidRPr="00306B67">
        <w:rPr>
          <w:rFonts w:ascii="Times New Roman" w:eastAsia="Times New Roman" w:hAnsi="Times New Roman" w:cs="Times New Roman"/>
          <w:sz w:val="24"/>
          <w:szCs w:val="20"/>
          <w:lang w:eastAsia="ru-RU"/>
        </w:rPr>
        <w:t>.</w:t>
      </w:r>
    </w:p>
    <w:p w:rsidR="007E4488" w:rsidRPr="00306B67" w:rsidRDefault="007E4488" w:rsidP="00C00332">
      <w:pPr>
        <w:widowControl w:val="0"/>
        <w:autoSpaceDE w:val="0"/>
        <w:autoSpaceDN w:val="0"/>
        <w:adjustRightInd w:val="0"/>
        <w:spacing w:after="0" w:line="240" w:lineRule="auto"/>
        <w:ind w:firstLine="709"/>
        <w:jc w:val="both"/>
      </w:pPr>
      <w:r w:rsidRPr="00306B67">
        <w:rPr>
          <w:rFonts w:ascii="Times New Roman" w:eastAsia="Times New Roman" w:hAnsi="Times New Roman" w:cs="Times New Roman"/>
          <w:sz w:val="24"/>
          <w:szCs w:val="20"/>
          <w:lang w:eastAsia="ru-RU"/>
        </w:rPr>
        <w:t>В 201</w:t>
      </w:r>
      <w:r w:rsidR="00306B67" w:rsidRPr="00306B67">
        <w:rPr>
          <w:rFonts w:ascii="Times New Roman" w:eastAsia="Times New Roman" w:hAnsi="Times New Roman" w:cs="Times New Roman"/>
          <w:sz w:val="24"/>
          <w:szCs w:val="20"/>
          <w:lang w:eastAsia="ru-RU"/>
        </w:rPr>
        <w:t>5</w:t>
      </w:r>
      <w:r w:rsidRPr="00306B67">
        <w:rPr>
          <w:rFonts w:ascii="Times New Roman" w:eastAsia="Times New Roman" w:hAnsi="Times New Roman" w:cs="Times New Roman"/>
          <w:sz w:val="24"/>
          <w:szCs w:val="20"/>
          <w:lang w:eastAsia="ru-RU"/>
        </w:rPr>
        <w:t xml:space="preserve"> году населению области </w:t>
      </w:r>
      <w:r w:rsidRPr="00306B67">
        <w:rPr>
          <w:rFonts w:ascii="Times New Roman" w:eastAsia="Times New Roman" w:hAnsi="Times New Roman" w:cs="Times New Roman"/>
          <w:i/>
          <w:sz w:val="24"/>
          <w:szCs w:val="20"/>
          <w:lang w:eastAsia="ru-RU"/>
        </w:rPr>
        <w:t>оказано платных услуг</w:t>
      </w:r>
      <w:r w:rsidRPr="00306B67">
        <w:rPr>
          <w:rFonts w:ascii="Times New Roman" w:eastAsia="Times New Roman" w:hAnsi="Times New Roman" w:cs="Times New Roman"/>
          <w:sz w:val="24"/>
          <w:szCs w:val="20"/>
          <w:lang w:eastAsia="ru-RU"/>
        </w:rPr>
        <w:t xml:space="preserve"> на сумму </w:t>
      </w:r>
      <w:r w:rsidR="00CE4C92" w:rsidRPr="00306B67">
        <w:rPr>
          <w:rFonts w:ascii="Times New Roman" w:eastAsia="Times New Roman" w:hAnsi="Times New Roman" w:cs="Times New Roman"/>
          <w:sz w:val="24"/>
          <w:szCs w:val="20"/>
          <w:lang w:eastAsia="ru-RU"/>
        </w:rPr>
        <w:t>4</w:t>
      </w:r>
      <w:r w:rsidR="00306B67" w:rsidRPr="00306B67">
        <w:rPr>
          <w:rFonts w:ascii="Times New Roman" w:eastAsia="Times New Roman" w:hAnsi="Times New Roman" w:cs="Times New Roman"/>
          <w:sz w:val="24"/>
          <w:szCs w:val="20"/>
          <w:lang w:eastAsia="ru-RU"/>
        </w:rPr>
        <w:t>4,3</w:t>
      </w:r>
      <w:r w:rsidRPr="00306B67">
        <w:rPr>
          <w:rFonts w:ascii="Times New Roman" w:eastAsia="Times New Roman" w:hAnsi="Times New Roman" w:cs="Times New Roman"/>
          <w:sz w:val="24"/>
          <w:szCs w:val="20"/>
          <w:lang w:eastAsia="ru-RU"/>
        </w:rPr>
        <w:t xml:space="preserve"> мл</w:t>
      </w:r>
      <w:r w:rsidR="00966B78" w:rsidRPr="00306B67">
        <w:rPr>
          <w:rFonts w:ascii="Times New Roman" w:eastAsia="Times New Roman" w:hAnsi="Times New Roman" w:cs="Times New Roman"/>
          <w:sz w:val="24"/>
          <w:szCs w:val="20"/>
          <w:lang w:eastAsia="ru-RU"/>
        </w:rPr>
        <w:t>рд</w:t>
      </w:r>
      <w:r w:rsidRPr="00306B67">
        <w:rPr>
          <w:rFonts w:ascii="Times New Roman" w:eastAsia="Times New Roman" w:hAnsi="Times New Roman" w:cs="Times New Roman"/>
          <w:sz w:val="24"/>
          <w:szCs w:val="20"/>
          <w:lang w:eastAsia="ru-RU"/>
        </w:rPr>
        <w:t xml:space="preserve">. рублей, или </w:t>
      </w:r>
      <w:r w:rsidR="00306B67" w:rsidRPr="00306B67">
        <w:rPr>
          <w:rFonts w:ascii="Times New Roman" w:eastAsia="Times New Roman" w:hAnsi="Times New Roman" w:cs="Times New Roman"/>
          <w:sz w:val="24"/>
          <w:szCs w:val="20"/>
          <w:lang w:eastAsia="ru-RU"/>
        </w:rPr>
        <w:t>115</w:t>
      </w:r>
      <w:r w:rsidR="00CE4C92" w:rsidRPr="00306B67">
        <w:rPr>
          <w:rFonts w:ascii="Times New Roman" w:eastAsia="Times New Roman" w:hAnsi="Times New Roman" w:cs="Times New Roman"/>
          <w:sz w:val="24"/>
          <w:szCs w:val="20"/>
          <w:lang w:eastAsia="ru-RU"/>
        </w:rPr>
        <w:t>,</w:t>
      </w:r>
      <w:r w:rsidR="00306B67" w:rsidRPr="00306B67">
        <w:rPr>
          <w:rFonts w:ascii="Times New Roman" w:eastAsia="Times New Roman" w:hAnsi="Times New Roman" w:cs="Times New Roman"/>
          <w:sz w:val="24"/>
          <w:szCs w:val="20"/>
          <w:lang w:eastAsia="ru-RU"/>
        </w:rPr>
        <w:t>1</w:t>
      </w:r>
      <w:r w:rsidRPr="00306B67">
        <w:rPr>
          <w:rFonts w:ascii="Times New Roman" w:eastAsia="Times New Roman" w:hAnsi="Times New Roman" w:cs="Times New Roman"/>
          <w:sz w:val="24"/>
          <w:szCs w:val="20"/>
          <w:lang w:eastAsia="ru-RU"/>
        </w:rPr>
        <w:t xml:space="preserve"> процента к уровню 201</w:t>
      </w:r>
      <w:r w:rsidR="00306B67" w:rsidRPr="00306B67">
        <w:rPr>
          <w:rFonts w:ascii="Times New Roman" w:eastAsia="Times New Roman" w:hAnsi="Times New Roman" w:cs="Times New Roman"/>
          <w:sz w:val="24"/>
          <w:szCs w:val="20"/>
          <w:lang w:eastAsia="ru-RU"/>
        </w:rPr>
        <w:t>4</w:t>
      </w:r>
      <w:r w:rsidRPr="00306B67">
        <w:rPr>
          <w:rFonts w:ascii="Times New Roman" w:eastAsia="Times New Roman" w:hAnsi="Times New Roman" w:cs="Times New Roman"/>
          <w:sz w:val="24"/>
          <w:szCs w:val="20"/>
          <w:lang w:eastAsia="ru-RU"/>
        </w:rPr>
        <w:t xml:space="preserve"> года</w:t>
      </w:r>
      <w:r w:rsidR="00CE4C92" w:rsidRPr="00306B67">
        <w:rPr>
          <w:rFonts w:ascii="Times New Roman" w:eastAsia="Times New Roman" w:hAnsi="Times New Roman" w:cs="Times New Roman"/>
          <w:sz w:val="24"/>
          <w:szCs w:val="20"/>
          <w:lang w:eastAsia="ru-RU"/>
        </w:rPr>
        <w:t xml:space="preserve"> (</w:t>
      </w:r>
      <w:r w:rsidR="00306B67" w:rsidRPr="00306B67">
        <w:rPr>
          <w:rFonts w:ascii="Times New Roman" w:eastAsia="Times New Roman" w:hAnsi="Times New Roman" w:cs="Times New Roman"/>
          <w:sz w:val="24"/>
          <w:szCs w:val="20"/>
          <w:lang w:eastAsia="ru-RU"/>
        </w:rPr>
        <w:t>98,0 процентов</w:t>
      </w:r>
      <w:r w:rsidR="00CE4C92" w:rsidRPr="00306B67">
        <w:rPr>
          <w:rFonts w:ascii="Times New Roman" w:eastAsia="Times New Roman" w:hAnsi="Times New Roman" w:cs="Times New Roman"/>
          <w:sz w:val="24"/>
          <w:szCs w:val="20"/>
          <w:lang w:eastAsia="ru-RU"/>
        </w:rPr>
        <w:t xml:space="preserve"> в сопоставимых ценах)</w:t>
      </w:r>
      <w:r w:rsidRPr="00306B67">
        <w:rPr>
          <w:rFonts w:ascii="Times New Roman" w:eastAsia="Times New Roman" w:hAnsi="Times New Roman" w:cs="Times New Roman"/>
          <w:sz w:val="24"/>
          <w:szCs w:val="20"/>
          <w:lang w:eastAsia="ru-RU"/>
        </w:rPr>
        <w:t>.</w:t>
      </w:r>
    </w:p>
    <w:p w:rsidR="00235F5B" w:rsidRPr="00306B67" w:rsidRDefault="00396CEE" w:rsidP="00235F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B67">
        <w:rPr>
          <w:rFonts w:ascii="Times New Roman" w:eastAsia="Times New Roman" w:hAnsi="Times New Roman" w:cs="Times New Roman"/>
          <w:sz w:val="24"/>
          <w:szCs w:val="24"/>
          <w:lang w:eastAsia="ru-RU"/>
        </w:rPr>
        <w:t>Данные об индексах цен приведены на рисунке 1</w:t>
      </w:r>
      <w:r w:rsidR="00A21CFE" w:rsidRPr="00306B67">
        <w:rPr>
          <w:rFonts w:ascii="Times New Roman" w:eastAsia="Times New Roman" w:hAnsi="Times New Roman" w:cs="Times New Roman"/>
          <w:sz w:val="24"/>
          <w:szCs w:val="24"/>
          <w:lang w:eastAsia="ru-RU"/>
        </w:rPr>
        <w:t>2</w:t>
      </w:r>
      <w:r w:rsidRPr="00306B67">
        <w:rPr>
          <w:rFonts w:ascii="Times New Roman" w:eastAsia="Times New Roman" w:hAnsi="Times New Roman" w:cs="Times New Roman"/>
          <w:sz w:val="24"/>
          <w:szCs w:val="24"/>
          <w:lang w:eastAsia="ru-RU"/>
        </w:rPr>
        <w:t>.</w:t>
      </w:r>
    </w:p>
    <w:p w:rsidR="00235F5B" w:rsidRPr="001B3FC8" w:rsidRDefault="00235F5B" w:rsidP="00235F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574F">
        <w:rPr>
          <w:noProof/>
          <w:color w:val="FF0000"/>
          <w:lang w:eastAsia="ru-RU"/>
        </w:rPr>
        <w:drawing>
          <wp:inline distT="0" distB="0" distL="0" distR="0" wp14:anchorId="7718A2BC" wp14:editId="0728103E">
            <wp:extent cx="5781675" cy="253365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D6BA4" w:rsidRPr="00306B67" w:rsidRDefault="00235F5B" w:rsidP="00CD6B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6B67">
        <w:rPr>
          <w:rFonts w:ascii="Times New Roman" w:eastAsia="Times New Roman" w:hAnsi="Times New Roman" w:cs="Times New Roman"/>
          <w:b/>
          <w:sz w:val="24"/>
          <w:szCs w:val="24"/>
          <w:lang w:eastAsia="ru-RU"/>
        </w:rPr>
        <w:t xml:space="preserve">Рис. </w:t>
      </w:r>
      <w:r w:rsidR="00396CEE" w:rsidRPr="00306B67">
        <w:rPr>
          <w:rFonts w:ascii="Times New Roman" w:eastAsia="Times New Roman" w:hAnsi="Times New Roman" w:cs="Times New Roman"/>
          <w:b/>
          <w:sz w:val="24"/>
          <w:szCs w:val="24"/>
          <w:lang w:eastAsia="ru-RU"/>
        </w:rPr>
        <w:t>1</w:t>
      </w:r>
      <w:r w:rsidR="00A21CFE" w:rsidRPr="00306B67">
        <w:rPr>
          <w:rFonts w:ascii="Times New Roman" w:eastAsia="Times New Roman" w:hAnsi="Times New Roman" w:cs="Times New Roman"/>
          <w:b/>
          <w:sz w:val="24"/>
          <w:szCs w:val="24"/>
          <w:lang w:eastAsia="ru-RU"/>
        </w:rPr>
        <w:t>2</w:t>
      </w:r>
      <w:r w:rsidRPr="00306B67">
        <w:rPr>
          <w:rFonts w:ascii="Times New Roman" w:eastAsia="Times New Roman" w:hAnsi="Times New Roman" w:cs="Times New Roman"/>
          <w:b/>
          <w:sz w:val="24"/>
          <w:szCs w:val="24"/>
          <w:lang w:eastAsia="ru-RU"/>
        </w:rPr>
        <w:t xml:space="preserve"> – Индекс цен и тарифов в декабре 201</w:t>
      </w:r>
      <w:r w:rsidR="00306B67" w:rsidRPr="00306B67">
        <w:rPr>
          <w:rFonts w:ascii="Times New Roman" w:eastAsia="Times New Roman" w:hAnsi="Times New Roman" w:cs="Times New Roman"/>
          <w:b/>
          <w:sz w:val="24"/>
          <w:szCs w:val="24"/>
          <w:lang w:eastAsia="ru-RU"/>
        </w:rPr>
        <w:t>4</w:t>
      </w:r>
      <w:r w:rsidRPr="00306B67">
        <w:rPr>
          <w:rFonts w:ascii="Times New Roman" w:eastAsia="Times New Roman" w:hAnsi="Times New Roman" w:cs="Times New Roman"/>
          <w:b/>
          <w:sz w:val="24"/>
          <w:szCs w:val="24"/>
          <w:lang w:eastAsia="ru-RU"/>
        </w:rPr>
        <w:t xml:space="preserve"> и 201</w:t>
      </w:r>
      <w:r w:rsidR="00306B67" w:rsidRPr="00306B67">
        <w:rPr>
          <w:rFonts w:ascii="Times New Roman" w:eastAsia="Times New Roman" w:hAnsi="Times New Roman" w:cs="Times New Roman"/>
          <w:b/>
          <w:sz w:val="24"/>
          <w:szCs w:val="24"/>
          <w:lang w:eastAsia="ru-RU"/>
        </w:rPr>
        <w:t>5</w:t>
      </w:r>
      <w:r w:rsidRPr="00306B67">
        <w:rPr>
          <w:rFonts w:ascii="Times New Roman" w:eastAsia="Times New Roman" w:hAnsi="Times New Roman" w:cs="Times New Roman"/>
          <w:b/>
          <w:sz w:val="24"/>
          <w:szCs w:val="24"/>
          <w:lang w:eastAsia="ru-RU"/>
        </w:rPr>
        <w:t xml:space="preserve"> годов, </w:t>
      </w:r>
      <w:r w:rsidR="00396CEE" w:rsidRPr="00306B67">
        <w:rPr>
          <w:rFonts w:ascii="Times New Roman" w:eastAsia="Times New Roman" w:hAnsi="Times New Roman" w:cs="Times New Roman"/>
          <w:b/>
          <w:sz w:val="24"/>
          <w:szCs w:val="24"/>
          <w:lang w:eastAsia="ru-RU"/>
        </w:rPr>
        <w:br/>
      </w:r>
      <w:r w:rsidRPr="00306B67">
        <w:rPr>
          <w:rFonts w:ascii="Times New Roman" w:eastAsia="Times New Roman" w:hAnsi="Times New Roman" w:cs="Times New Roman"/>
          <w:b/>
          <w:sz w:val="24"/>
          <w:szCs w:val="24"/>
          <w:lang w:eastAsia="ru-RU"/>
        </w:rPr>
        <w:t>в процентах к декабрю</w:t>
      </w:r>
      <w:r w:rsidR="00CD6BA4" w:rsidRPr="00306B67">
        <w:rPr>
          <w:rFonts w:ascii="Times New Roman" w:eastAsia="Times New Roman" w:hAnsi="Times New Roman" w:cs="Times New Roman"/>
          <w:b/>
          <w:sz w:val="24"/>
          <w:szCs w:val="24"/>
          <w:lang w:eastAsia="ru-RU"/>
        </w:rPr>
        <w:t xml:space="preserve"> предыдущего года</w:t>
      </w:r>
    </w:p>
    <w:p w:rsidR="00CD6BA4" w:rsidRPr="00306B67" w:rsidRDefault="00CD6BA4" w:rsidP="00CD6B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4635D" w:rsidRDefault="0074635D" w:rsidP="001806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18060B" w:rsidRPr="0018060B" w:rsidRDefault="0018060B" w:rsidP="001806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18060B">
        <w:rPr>
          <w:rFonts w:ascii="Times New Roman" w:eastAsia="Times New Roman" w:hAnsi="Times New Roman" w:cs="Times New Roman"/>
          <w:sz w:val="24"/>
          <w:szCs w:val="20"/>
          <w:lang w:eastAsia="ru-RU"/>
        </w:rPr>
        <w:lastRenderedPageBreak/>
        <w:t>В 2015 году прирост цен производителей промышленных товаров опережал прирост потребительских цен на 3,0 процентн</w:t>
      </w:r>
      <w:r w:rsidR="00601BD5">
        <w:rPr>
          <w:rFonts w:ascii="Times New Roman" w:eastAsia="Times New Roman" w:hAnsi="Times New Roman" w:cs="Times New Roman"/>
          <w:sz w:val="24"/>
          <w:szCs w:val="20"/>
          <w:lang w:eastAsia="ru-RU"/>
        </w:rPr>
        <w:t>ых</w:t>
      </w:r>
      <w:r w:rsidRPr="0018060B">
        <w:rPr>
          <w:rFonts w:ascii="Times New Roman" w:eastAsia="Times New Roman" w:hAnsi="Times New Roman" w:cs="Times New Roman"/>
          <w:sz w:val="24"/>
          <w:szCs w:val="20"/>
          <w:lang w:eastAsia="ru-RU"/>
        </w:rPr>
        <w:t xml:space="preserve"> пункта, прирост цен производителей сельскохозяйственной продук</w:t>
      </w:r>
      <w:r w:rsidR="00FA06E1">
        <w:rPr>
          <w:rFonts w:ascii="Times New Roman" w:eastAsia="Times New Roman" w:hAnsi="Times New Roman" w:cs="Times New Roman"/>
          <w:sz w:val="24"/>
          <w:szCs w:val="20"/>
          <w:lang w:eastAsia="ru-RU"/>
        </w:rPr>
        <w:t>ции – на 7,7 процентных пункта.</w:t>
      </w:r>
    </w:p>
    <w:p w:rsidR="00E93B4F" w:rsidRPr="0018060B" w:rsidRDefault="00E93B4F" w:rsidP="001806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18060B">
        <w:rPr>
          <w:rFonts w:ascii="Times New Roman" w:eastAsia="Times New Roman" w:hAnsi="Times New Roman" w:cs="Times New Roman"/>
          <w:sz w:val="24"/>
          <w:szCs w:val="20"/>
          <w:lang w:eastAsia="ru-RU"/>
        </w:rPr>
        <w:t xml:space="preserve">Показатели развития торговли и сферы </w:t>
      </w:r>
      <w:proofErr w:type="gramStart"/>
      <w:r w:rsidRPr="0018060B">
        <w:rPr>
          <w:rFonts w:ascii="Times New Roman" w:eastAsia="Times New Roman" w:hAnsi="Times New Roman" w:cs="Times New Roman"/>
          <w:sz w:val="24"/>
          <w:szCs w:val="20"/>
          <w:lang w:eastAsia="ru-RU"/>
        </w:rPr>
        <w:t>услуг</w:t>
      </w:r>
      <w:proofErr w:type="gramEnd"/>
      <w:r w:rsidRPr="0018060B">
        <w:rPr>
          <w:rFonts w:ascii="Times New Roman" w:eastAsia="Times New Roman" w:hAnsi="Times New Roman" w:cs="Times New Roman"/>
          <w:sz w:val="24"/>
          <w:szCs w:val="20"/>
          <w:lang w:eastAsia="ru-RU"/>
        </w:rPr>
        <w:t xml:space="preserve"> ниже запланированных на 201</w:t>
      </w:r>
      <w:r w:rsidR="00025C3D">
        <w:rPr>
          <w:rFonts w:ascii="Times New Roman" w:eastAsia="Times New Roman" w:hAnsi="Times New Roman" w:cs="Times New Roman"/>
          <w:sz w:val="24"/>
          <w:szCs w:val="20"/>
          <w:lang w:eastAsia="ru-RU"/>
        </w:rPr>
        <w:t>5</w:t>
      </w:r>
      <w:r w:rsidRPr="0018060B">
        <w:rPr>
          <w:rFonts w:ascii="Times New Roman" w:eastAsia="Times New Roman" w:hAnsi="Times New Roman" w:cs="Times New Roman"/>
          <w:sz w:val="24"/>
          <w:szCs w:val="20"/>
          <w:lang w:eastAsia="ru-RU"/>
        </w:rPr>
        <w:t xml:space="preserve"> год программой социально-экономического развития Амурской области на 2013-2017 годы, утвержденной Законом Амурской области от 13.11.2013 № 277-ОЗ: оборот розничной торговли – на </w:t>
      </w:r>
      <w:r w:rsidR="0018060B" w:rsidRPr="0018060B">
        <w:rPr>
          <w:rFonts w:ascii="Times New Roman" w:eastAsia="Times New Roman" w:hAnsi="Times New Roman" w:cs="Times New Roman"/>
          <w:sz w:val="24"/>
          <w:szCs w:val="20"/>
          <w:lang w:eastAsia="ru-RU"/>
        </w:rPr>
        <w:t>15,7</w:t>
      </w:r>
      <w:r w:rsidRPr="0018060B">
        <w:rPr>
          <w:rFonts w:ascii="Times New Roman" w:eastAsia="Times New Roman" w:hAnsi="Times New Roman" w:cs="Times New Roman"/>
          <w:sz w:val="24"/>
          <w:szCs w:val="20"/>
          <w:lang w:eastAsia="ru-RU"/>
        </w:rPr>
        <w:t xml:space="preserve"> млрд. рублей, или </w:t>
      </w:r>
      <w:r w:rsidR="0018060B" w:rsidRPr="0018060B">
        <w:rPr>
          <w:rFonts w:ascii="Times New Roman" w:eastAsia="Times New Roman" w:hAnsi="Times New Roman" w:cs="Times New Roman"/>
          <w:sz w:val="24"/>
          <w:szCs w:val="20"/>
          <w:lang w:eastAsia="ru-RU"/>
        </w:rPr>
        <w:t>9,6</w:t>
      </w:r>
      <w:r w:rsidRPr="0018060B">
        <w:rPr>
          <w:rFonts w:ascii="Times New Roman" w:eastAsia="Times New Roman" w:hAnsi="Times New Roman" w:cs="Times New Roman"/>
          <w:sz w:val="24"/>
          <w:szCs w:val="20"/>
          <w:lang w:eastAsia="ru-RU"/>
        </w:rPr>
        <w:t xml:space="preserve"> процента; объем плат</w:t>
      </w:r>
      <w:r w:rsidR="0018060B" w:rsidRPr="0018060B">
        <w:rPr>
          <w:rFonts w:ascii="Times New Roman" w:eastAsia="Times New Roman" w:hAnsi="Times New Roman" w:cs="Times New Roman"/>
          <w:sz w:val="24"/>
          <w:szCs w:val="20"/>
          <w:lang w:eastAsia="ru-RU"/>
        </w:rPr>
        <w:t xml:space="preserve">ных услуг населению – </w:t>
      </w:r>
      <w:r w:rsidR="0074635D">
        <w:rPr>
          <w:rFonts w:ascii="Times New Roman" w:eastAsia="Times New Roman" w:hAnsi="Times New Roman" w:cs="Times New Roman"/>
          <w:sz w:val="24"/>
          <w:szCs w:val="20"/>
          <w:lang w:eastAsia="ru-RU"/>
        </w:rPr>
        <w:br/>
      </w:r>
      <w:r w:rsidR="0018060B" w:rsidRPr="0018060B">
        <w:rPr>
          <w:rFonts w:ascii="Times New Roman" w:eastAsia="Times New Roman" w:hAnsi="Times New Roman" w:cs="Times New Roman"/>
          <w:sz w:val="24"/>
          <w:szCs w:val="20"/>
          <w:lang w:eastAsia="ru-RU"/>
        </w:rPr>
        <w:t>на 9,7</w:t>
      </w:r>
      <w:r w:rsidRPr="0018060B">
        <w:rPr>
          <w:rFonts w:ascii="Times New Roman" w:eastAsia="Times New Roman" w:hAnsi="Times New Roman" w:cs="Times New Roman"/>
          <w:sz w:val="24"/>
          <w:szCs w:val="20"/>
          <w:lang w:eastAsia="ru-RU"/>
        </w:rPr>
        <w:t xml:space="preserve"> млрд. рублей, или </w:t>
      </w:r>
      <w:r w:rsidR="0018060B" w:rsidRPr="0018060B">
        <w:rPr>
          <w:rFonts w:ascii="Times New Roman" w:eastAsia="Times New Roman" w:hAnsi="Times New Roman" w:cs="Times New Roman"/>
          <w:sz w:val="24"/>
          <w:szCs w:val="20"/>
          <w:lang w:eastAsia="ru-RU"/>
        </w:rPr>
        <w:t>18,0 процентов</w:t>
      </w:r>
      <w:r w:rsidRPr="0018060B">
        <w:rPr>
          <w:rFonts w:ascii="Times New Roman" w:eastAsia="Times New Roman" w:hAnsi="Times New Roman" w:cs="Times New Roman"/>
          <w:sz w:val="24"/>
          <w:szCs w:val="20"/>
          <w:lang w:eastAsia="ru-RU"/>
        </w:rPr>
        <w:t>.</w:t>
      </w:r>
    </w:p>
    <w:p w:rsidR="0009126C" w:rsidRPr="0018060B" w:rsidRDefault="0009126C" w:rsidP="000912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18060B">
        <w:rPr>
          <w:rFonts w:ascii="Times New Roman" w:eastAsia="Times New Roman" w:hAnsi="Times New Roman" w:cs="Times New Roman"/>
          <w:i/>
          <w:sz w:val="24"/>
          <w:szCs w:val="20"/>
          <w:lang w:eastAsia="ru-RU"/>
        </w:rPr>
        <w:t>Индекс потребительских цен на товары и услуги</w:t>
      </w:r>
      <w:r w:rsidRPr="0018060B">
        <w:rPr>
          <w:rFonts w:ascii="Times New Roman" w:eastAsia="Times New Roman" w:hAnsi="Times New Roman" w:cs="Times New Roman"/>
          <w:sz w:val="24"/>
          <w:szCs w:val="20"/>
          <w:lang w:eastAsia="ru-RU"/>
        </w:rPr>
        <w:t xml:space="preserve"> за 201</w:t>
      </w:r>
      <w:r w:rsidR="0018060B" w:rsidRPr="0018060B">
        <w:rPr>
          <w:rFonts w:ascii="Times New Roman" w:eastAsia="Times New Roman" w:hAnsi="Times New Roman" w:cs="Times New Roman"/>
          <w:sz w:val="24"/>
          <w:szCs w:val="20"/>
          <w:lang w:eastAsia="ru-RU"/>
        </w:rPr>
        <w:t xml:space="preserve">5 </w:t>
      </w:r>
      <w:r w:rsidRPr="0018060B">
        <w:rPr>
          <w:rFonts w:ascii="Times New Roman" w:eastAsia="Times New Roman" w:hAnsi="Times New Roman" w:cs="Times New Roman"/>
          <w:sz w:val="24"/>
          <w:szCs w:val="20"/>
          <w:lang w:eastAsia="ru-RU"/>
        </w:rPr>
        <w:t>год составил 11</w:t>
      </w:r>
      <w:r w:rsidR="0018060B" w:rsidRPr="0018060B">
        <w:rPr>
          <w:rFonts w:ascii="Times New Roman" w:eastAsia="Times New Roman" w:hAnsi="Times New Roman" w:cs="Times New Roman"/>
          <w:sz w:val="24"/>
          <w:szCs w:val="20"/>
          <w:lang w:eastAsia="ru-RU"/>
        </w:rPr>
        <w:t>2</w:t>
      </w:r>
      <w:r w:rsidRPr="0018060B">
        <w:rPr>
          <w:rFonts w:ascii="Times New Roman" w:eastAsia="Times New Roman" w:hAnsi="Times New Roman" w:cs="Times New Roman"/>
          <w:sz w:val="24"/>
          <w:szCs w:val="20"/>
          <w:lang w:eastAsia="ru-RU"/>
        </w:rPr>
        <w:t>,</w:t>
      </w:r>
      <w:r w:rsidR="0018060B" w:rsidRPr="0018060B">
        <w:rPr>
          <w:rFonts w:ascii="Times New Roman" w:eastAsia="Times New Roman" w:hAnsi="Times New Roman" w:cs="Times New Roman"/>
          <w:sz w:val="24"/>
          <w:szCs w:val="20"/>
          <w:lang w:eastAsia="ru-RU"/>
        </w:rPr>
        <w:t>8</w:t>
      </w:r>
      <w:r w:rsidRPr="0018060B">
        <w:rPr>
          <w:rFonts w:ascii="Times New Roman" w:eastAsia="Times New Roman" w:hAnsi="Times New Roman" w:cs="Times New Roman"/>
          <w:sz w:val="24"/>
          <w:szCs w:val="20"/>
          <w:lang w:eastAsia="ru-RU"/>
        </w:rPr>
        <w:t xml:space="preserve"> процента </w:t>
      </w:r>
      <w:r w:rsidR="0018060B" w:rsidRPr="0018060B">
        <w:rPr>
          <w:rFonts w:ascii="Times New Roman" w:eastAsia="Times New Roman" w:hAnsi="Times New Roman" w:cs="Times New Roman"/>
          <w:sz w:val="24"/>
          <w:szCs w:val="24"/>
          <w:lang w:eastAsia="ru-RU"/>
        </w:rPr>
        <w:t>(за 2014</w:t>
      </w:r>
      <w:r w:rsidRPr="0018060B">
        <w:rPr>
          <w:rFonts w:ascii="Times New Roman" w:eastAsia="Times New Roman" w:hAnsi="Times New Roman" w:cs="Times New Roman"/>
          <w:sz w:val="24"/>
          <w:szCs w:val="24"/>
          <w:lang w:eastAsia="ru-RU"/>
        </w:rPr>
        <w:t xml:space="preserve"> год – 1</w:t>
      </w:r>
      <w:r w:rsidR="0018060B" w:rsidRPr="0018060B">
        <w:rPr>
          <w:rFonts w:ascii="Times New Roman" w:eastAsia="Times New Roman" w:hAnsi="Times New Roman" w:cs="Times New Roman"/>
          <w:sz w:val="24"/>
          <w:szCs w:val="24"/>
          <w:lang w:eastAsia="ru-RU"/>
        </w:rPr>
        <w:t>10,5</w:t>
      </w:r>
      <w:r w:rsidRPr="0018060B">
        <w:rPr>
          <w:rFonts w:ascii="Times New Roman" w:eastAsia="Times New Roman" w:hAnsi="Times New Roman" w:cs="Times New Roman"/>
          <w:sz w:val="24"/>
          <w:szCs w:val="24"/>
          <w:lang w:eastAsia="ru-RU"/>
        </w:rPr>
        <w:t xml:space="preserve"> процента)</w:t>
      </w:r>
      <w:r w:rsidRPr="0018060B">
        <w:rPr>
          <w:rFonts w:ascii="Times New Roman" w:eastAsia="Times New Roman" w:hAnsi="Times New Roman" w:cs="Times New Roman"/>
          <w:sz w:val="24"/>
          <w:szCs w:val="20"/>
          <w:lang w:eastAsia="ru-RU"/>
        </w:rPr>
        <w:t>, в том числе н</w:t>
      </w:r>
      <w:r w:rsidR="0018060B" w:rsidRPr="0018060B">
        <w:rPr>
          <w:rFonts w:ascii="Times New Roman" w:eastAsia="Times New Roman" w:hAnsi="Times New Roman" w:cs="Times New Roman"/>
          <w:sz w:val="24"/>
          <w:szCs w:val="20"/>
          <w:lang w:eastAsia="ru-RU"/>
        </w:rPr>
        <w:t>а продовольственные товары – 113</w:t>
      </w:r>
      <w:r w:rsidRPr="0018060B">
        <w:rPr>
          <w:rFonts w:ascii="Times New Roman" w:eastAsia="Times New Roman" w:hAnsi="Times New Roman" w:cs="Times New Roman"/>
          <w:sz w:val="24"/>
          <w:szCs w:val="20"/>
          <w:lang w:eastAsia="ru-RU"/>
        </w:rPr>
        <w:t>,</w:t>
      </w:r>
      <w:r w:rsidR="0018060B" w:rsidRPr="0018060B">
        <w:rPr>
          <w:rFonts w:ascii="Times New Roman" w:eastAsia="Times New Roman" w:hAnsi="Times New Roman" w:cs="Times New Roman"/>
          <w:sz w:val="24"/>
          <w:szCs w:val="20"/>
          <w:lang w:eastAsia="ru-RU"/>
        </w:rPr>
        <w:t>4</w:t>
      </w:r>
      <w:r w:rsidRPr="0018060B">
        <w:rPr>
          <w:rFonts w:ascii="Times New Roman" w:eastAsia="Times New Roman" w:hAnsi="Times New Roman" w:cs="Times New Roman"/>
          <w:sz w:val="24"/>
          <w:szCs w:val="20"/>
          <w:lang w:eastAsia="ru-RU"/>
        </w:rPr>
        <w:t xml:space="preserve"> процента (выше уровня декабря </w:t>
      </w:r>
      <w:r w:rsidR="0018060B" w:rsidRPr="0018060B">
        <w:rPr>
          <w:rFonts w:ascii="Times New Roman" w:eastAsia="Times New Roman" w:hAnsi="Times New Roman" w:cs="Times New Roman"/>
          <w:sz w:val="24"/>
          <w:szCs w:val="20"/>
          <w:lang w:eastAsia="ru-RU"/>
        </w:rPr>
        <w:t>2014</w:t>
      </w:r>
      <w:r w:rsidRPr="0018060B">
        <w:rPr>
          <w:rFonts w:ascii="Times New Roman" w:eastAsia="Times New Roman" w:hAnsi="Times New Roman" w:cs="Times New Roman"/>
          <w:sz w:val="24"/>
          <w:szCs w:val="20"/>
          <w:lang w:eastAsia="ru-RU"/>
        </w:rPr>
        <w:t xml:space="preserve"> года к декабрю 201</w:t>
      </w:r>
      <w:r w:rsidR="0018060B" w:rsidRPr="0018060B">
        <w:rPr>
          <w:rFonts w:ascii="Times New Roman" w:eastAsia="Times New Roman" w:hAnsi="Times New Roman" w:cs="Times New Roman"/>
          <w:sz w:val="24"/>
          <w:szCs w:val="20"/>
          <w:lang w:eastAsia="ru-RU"/>
        </w:rPr>
        <w:t>3</w:t>
      </w:r>
      <w:r w:rsidRPr="0018060B">
        <w:rPr>
          <w:rFonts w:ascii="Times New Roman" w:eastAsia="Times New Roman" w:hAnsi="Times New Roman" w:cs="Times New Roman"/>
          <w:sz w:val="24"/>
          <w:szCs w:val="20"/>
          <w:lang w:eastAsia="ru-RU"/>
        </w:rPr>
        <w:t xml:space="preserve"> года на </w:t>
      </w:r>
      <w:r w:rsidR="0018060B" w:rsidRPr="0018060B">
        <w:rPr>
          <w:rFonts w:ascii="Times New Roman" w:eastAsia="Times New Roman" w:hAnsi="Times New Roman" w:cs="Times New Roman"/>
          <w:sz w:val="24"/>
          <w:szCs w:val="20"/>
          <w:lang w:eastAsia="ru-RU"/>
        </w:rPr>
        <w:t>0,</w:t>
      </w:r>
      <w:r w:rsidR="00FC4B58">
        <w:rPr>
          <w:rFonts w:ascii="Times New Roman" w:eastAsia="Times New Roman" w:hAnsi="Times New Roman" w:cs="Times New Roman"/>
          <w:sz w:val="24"/>
          <w:szCs w:val="20"/>
          <w:lang w:eastAsia="ru-RU"/>
        </w:rPr>
        <w:t>8</w:t>
      </w:r>
      <w:r w:rsidRPr="0018060B">
        <w:rPr>
          <w:rFonts w:ascii="Times New Roman" w:eastAsia="Times New Roman" w:hAnsi="Times New Roman" w:cs="Times New Roman"/>
          <w:sz w:val="24"/>
          <w:szCs w:val="20"/>
          <w:lang w:eastAsia="ru-RU"/>
        </w:rPr>
        <w:t xml:space="preserve"> процентных пункта), услуги – </w:t>
      </w:r>
      <w:r w:rsidR="0018060B" w:rsidRPr="0018060B">
        <w:rPr>
          <w:rFonts w:ascii="Times New Roman" w:eastAsia="Times New Roman" w:hAnsi="Times New Roman" w:cs="Times New Roman"/>
          <w:sz w:val="24"/>
          <w:szCs w:val="20"/>
          <w:lang w:eastAsia="ru-RU"/>
        </w:rPr>
        <w:t>107,9</w:t>
      </w:r>
      <w:r w:rsidRPr="0018060B">
        <w:rPr>
          <w:rFonts w:ascii="Times New Roman" w:eastAsia="Times New Roman" w:hAnsi="Times New Roman" w:cs="Times New Roman"/>
          <w:sz w:val="24"/>
          <w:szCs w:val="20"/>
          <w:lang w:eastAsia="ru-RU"/>
        </w:rPr>
        <w:t xml:space="preserve"> пр</w:t>
      </w:r>
      <w:r w:rsidR="0018060B" w:rsidRPr="0018060B">
        <w:rPr>
          <w:rFonts w:ascii="Times New Roman" w:eastAsia="Times New Roman" w:hAnsi="Times New Roman" w:cs="Times New Roman"/>
          <w:sz w:val="24"/>
          <w:szCs w:val="20"/>
          <w:lang w:eastAsia="ru-RU"/>
        </w:rPr>
        <w:t>оцента (ниже уровня декабря 2014</w:t>
      </w:r>
      <w:r w:rsidRPr="0018060B">
        <w:rPr>
          <w:rFonts w:ascii="Times New Roman" w:eastAsia="Times New Roman" w:hAnsi="Times New Roman" w:cs="Times New Roman"/>
          <w:sz w:val="24"/>
          <w:szCs w:val="20"/>
          <w:lang w:eastAsia="ru-RU"/>
        </w:rPr>
        <w:t xml:space="preserve"> года к декабрю 201</w:t>
      </w:r>
      <w:r w:rsidR="0018060B" w:rsidRPr="0018060B">
        <w:rPr>
          <w:rFonts w:ascii="Times New Roman" w:eastAsia="Times New Roman" w:hAnsi="Times New Roman" w:cs="Times New Roman"/>
          <w:sz w:val="24"/>
          <w:szCs w:val="20"/>
          <w:lang w:eastAsia="ru-RU"/>
        </w:rPr>
        <w:t>3</w:t>
      </w:r>
      <w:r w:rsidRPr="0018060B">
        <w:rPr>
          <w:rFonts w:ascii="Times New Roman" w:eastAsia="Times New Roman" w:hAnsi="Times New Roman" w:cs="Times New Roman"/>
          <w:sz w:val="24"/>
          <w:szCs w:val="20"/>
          <w:lang w:eastAsia="ru-RU"/>
        </w:rPr>
        <w:t xml:space="preserve"> года на </w:t>
      </w:r>
      <w:r w:rsidR="0018060B" w:rsidRPr="0018060B">
        <w:rPr>
          <w:rFonts w:ascii="Times New Roman" w:eastAsia="Times New Roman" w:hAnsi="Times New Roman" w:cs="Times New Roman"/>
          <w:sz w:val="24"/>
          <w:szCs w:val="20"/>
          <w:lang w:eastAsia="ru-RU"/>
        </w:rPr>
        <w:t>2,</w:t>
      </w:r>
      <w:r w:rsidR="00FC4B58">
        <w:rPr>
          <w:rFonts w:ascii="Times New Roman" w:eastAsia="Times New Roman" w:hAnsi="Times New Roman" w:cs="Times New Roman"/>
          <w:sz w:val="24"/>
          <w:szCs w:val="20"/>
          <w:lang w:eastAsia="ru-RU"/>
        </w:rPr>
        <w:t>3</w:t>
      </w:r>
      <w:r w:rsidRPr="0018060B">
        <w:rPr>
          <w:rFonts w:ascii="Times New Roman" w:eastAsia="Times New Roman" w:hAnsi="Times New Roman" w:cs="Times New Roman"/>
          <w:sz w:val="24"/>
          <w:szCs w:val="20"/>
          <w:lang w:eastAsia="ru-RU"/>
        </w:rPr>
        <w:t xml:space="preserve"> процентных пункта), непродовольственные товары – </w:t>
      </w:r>
      <w:r w:rsidR="0018060B" w:rsidRPr="0018060B">
        <w:rPr>
          <w:rFonts w:ascii="Times New Roman" w:eastAsia="Times New Roman" w:hAnsi="Times New Roman" w:cs="Times New Roman"/>
          <w:sz w:val="24"/>
          <w:szCs w:val="20"/>
          <w:lang w:eastAsia="ru-RU"/>
        </w:rPr>
        <w:t>115,9</w:t>
      </w:r>
      <w:r w:rsidRPr="0018060B">
        <w:rPr>
          <w:rFonts w:ascii="Times New Roman" w:eastAsia="Times New Roman" w:hAnsi="Times New Roman" w:cs="Times New Roman"/>
          <w:sz w:val="24"/>
          <w:szCs w:val="20"/>
          <w:lang w:eastAsia="ru-RU"/>
        </w:rPr>
        <w:t xml:space="preserve"> процентов (выше уровня декабря 201</w:t>
      </w:r>
      <w:r w:rsidR="0018060B" w:rsidRPr="0018060B">
        <w:rPr>
          <w:rFonts w:ascii="Times New Roman" w:eastAsia="Times New Roman" w:hAnsi="Times New Roman" w:cs="Times New Roman"/>
          <w:sz w:val="24"/>
          <w:szCs w:val="20"/>
          <w:lang w:eastAsia="ru-RU"/>
        </w:rPr>
        <w:t>4</w:t>
      </w:r>
      <w:r w:rsidRPr="0018060B">
        <w:rPr>
          <w:rFonts w:ascii="Times New Roman" w:eastAsia="Times New Roman" w:hAnsi="Times New Roman" w:cs="Times New Roman"/>
          <w:sz w:val="24"/>
          <w:szCs w:val="20"/>
          <w:lang w:eastAsia="ru-RU"/>
        </w:rPr>
        <w:t xml:space="preserve"> года к декабрю 201</w:t>
      </w:r>
      <w:r w:rsidR="0018060B" w:rsidRPr="0018060B">
        <w:rPr>
          <w:rFonts w:ascii="Times New Roman" w:eastAsia="Times New Roman" w:hAnsi="Times New Roman" w:cs="Times New Roman"/>
          <w:sz w:val="24"/>
          <w:szCs w:val="20"/>
          <w:lang w:eastAsia="ru-RU"/>
        </w:rPr>
        <w:t>3</w:t>
      </w:r>
      <w:r w:rsidRPr="0018060B">
        <w:rPr>
          <w:rFonts w:ascii="Times New Roman" w:eastAsia="Times New Roman" w:hAnsi="Times New Roman" w:cs="Times New Roman"/>
          <w:sz w:val="24"/>
          <w:szCs w:val="20"/>
          <w:lang w:eastAsia="ru-RU"/>
        </w:rPr>
        <w:t xml:space="preserve"> года на </w:t>
      </w:r>
      <w:r w:rsidR="00FC4B58">
        <w:rPr>
          <w:rFonts w:ascii="Times New Roman" w:eastAsia="Times New Roman" w:hAnsi="Times New Roman" w:cs="Times New Roman"/>
          <w:sz w:val="24"/>
          <w:szCs w:val="20"/>
          <w:lang w:eastAsia="ru-RU"/>
        </w:rPr>
        <w:t>7,2</w:t>
      </w:r>
      <w:r w:rsidRPr="0018060B">
        <w:rPr>
          <w:rFonts w:ascii="Times New Roman" w:eastAsia="Times New Roman" w:hAnsi="Times New Roman" w:cs="Times New Roman"/>
          <w:sz w:val="24"/>
          <w:szCs w:val="20"/>
          <w:lang w:eastAsia="ru-RU"/>
        </w:rPr>
        <w:t xml:space="preserve"> процентных пункта).</w:t>
      </w:r>
    </w:p>
    <w:p w:rsidR="00A21CFE" w:rsidRPr="005E0C13" w:rsidRDefault="00A21CFE" w:rsidP="00A21C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0C13">
        <w:rPr>
          <w:rFonts w:ascii="Times New Roman" w:eastAsia="Times New Roman" w:hAnsi="Times New Roman" w:cs="Times New Roman"/>
          <w:sz w:val="24"/>
          <w:szCs w:val="24"/>
          <w:lang w:eastAsia="ru-RU"/>
        </w:rPr>
        <w:t>Рост потребительских цен по России за 201</w:t>
      </w:r>
      <w:r w:rsidR="0018060B" w:rsidRPr="005E0C13">
        <w:rPr>
          <w:rFonts w:ascii="Times New Roman" w:eastAsia="Times New Roman" w:hAnsi="Times New Roman" w:cs="Times New Roman"/>
          <w:sz w:val="24"/>
          <w:szCs w:val="24"/>
          <w:lang w:eastAsia="ru-RU"/>
        </w:rPr>
        <w:t>5</w:t>
      </w:r>
      <w:r w:rsidRPr="005E0C13">
        <w:rPr>
          <w:rFonts w:ascii="Times New Roman" w:eastAsia="Times New Roman" w:hAnsi="Times New Roman" w:cs="Times New Roman"/>
          <w:sz w:val="24"/>
          <w:szCs w:val="24"/>
          <w:lang w:eastAsia="ru-RU"/>
        </w:rPr>
        <w:t xml:space="preserve"> год составил </w:t>
      </w:r>
      <w:r w:rsidR="0018060B" w:rsidRPr="005E0C13">
        <w:rPr>
          <w:rFonts w:ascii="Times New Roman" w:eastAsia="Times New Roman" w:hAnsi="Times New Roman" w:cs="Times New Roman"/>
          <w:sz w:val="24"/>
          <w:szCs w:val="24"/>
          <w:lang w:eastAsia="ru-RU"/>
        </w:rPr>
        <w:t>112,9</w:t>
      </w:r>
      <w:r w:rsidRPr="005E0C13">
        <w:rPr>
          <w:rFonts w:ascii="Times New Roman" w:eastAsia="Times New Roman" w:hAnsi="Times New Roman" w:cs="Times New Roman"/>
          <w:sz w:val="24"/>
          <w:szCs w:val="24"/>
          <w:lang w:eastAsia="ru-RU"/>
        </w:rPr>
        <w:t xml:space="preserve"> процента, что выше уровня 201</w:t>
      </w:r>
      <w:r w:rsidR="0018060B" w:rsidRPr="005E0C13">
        <w:rPr>
          <w:rFonts w:ascii="Times New Roman" w:eastAsia="Times New Roman" w:hAnsi="Times New Roman" w:cs="Times New Roman"/>
          <w:sz w:val="24"/>
          <w:szCs w:val="24"/>
          <w:lang w:eastAsia="ru-RU"/>
        </w:rPr>
        <w:t>4</w:t>
      </w:r>
      <w:r w:rsidRPr="005E0C13">
        <w:rPr>
          <w:rFonts w:ascii="Times New Roman" w:eastAsia="Times New Roman" w:hAnsi="Times New Roman" w:cs="Times New Roman"/>
          <w:sz w:val="24"/>
          <w:szCs w:val="24"/>
          <w:lang w:eastAsia="ru-RU"/>
        </w:rPr>
        <w:t xml:space="preserve"> года на </w:t>
      </w:r>
      <w:r w:rsidR="005E0C13" w:rsidRPr="005E0C13">
        <w:rPr>
          <w:rFonts w:ascii="Times New Roman" w:eastAsia="Times New Roman" w:hAnsi="Times New Roman" w:cs="Times New Roman"/>
          <w:sz w:val="24"/>
          <w:szCs w:val="24"/>
          <w:lang w:eastAsia="ru-RU"/>
        </w:rPr>
        <w:t>1,</w:t>
      </w:r>
      <w:r w:rsidR="00FC4B58">
        <w:rPr>
          <w:rFonts w:ascii="Times New Roman" w:eastAsia="Times New Roman" w:hAnsi="Times New Roman" w:cs="Times New Roman"/>
          <w:sz w:val="24"/>
          <w:szCs w:val="24"/>
          <w:lang w:eastAsia="ru-RU"/>
        </w:rPr>
        <w:t>5</w:t>
      </w:r>
      <w:r w:rsidR="00FA06E1">
        <w:rPr>
          <w:rFonts w:ascii="Times New Roman" w:eastAsia="Times New Roman" w:hAnsi="Times New Roman" w:cs="Times New Roman"/>
          <w:sz w:val="24"/>
          <w:szCs w:val="24"/>
          <w:lang w:eastAsia="ru-RU"/>
        </w:rPr>
        <w:t xml:space="preserve"> процентных пункта.</w:t>
      </w:r>
    </w:p>
    <w:p w:rsidR="00A21CFE" w:rsidRPr="005E0C13" w:rsidRDefault="00C872D9" w:rsidP="005E0C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E0C13">
        <w:rPr>
          <w:rFonts w:ascii="Times New Roman" w:eastAsia="Times New Roman" w:hAnsi="Times New Roman" w:cs="Times New Roman"/>
          <w:sz w:val="24"/>
          <w:szCs w:val="20"/>
          <w:lang w:eastAsia="ru-RU"/>
        </w:rPr>
        <w:t>Ф</w:t>
      </w:r>
      <w:r w:rsidR="00A21CFE" w:rsidRPr="005E0C13">
        <w:rPr>
          <w:rFonts w:ascii="Times New Roman" w:eastAsia="Times New Roman" w:hAnsi="Times New Roman" w:cs="Times New Roman"/>
          <w:sz w:val="24"/>
          <w:szCs w:val="20"/>
          <w:lang w:eastAsia="ru-RU"/>
        </w:rPr>
        <w:t xml:space="preserve">актически сложившийся индекс потребительских цен выше ожидаемого в соответствии с прогнозом социально-экономического развития Амурской области на </w:t>
      </w:r>
      <w:r w:rsidRPr="005E0C13">
        <w:rPr>
          <w:rFonts w:ascii="Times New Roman" w:eastAsia="Times New Roman" w:hAnsi="Times New Roman" w:cs="Times New Roman"/>
          <w:sz w:val="24"/>
          <w:szCs w:val="20"/>
          <w:lang w:eastAsia="ru-RU"/>
        </w:rPr>
        <w:br/>
      </w:r>
      <w:r w:rsidR="005E0C13" w:rsidRPr="005E0C13">
        <w:rPr>
          <w:rFonts w:ascii="Times New Roman" w:eastAsia="Times New Roman" w:hAnsi="Times New Roman" w:cs="Times New Roman"/>
          <w:sz w:val="24"/>
          <w:szCs w:val="20"/>
          <w:lang w:eastAsia="ru-RU"/>
        </w:rPr>
        <w:t>2015 год и на период до 2017</w:t>
      </w:r>
      <w:r w:rsidR="00A21CFE" w:rsidRPr="005E0C13">
        <w:rPr>
          <w:rFonts w:ascii="Times New Roman" w:eastAsia="Times New Roman" w:hAnsi="Times New Roman" w:cs="Times New Roman"/>
          <w:sz w:val="24"/>
          <w:szCs w:val="20"/>
          <w:lang w:eastAsia="ru-RU"/>
        </w:rPr>
        <w:t xml:space="preserve"> года, одобренным распоряжением Правительства Амурской области </w:t>
      </w:r>
      <w:r w:rsidR="005E0C13" w:rsidRPr="005E0C13">
        <w:rPr>
          <w:rFonts w:ascii="Times New Roman" w:eastAsia="Times New Roman" w:hAnsi="Times New Roman" w:cs="Times New Roman"/>
          <w:sz w:val="24"/>
          <w:szCs w:val="20"/>
          <w:lang w:eastAsia="ru-RU"/>
        </w:rPr>
        <w:t>от 24.10.2014 № 272-р</w:t>
      </w:r>
      <w:r w:rsidR="00A21CFE" w:rsidRPr="005E0C13">
        <w:rPr>
          <w:rFonts w:ascii="Times New Roman" w:eastAsia="Times New Roman" w:hAnsi="Times New Roman" w:cs="Times New Roman"/>
          <w:sz w:val="24"/>
          <w:szCs w:val="20"/>
          <w:lang w:eastAsia="ru-RU"/>
        </w:rPr>
        <w:t xml:space="preserve"> на </w:t>
      </w:r>
      <w:r w:rsidR="005E0C13" w:rsidRPr="005E0C13">
        <w:rPr>
          <w:rFonts w:ascii="Times New Roman" w:eastAsia="Times New Roman" w:hAnsi="Times New Roman" w:cs="Times New Roman"/>
          <w:sz w:val="24"/>
          <w:szCs w:val="20"/>
          <w:lang w:eastAsia="ru-RU"/>
        </w:rPr>
        <w:t>6,1</w:t>
      </w:r>
      <w:r w:rsidR="00A21CFE" w:rsidRPr="005E0C13">
        <w:rPr>
          <w:rFonts w:ascii="Times New Roman" w:eastAsia="Times New Roman" w:hAnsi="Times New Roman" w:cs="Times New Roman"/>
          <w:sz w:val="24"/>
          <w:szCs w:val="20"/>
          <w:lang w:eastAsia="ru-RU"/>
        </w:rPr>
        <w:t>-</w:t>
      </w:r>
      <w:r w:rsidR="005E0C13" w:rsidRPr="005E0C13">
        <w:rPr>
          <w:rFonts w:ascii="Times New Roman" w:eastAsia="Times New Roman" w:hAnsi="Times New Roman" w:cs="Times New Roman"/>
          <w:sz w:val="24"/>
          <w:szCs w:val="20"/>
          <w:lang w:eastAsia="ru-RU"/>
        </w:rPr>
        <w:t>6,2</w:t>
      </w:r>
      <w:r w:rsidRPr="005E0C13">
        <w:rPr>
          <w:rFonts w:ascii="Times New Roman" w:eastAsia="Times New Roman" w:hAnsi="Times New Roman" w:cs="Times New Roman"/>
          <w:sz w:val="24"/>
          <w:szCs w:val="20"/>
          <w:lang w:eastAsia="ru-RU"/>
        </w:rPr>
        <w:t xml:space="preserve"> процента (прогноз на 201</w:t>
      </w:r>
      <w:r w:rsidR="005E0C13" w:rsidRPr="005E0C13">
        <w:rPr>
          <w:rFonts w:ascii="Times New Roman" w:eastAsia="Times New Roman" w:hAnsi="Times New Roman" w:cs="Times New Roman"/>
          <w:sz w:val="24"/>
          <w:szCs w:val="20"/>
          <w:lang w:eastAsia="ru-RU"/>
        </w:rPr>
        <w:t>5</w:t>
      </w:r>
      <w:r w:rsidRPr="005E0C13">
        <w:rPr>
          <w:rFonts w:ascii="Times New Roman" w:eastAsia="Times New Roman" w:hAnsi="Times New Roman" w:cs="Times New Roman"/>
          <w:sz w:val="24"/>
          <w:szCs w:val="20"/>
          <w:lang w:eastAsia="ru-RU"/>
        </w:rPr>
        <w:t xml:space="preserve"> год – </w:t>
      </w:r>
      <w:r w:rsidRPr="005E0C13">
        <w:rPr>
          <w:rFonts w:ascii="Times New Roman" w:eastAsia="Times New Roman" w:hAnsi="Times New Roman" w:cs="Times New Roman"/>
          <w:sz w:val="24"/>
          <w:szCs w:val="20"/>
          <w:lang w:eastAsia="ru-RU"/>
        </w:rPr>
        <w:br/>
        <w:t>10</w:t>
      </w:r>
      <w:r w:rsidR="005E0C13" w:rsidRPr="005E0C13">
        <w:rPr>
          <w:rFonts w:ascii="Times New Roman" w:eastAsia="Times New Roman" w:hAnsi="Times New Roman" w:cs="Times New Roman"/>
          <w:sz w:val="24"/>
          <w:szCs w:val="20"/>
          <w:lang w:eastAsia="ru-RU"/>
        </w:rPr>
        <w:t>6</w:t>
      </w:r>
      <w:r w:rsidRPr="005E0C13">
        <w:rPr>
          <w:rFonts w:ascii="Times New Roman" w:eastAsia="Times New Roman" w:hAnsi="Times New Roman" w:cs="Times New Roman"/>
          <w:sz w:val="24"/>
          <w:szCs w:val="20"/>
          <w:lang w:eastAsia="ru-RU"/>
        </w:rPr>
        <w:t>,</w:t>
      </w:r>
      <w:r w:rsidR="005E0C13" w:rsidRPr="005E0C13">
        <w:rPr>
          <w:rFonts w:ascii="Times New Roman" w:eastAsia="Times New Roman" w:hAnsi="Times New Roman" w:cs="Times New Roman"/>
          <w:sz w:val="24"/>
          <w:szCs w:val="20"/>
          <w:lang w:eastAsia="ru-RU"/>
        </w:rPr>
        <w:t>7</w:t>
      </w:r>
      <w:r w:rsidRPr="005E0C13">
        <w:rPr>
          <w:rFonts w:ascii="Times New Roman" w:eastAsia="Times New Roman" w:hAnsi="Times New Roman" w:cs="Times New Roman"/>
          <w:sz w:val="24"/>
          <w:szCs w:val="20"/>
          <w:lang w:eastAsia="ru-RU"/>
        </w:rPr>
        <w:t>-10</w:t>
      </w:r>
      <w:r w:rsidR="005E0C13" w:rsidRPr="005E0C13">
        <w:rPr>
          <w:rFonts w:ascii="Times New Roman" w:eastAsia="Times New Roman" w:hAnsi="Times New Roman" w:cs="Times New Roman"/>
          <w:sz w:val="24"/>
          <w:szCs w:val="20"/>
          <w:lang w:eastAsia="ru-RU"/>
        </w:rPr>
        <w:t>6</w:t>
      </w:r>
      <w:r w:rsidRPr="005E0C13">
        <w:rPr>
          <w:rFonts w:ascii="Times New Roman" w:eastAsia="Times New Roman" w:hAnsi="Times New Roman" w:cs="Times New Roman"/>
          <w:sz w:val="24"/>
          <w:szCs w:val="20"/>
          <w:lang w:eastAsia="ru-RU"/>
        </w:rPr>
        <w:t>,</w:t>
      </w:r>
      <w:r w:rsidR="005E0C13" w:rsidRPr="005E0C13">
        <w:rPr>
          <w:rFonts w:ascii="Times New Roman" w:eastAsia="Times New Roman" w:hAnsi="Times New Roman" w:cs="Times New Roman"/>
          <w:sz w:val="24"/>
          <w:szCs w:val="20"/>
          <w:lang w:eastAsia="ru-RU"/>
        </w:rPr>
        <w:t>6</w:t>
      </w:r>
      <w:r w:rsidRPr="005E0C13">
        <w:rPr>
          <w:rFonts w:ascii="Times New Roman" w:eastAsia="Times New Roman" w:hAnsi="Times New Roman" w:cs="Times New Roman"/>
          <w:sz w:val="24"/>
          <w:szCs w:val="20"/>
          <w:lang w:eastAsia="ru-RU"/>
        </w:rPr>
        <w:t xml:space="preserve"> процента), и выше ожидаемого уровня 201</w:t>
      </w:r>
      <w:r w:rsidR="005E0C13" w:rsidRPr="005E0C13">
        <w:rPr>
          <w:rFonts w:ascii="Times New Roman" w:eastAsia="Times New Roman" w:hAnsi="Times New Roman" w:cs="Times New Roman"/>
          <w:sz w:val="24"/>
          <w:szCs w:val="20"/>
          <w:lang w:eastAsia="ru-RU"/>
        </w:rPr>
        <w:t>5</w:t>
      </w:r>
      <w:r w:rsidRPr="005E0C13">
        <w:rPr>
          <w:rFonts w:ascii="Times New Roman" w:eastAsia="Times New Roman" w:hAnsi="Times New Roman" w:cs="Times New Roman"/>
          <w:sz w:val="24"/>
          <w:szCs w:val="20"/>
          <w:lang w:eastAsia="ru-RU"/>
        </w:rPr>
        <w:t xml:space="preserve"> года в соответствии с прогнозом социально-экономического развития Амурской области на 201</w:t>
      </w:r>
      <w:r w:rsidR="005E0C13" w:rsidRPr="005E0C13">
        <w:rPr>
          <w:rFonts w:ascii="Times New Roman" w:eastAsia="Times New Roman" w:hAnsi="Times New Roman" w:cs="Times New Roman"/>
          <w:sz w:val="24"/>
          <w:szCs w:val="20"/>
          <w:lang w:eastAsia="ru-RU"/>
        </w:rPr>
        <w:t>6</w:t>
      </w:r>
      <w:r w:rsidRPr="005E0C13">
        <w:rPr>
          <w:rFonts w:ascii="Times New Roman" w:eastAsia="Times New Roman" w:hAnsi="Times New Roman" w:cs="Times New Roman"/>
          <w:sz w:val="24"/>
          <w:szCs w:val="20"/>
          <w:lang w:eastAsia="ru-RU"/>
        </w:rPr>
        <w:t xml:space="preserve"> год и </w:t>
      </w:r>
      <w:r w:rsidR="005E0C13" w:rsidRPr="005E0C13">
        <w:rPr>
          <w:rFonts w:ascii="Times New Roman" w:eastAsia="Times New Roman" w:hAnsi="Times New Roman" w:cs="Times New Roman"/>
          <w:sz w:val="24"/>
          <w:szCs w:val="20"/>
          <w:lang w:eastAsia="ru-RU"/>
        </w:rPr>
        <w:t>на плановый период 2017 и 2018 годов</w:t>
      </w:r>
      <w:r w:rsidRPr="005E0C13">
        <w:rPr>
          <w:rFonts w:ascii="Times New Roman" w:eastAsia="Times New Roman" w:hAnsi="Times New Roman" w:cs="Times New Roman"/>
          <w:sz w:val="24"/>
          <w:szCs w:val="20"/>
          <w:lang w:eastAsia="ru-RU"/>
        </w:rPr>
        <w:t xml:space="preserve">, одобренным распоряжением Правительства Амурской области </w:t>
      </w:r>
      <w:r w:rsidR="005E0C13" w:rsidRPr="005E0C13">
        <w:rPr>
          <w:rFonts w:ascii="Times New Roman" w:eastAsia="Times New Roman" w:hAnsi="Times New Roman" w:cs="Times New Roman"/>
          <w:sz w:val="24"/>
          <w:szCs w:val="20"/>
          <w:lang w:eastAsia="ru-RU"/>
        </w:rPr>
        <w:t>от 23.10.2015 № 135-р</w:t>
      </w:r>
      <w:r w:rsidRPr="005E0C13">
        <w:rPr>
          <w:rFonts w:ascii="Times New Roman" w:eastAsia="Times New Roman" w:hAnsi="Times New Roman" w:cs="Times New Roman"/>
          <w:sz w:val="24"/>
          <w:szCs w:val="20"/>
          <w:lang w:eastAsia="ru-RU"/>
        </w:rPr>
        <w:t xml:space="preserve">, на </w:t>
      </w:r>
      <w:r w:rsidR="005E0C13" w:rsidRPr="005E0C13">
        <w:rPr>
          <w:rFonts w:ascii="Times New Roman" w:eastAsia="Times New Roman" w:hAnsi="Times New Roman" w:cs="Times New Roman"/>
          <w:sz w:val="24"/>
          <w:szCs w:val="20"/>
          <w:lang w:eastAsia="ru-RU"/>
        </w:rPr>
        <w:t>0,9 процента (оценка на 2015</w:t>
      </w:r>
      <w:r w:rsidRPr="005E0C13">
        <w:rPr>
          <w:rFonts w:ascii="Times New Roman" w:eastAsia="Times New Roman" w:hAnsi="Times New Roman" w:cs="Times New Roman"/>
          <w:sz w:val="24"/>
          <w:szCs w:val="20"/>
          <w:lang w:eastAsia="ru-RU"/>
        </w:rPr>
        <w:t xml:space="preserve"> год – 1</w:t>
      </w:r>
      <w:r w:rsidR="005E0C13" w:rsidRPr="005E0C13">
        <w:rPr>
          <w:rFonts w:ascii="Times New Roman" w:eastAsia="Times New Roman" w:hAnsi="Times New Roman" w:cs="Times New Roman"/>
          <w:sz w:val="24"/>
          <w:szCs w:val="20"/>
          <w:lang w:eastAsia="ru-RU"/>
        </w:rPr>
        <w:t>11,9</w:t>
      </w:r>
      <w:r w:rsidRPr="005E0C13">
        <w:rPr>
          <w:rFonts w:ascii="Times New Roman" w:eastAsia="Times New Roman" w:hAnsi="Times New Roman" w:cs="Times New Roman"/>
          <w:sz w:val="24"/>
          <w:szCs w:val="20"/>
          <w:lang w:eastAsia="ru-RU"/>
        </w:rPr>
        <w:t xml:space="preserve"> процента).</w:t>
      </w:r>
    </w:p>
    <w:p w:rsidR="0009126C" w:rsidRPr="005E0C13" w:rsidRDefault="0009126C" w:rsidP="000912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E0C13">
        <w:rPr>
          <w:rFonts w:ascii="Times New Roman" w:eastAsia="Times New Roman" w:hAnsi="Times New Roman" w:cs="Times New Roman"/>
          <w:sz w:val="24"/>
          <w:szCs w:val="20"/>
          <w:lang w:eastAsia="ru-RU"/>
        </w:rPr>
        <w:t>Динамика индекса потребительских цен приведена на рисунке 1</w:t>
      </w:r>
      <w:r w:rsidR="00A21CFE" w:rsidRPr="005E0C13">
        <w:rPr>
          <w:rFonts w:ascii="Times New Roman" w:eastAsia="Times New Roman" w:hAnsi="Times New Roman" w:cs="Times New Roman"/>
          <w:sz w:val="24"/>
          <w:szCs w:val="20"/>
          <w:lang w:eastAsia="ru-RU"/>
        </w:rPr>
        <w:t>3</w:t>
      </w:r>
      <w:r w:rsidRPr="005E0C13">
        <w:rPr>
          <w:rFonts w:ascii="Times New Roman" w:eastAsia="Times New Roman" w:hAnsi="Times New Roman" w:cs="Times New Roman"/>
          <w:sz w:val="24"/>
          <w:szCs w:val="20"/>
          <w:lang w:eastAsia="ru-RU"/>
        </w:rPr>
        <w:t>.</w:t>
      </w:r>
    </w:p>
    <w:p w:rsidR="0009126C" w:rsidRPr="00FA06E1" w:rsidRDefault="007605FD" w:rsidP="00E93B4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E574F">
        <w:rPr>
          <w:noProof/>
          <w:color w:val="FF0000"/>
          <w:lang w:eastAsia="ru-RU"/>
        </w:rPr>
        <mc:AlternateContent>
          <mc:Choice Requires="wps">
            <w:drawing>
              <wp:anchor distT="0" distB="0" distL="114300" distR="114300" simplePos="0" relativeHeight="251659264" behindDoc="0" locked="0" layoutInCell="1" allowOverlap="1" wp14:anchorId="4714E54C" wp14:editId="07AD726C">
                <wp:simplePos x="0" y="0"/>
                <wp:positionH relativeFrom="column">
                  <wp:posOffset>4204970</wp:posOffset>
                </wp:positionH>
                <wp:positionV relativeFrom="paragraph">
                  <wp:posOffset>2460625</wp:posOffset>
                </wp:positionV>
                <wp:extent cx="676275" cy="314325"/>
                <wp:effectExtent l="0" t="0" r="0" b="0"/>
                <wp:wrapNone/>
                <wp:docPr id="4" name="Прямоугольник 1"/>
                <wp:cNvGraphicFramePr/>
                <a:graphic xmlns:a="http://schemas.openxmlformats.org/drawingml/2006/main">
                  <a:graphicData uri="http://schemas.microsoft.com/office/word/2010/wordprocessingShape">
                    <wps:wsp>
                      <wps:cNvSpPr/>
                      <wps:spPr>
                        <a:xfrm>
                          <a:off x="0" y="0"/>
                          <a:ext cx="676275" cy="314325"/>
                        </a:xfrm>
                        <a:prstGeom prst="rect">
                          <a:avLst/>
                        </a:prstGeom>
                        <a:noFill/>
                        <a:ln w="25400" cap="flat" cmpd="sng" algn="ctr">
                          <a:noFill/>
                          <a:prstDash val="solid"/>
                        </a:ln>
                        <a:effectLst/>
                      </wps:spPr>
                      <wps:txbx>
                        <w:txbxContent>
                          <w:p w:rsidR="00B00992" w:rsidRDefault="00B00992" w:rsidP="007605FD">
                            <w:pPr>
                              <w:pStyle w:val="aff"/>
                              <w:spacing w:before="0" w:beforeAutospacing="0" w:after="0" w:afterAutospacing="0"/>
                            </w:pPr>
                            <w:r w:rsidRPr="00FA06E1">
                              <w:rPr>
                                <w:rFonts w:eastAsia="+mn-ea"/>
                                <w:b/>
                                <w:color w:val="000000"/>
                                <w:sz w:val="22"/>
                                <w:szCs w:val="22"/>
                              </w:rPr>
                              <w:t>2015</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31.1pt;margin-top:193.75pt;width:53.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" filled="f" stroked="f" strokeweight="2pt">
                <v:textbox>
                  <w:txbxContent>
                    <w:p w:rsidR="00EB388E" w:rsidRDefault="00EB388E" w:rsidP="007605FD">
                      <w:pPr>
                        <w:pStyle w:val="aff"/>
                        <w:spacing w:before="0" w:beforeAutospacing="0" w:after="0" w:afterAutospacing="0"/>
                      </w:pPr>
                      <w:r w:rsidRPr="00FA06E1">
                        <w:rPr>
                          <w:rFonts w:eastAsia="+mn-ea"/>
                          <w:b/>
                          <w:color w:val="000000"/>
                          <w:sz w:val="22"/>
                          <w:szCs w:val="22"/>
                        </w:rPr>
                        <w:t>2015</w:t>
                      </w:r>
                    </w:p>
                  </w:txbxContent>
                </v:textbox>
              </v:rect>
            </w:pict>
          </mc:Fallback>
        </mc:AlternateContent>
      </w:r>
      <w:r w:rsidR="0009126C" w:rsidRPr="000E574F">
        <w:rPr>
          <w:rFonts w:ascii="Times New Roman" w:eastAsia="Times New Roman" w:hAnsi="Times New Roman" w:cs="Times New Roman"/>
          <w:noProof/>
          <w:color w:val="FF0000"/>
          <w:sz w:val="24"/>
          <w:szCs w:val="20"/>
          <w:lang w:eastAsia="ru-RU"/>
        </w:rPr>
        <w:drawing>
          <wp:inline distT="0" distB="0" distL="0" distR="0" wp14:anchorId="62EC185F" wp14:editId="166FD699">
            <wp:extent cx="6153150" cy="32385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9126C" w:rsidRPr="005E0C13" w:rsidRDefault="00BB6575" w:rsidP="00BB657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5E0C13">
        <w:rPr>
          <w:rFonts w:ascii="Times New Roman" w:eastAsia="Times New Roman" w:hAnsi="Times New Roman" w:cs="Times New Roman"/>
          <w:b/>
          <w:sz w:val="24"/>
          <w:szCs w:val="20"/>
          <w:lang w:eastAsia="ru-RU"/>
        </w:rPr>
        <w:t>Рис. 1</w:t>
      </w:r>
      <w:r w:rsidR="00A21CFE" w:rsidRPr="005E0C13">
        <w:rPr>
          <w:rFonts w:ascii="Times New Roman" w:eastAsia="Times New Roman" w:hAnsi="Times New Roman" w:cs="Times New Roman"/>
          <w:b/>
          <w:sz w:val="24"/>
          <w:szCs w:val="20"/>
          <w:lang w:eastAsia="ru-RU"/>
        </w:rPr>
        <w:t>3</w:t>
      </w:r>
      <w:r w:rsidRPr="005E0C13">
        <w:rPr>
          <w:rFonts w:ascii="Times New Roman" w:eastAsia="Times New Roman" w:hAnsi="Times New Roman" w:cs="Times New Roman"/>
          <w:b/>
          <w:sz w:val="24"/>
          <w:szCs w:val="20"/>
          <w:lang w:eastAsia="ru-RU"/>
        </w:rPr>
        <w:t xml:space="preserve"> – Динамика индекса потребительских цен в 201</w:t>
      </w:r>
      <w:r w:rsidR="005E0C13" w:rsidRPr="005E0C13">
        <w:rPr>
          <w:rFonts w:ascii="Times New Roman" w:eastAsia="Times New Roman" w:hAnsi="Times New Roman" w:cs="Times New Roman"/>
          <w:b/>
          <w:sz w:val="24"/>
          <w:szCs w:val="20"/>
          <w:lang w:eastAsia="ru-RU"/>
        </w:rPr>
        <w:t>4-2015</w:t>
      </w:r>
      <w:r w:rsidRPr="005E0C13">
        <w:rPr>
          <w:rFonts w:ascii="Times New Roman" w:eastAsia="Times New Roman" w:hAnsi="Times New Roman" w:cs="Times New Roman"/>
          <w:b/>
          <w:sz w:val="24"/>
          <w:szCs w:val="20"/>
          <w:lang w:eastAsia="ru-RU"/>
        </w:rPr>
        <w:t xml:space="preserve"> годах</w:t>
      </w:r>
    </w:p>
    <w:p w:rsidR="00B60239" w:rsidRPr="009F52D8" w:rsidRDefault="00BB6575" w:rsidP="00B602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9F52D8">
        <w:rPr>
          <w:rFonts w:ascii="Times New Roman" w:eastAsia="Times New Roman" w:hAnsi="Times New Roman" w:cs="Times New Roman"/>
          <w:sz w:val="24"/>
          <w:szCs w:val="20"/>
          <w:lang w:eastAsia="ru-RU"/>
        </w:rPr>
        <w:t>Как видно из рисунка 1</w:t>
      </w:r>
      <w:r w:rsidR="00992E7A" w:rsidRPr="009F52D8">
        <w:rPr>
          <w:rFonts w:ascii="Times New Roman" w:eastAsia="Times New Roman" w:hAnsi="Times New Roman" w:cs="Times New Roman"/>
          <w:sz w:val="24"/>
          <w:szCs w:val="20"/>
          <w:lang w:eastAsia="ru-RU"/>
        </w:rPr>
        <w:t>3</w:t>
      </w:r>
      <w:r w:rsidRPr="009F52D8">
        <w:rPr>
          <w:rFonts w:ascii="Times New Roman" w:eastAsia="Times New Roman" w:hAnsi="Times New Roman" w:cs="Times New Roman"/>
          <w:sz w:val="24"/>
          <w:szCs w:val="20"/>
          <w:lang w:eastAsia="ru-RU"/>
        </w:rPr>
        <w:t xml:space="preserve">, основной рост индекса потребительских цен произошел в </w:t>
      </w:r>
      <w:r w:rsidR="00307C3C" w:rsidRPr="009F52D8">
        <w:rPr>
          <w:rFonts w:ascii="Times New Roman" w:eastAsia="Times New Roman" w:hAnsi="Times New Roman" w:cs="Times New Roman"/>
          <w:sz w:val="24"/>
          <w:szCs w:val="20"/>
          <w:lang w:eastAsia="ru-RU"/>
        </w:rPr>
        <w:br/>
      </w:r>
      <w:r w:rsidRPr="009F52D8">
        <w:rPr>
          <w:rFonts w:ascii="Times New Roman" w:eastAsia="Times New Roman" w:hAnsi="Times New Roman" w:cs="Times New Roman"/>
          <w:sz w:val="24"/>
          <w:szCs w:val="20"/>
          <w:lang w:eastAsia="ru-RU"/>
        </w:rPr>
        <w:t>4 квартале 2014 года</w:t>
      </w:r>
      <w:r w:rsidR="009F52D8" w:rsidRPr="009F52D8">
        <w:rPr>
          <w:rFonts w:ascii="Times New Roman" w:eastAsia="Times New Roman" w:hAnsi="Times New Roman" w:cs="Times New Roman"/>
          <w:sz w:val="24"/>
          <w:szCs w:val="20"/>
          <w:lang w:eastAsia="ru-RU"/>
        </w:rPr>
        <w:t>-1 квартале 2015 года</w:t>
      </w:r>
      <w:r w:rsidRPr="009F52D8">
        <w:rPr>
          <w:rFonts w:ascii="Times New Roman" w:eastAsia="Times New Roman" w:hAnsi="Times New Roman" w:cs="Times New Roman"/>
          <w:sz w:val="24"/>
          <w:szCs w:val="20"/>
          <w:lang w:eastAsia="ru-RU"/>
        </w:rPr>
        <w:t>.</w:t>
      </w:r>
      <w:r w:rsidR="00B60239" w:rsidRPr="009F52D8">
        <w:t xml:space="preserve"> </w:t>
      </w:r>
      <w:r w:rsidR="00B60239" w:rsidRPr="009F52D8">
        <w:rPr>
          <w:rFonts w:ascii="Times New Roman" w:eastAsia="Times New Roman" w:hAnsi="Times New Roman" w:cs="Times New Roman"/>
          <w:sz w:val="24"/>
          <w:szCs w:val="20"/>
          <w:lang w:eastAsia="ru-RU"/>
        </w:rPr>
        <w:t>Так, в ноябре и декабре 2014 года</w:t>
      </w:r>
      <w:r w:rsidR="00C872D9" w:rsidRPr="009F52D8">
        <w:rPr>
          <w:rFonts w:ascii="Times New Roman" w:eastAsia="Times New Roman" w:hAnsi="Times New Roman" w:cs="Times New Roman"/>
          <w:sz w:val="24"/>
          <w:szCs w:val="20"/>
          <w:lang w:eastAsia="ru-RU"/>
        </w:rPr>
        <w:t xml:space="preserve"> темп</w:t>
      </w:r>
      <w:r w:rsidR="00B60239" w:rsidRPr="009F52D8">
        <w:rPr>
          <w:rFonts w:ascii="Times New Roman" w:eastAsia="Times New Roman" w:hAnsi="Times New Roman" w:cs="Times New Roman"/>
          <w:sz w:val="24"/>
          <w:szCs w:val="20"/>
          <w:lang w:eastAsia="ru-RU"/>
        </w:rPr>
        <w:t xml:space="preserve"> прирост</w:t>
      </w:r>
      <w:r w:rsidR="00C872D9" w:rsidRPr="009F52D8">
        <w:rPr>
          <w:rFonts w:ascii="Times New Roman" w:eastAsia="Times New Roman" w:hAnsi="Times New Roman" w:cs="Times New Roman"/>
          <w:sz w:val="24"/>
          <w:szCs w:val="20"/>
          <w:lang w:eastAsia="ru-RU"/>
        </w:rPr>
        <w:t>а</w:t>
      </w:r>
      <w:r w:rsidR="00B60239" w:rsidRPr="009F52D8">
        <w:rPr>
          <w:rFonts w:ascii="Times New Roman" w:eastAsia="Times New Roman" w:hAnsi="Times New Roman" w:cs="Times New Roman"/>
          <w:sz w:val="24"/>
          <w:szCs w:val="20"/>
          <w:lang w:eastAsia="ru-RU"/>
        </w:rPr>
        <w:t xml:space="preserve"> индекса потребительских цен по отношению к предыдущему месяцу </w:t>
      </w:r>
      <w:r w:rsidR="00C872D9" w:rsidRPr="009F52D8">
        <w:rPr>
          <w:rFonts w:ascii="Times New Roman" w:eastAsia="Times New Roman" w:hAnsi="Times New Roman" w:cs="Times New Roman"/>
          <w:sz w:val="24"/>
          <w:szCs w:val="20"/>
          <w:lang w:eastAsia="ru-RU"/>
        </w:rPr>
        <w:t xml:space="preserve">составил </w:t>
      </w:r>
      <w:r w:rsidR="0074635D">
        <w:rPr>
          <w:rFonts w:ascii="Times New Roman" w:eastAsia="Times New Roman" w:hAnsi="Times New Roman" w:cs="Times New Roman"/>
          <w:sz w:val="24"/>
          <w:szCs w:val="20"/>
          <w:lang w:eastAsia="ru-RU"/>
        </w:rPr>
        <w:br/>
      </w:r>
      <w:r w:rsidR="00B60239" w:rsidRPr="009F52D8">
        <w:rPr>
          <w:rFonts w:ascii="Times New Roman" w:eastAsia="Times New Roman" w:hAnsi="Times New Roman" w:cs="Times New Roman"/>
          <w:sz w:val="24"/>
          <w:szCs w:val="20"/>
          <w:lang w:eastAsia="ru-RU"/>
        </w:rPr>
        <w:t>2,6</w:t>
      </w:r>
      <w:r w:rsidR="00C872D9" w:rsidRPr="009F52D8">
        <w:rPr>
          <w:rFonts w:ascii="Times New Roman" w:eastAsia="Times New Roman" w:hAnsi="Times New Roman" w:cs="Times New Roman"/>
          <w:sz w:val="24"/>
          <w:szCs w:val="20"/>
          <w:lang w:eastAsia="ru-RU"/>
        </w:rPr>
        <w:t xml:space="preserve"> и </w:t>
      </w:r>
      <w:r w:rsidR="00FA06E1">
        <w:rPr>
          <w:rFonts w:ascii="Times New Roman" w:eastAsia="Times New Roman" w:hAnsi="Times New Roman" w:cs="Times New Roman"/>
          <w:sz w:val="24"/>
          <w:szCs w:val="20"/>
          <w:lang w:eastAsia="ru-RU"/>
        </w:rPr>
        <w:t>2,1 процента</w:t>
      </w:r>
      <w:r w:rsidR="00B60239" w:rsidRPr="009F52D8">
        <w:rPr>
          <w:rFonts w:ascii="Times New Roman" w:eastAsia="Times New Roman" w:hAnsi="Times New Roman" w:cs="Times New Roman"/>
          <w:sz w:val="24"/>
          <w:szCs w:val="20"/>
          <w:lang w:eastAsia="ru-RU"/>
        </w:rPr>
        <w:t xml:space="preserve"> соответственно. </w:t>
      </w:r>
      <w:r w:rsidR="009F52D8" w:rsidRPr="009F52D8">
        <w:rPr>
          <w:rFonts w:ascii="Times New Roman" w:eastAsia="Times New Roman" w:hAnsi="Times New Roman" w:cs="Times New Roman"/>
          <w:sz w:val="24"/>
          <w:szCs w:val="20"/>
          <w:lang w:eastAsia="ru-RU"/>
        </w:rPr>
        <w:t>В январе, феврале и марте 2015 года темп прироста индекса потребительских цен составил 3,1, 2,2 и 1,5 процента соответственно.</w:t>
      </w:r>
    </w:p>
    <w:p w:rsidR="00012B86" w:rsidRPr="009F52D8" w:rsidRDefault="00B60239" w:rsidP="00B602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9F52D8">
        <w:rPr>
          <w:rFonts w:ascii="Times New Roman" w:eastAsia="Times New Roman" w:hAnsi="Times New Roman" w:cs="Times New Roman"/>
          <w:sz w:val="24"/>
          <w:szCs w:val="20"/>
          <w:lang w:eastAsia="ru-RU"/>
        </w:rPr>
        <w:t>Темп роста индекса потребительских цен по отношению к уровню соответствующего месяца предыдущего года на протяжении 201</w:t>
      </w:r>
      <w:r w:rsidR="009F52D8" w:rsidRPr="009F52D8">
        <w:rPr>
          <w:rFonts w:ascii="Times New Roman" w:eastAsia="Times New Roman" w:hAnsi="Times New Roman" w:cs="Times New Roman"/>
          <w:sz w:val="24"/>
          <w:szCs w:val="20"/>
          <w:lang w:eastAsia="ru-RU"/>
        </w:rPr>
        <w:t>4-2015</w:t>
      </w:r>
      <w:r w:rsidRPr="009F52D8">
        <w:rPr>
          <w:rFonts w:ascii="Times New Roman" w:eastAsia="Times New Roman" w:hAnsi="Times New Roman" w:cs="Times New Roman"/>
          <w:sz w:val="24"/>
          <w:szCs w:val="20"/>
          <w:lang w:eastAsia="ru-RU"/>
        </w:rPr>
        <w:t xml:space="preserve"> годов находился в пределах </w:t>
      </w:r>
      <w:r w:rsidR="0074635D">
        <w:rPr>
          <w:rFonts w:ascii="Times New Roman" w:eastAsia="Times New Roman" w:hAnsi="Times New Roman" w:cs="Times New Roman"/>
          <w:sz w:val="24"/>
          <w:szCs w:val="20"/>
          <w:lang w:eastAsia="ru-RU"/>
        </w:rPr>
        <w:br/>
      </w:r>
      <w:r w:rsidR="00012B86" w:rsidRPr="009F52D8">
        <w:rPr>
          <w:rFonts w:ascii="Times New Roman" w:eastAsia="Times New Roman" w:hAnsi="Times New Roman" w:cs="Times New Roman"/>
          <w:sz w:val="24"/>
          <w:szCs w:val="20"/>
          <w:lang w:eastAsia="ru-RU"/>
        </w:rPr>
        <w:t>1</w:t>
      </w:r>
      <w:r w:rsidR="009F52D8" w:rsidRPr="009F52D8">
        <w:rPr>
          <w:rFonts w:ascii="Times New Roman" w:eastAsia="Times New Roman" w:hAnsi="Times New Roman" w:cs="Times New Roman"/>
          <w:sz w:val="24"/>
          <w:szCs w:val="20"/>
          <w:lang w:eastAsia="ru-RU"/>
        </w:rPr>
        <w:t>13,5</w:t>
      </w:r>
      <w:r w:rsidR="00012B86" w:rsidRPr="009F52D8">
        <w:rPr>
          <w:rFonts w:ascii="Times New Roman" w:eastAsia="Times New Roman" w:hAnsi="Times New Roman" w:cs="Times New Roman"/>
          <w:sz w:val="24"/>
          <w:szCs w:val="20"/>
          <w:lang w:eastAsia="ru-RU"/>
        </w:rPr>
        <w:t>-1</w:t>
      </w:r>
      <w:r w:rsidR="009F52D8" w:rsidRPr="009F52D8">
        <w:rPr>
          <w:rFonts w:ascii="Times New Roman" w:eastAsia="Times New Roman" w:hAnsi="Times New Roman" w:cs="Times New Roman"/>
          <w:sz w:val="24"/>
          <w:szCs w:val="20"/>
          <w:lang w:eastAsia="ru-RU"/>
        </w:rPr>
        <w:t>16,4</w:t>
      </w:r>
      <w:r w:rsidR="00FA06E1">
        <w:rPr>
          <w:rFonts w:ascii="Times New Roman" w:eastAsia="Times New Roman" w:hAnsi="Times New Roman" w:cs="Times New Roman"/>
          <w:sz w:val="24"/>
          <w:szCs w:val="20"/>
          <w:lang w:eastAsia="ru-RU"/>
        </w:rPr>
        <w:t xml:space="preserve"> процента.</w:t>
      </w:r>
    </w:p>
    <w:p w:rsidR="0074635D" w:rsidRDefault="0074635D" w:rsidP="00396CE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0"/>
          <w:lang w:eastAsia="ru-RU"/>
        </w:rPr>
      </w:pPr>
    </w:p>
    <w:p w:rsidR="00E3035D" w:rsidRDefault="00CD6BA4" w:rsidP="00396C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E3035D">
        <w:rPr>
          <w:rFonts w:ascii="Times New Roman" w:eastAsia="Times New Roman" w:hAnsi="Times New Roman" w:cs="Times New Roman"/>
          <w:i/>
          <w:sz w:val="24"/>
          <w:szCs w:val="20"/>
          <w:lang w:eastAsia="ru-RU"/>
        </w:rPr>
        <w:lastRenderedPageBreak/>
        <w:t>Стоимость минимального набора продуктов питания</w:t>
      </w:r>
      <w:r w:rsidR="00D15486" w:rsidRPr="00E3035D">
        <w:rPr>
          <w:rFonts w:ascii="Times New Roman" w:eastAsia="Times New Roman" w:hAnsi="Times New Roman" w:cs="Times New Roman"/>
          <w:sz w:val="24"/>
          <w:szCs w:val="20"/>
          <w:lang w:eastAsia="ru-RU"/>
        </w:rPr>
        <w:t xml:space="preserve"> на конец 201</w:t>
      </w:r>
      <w:r w:rsidR="009F52D8" w:rsidRPr="00E3035D">
        <w:rPr>
          <w:rFonts w:ascii="Times New Roman" w:eastAsia="Times New Roman" w:hAnsi="Times New Roman" w:cs="Times New Roman"/>
          <w:sz w:val="24"/>
          <w:szCs w:val="20"/>
          <w:lang w:eastAsia="ru-RU"/>
        </w:rPr>
        <w:t>5</w:t>
      </w:r>
      <w:r w:rsidRPr="00E3035D">
        <w:rPr>
          <w:rFonts w:ascii="Times New Roman" w:eastAsia="Times New Roman" w:hAnsi="Times New Roman" w:cs="Times New Roman"/>
          <w:sz w:val="24"/>
          <w:szCs w:val="20"/>
          <w:lang w:eastAsia="ru-RU"/>
        </w:rPr>
        <w:t xml:space="preserve"> года по Амурской области составила </w:t>
      </w:r>
      <w:r w:rsidR="00E3035D" w:rsidRPr="00E3035D">
        <w:rPr>
          <w:rFonts w:ascii="Times New Roman" w:eastAsia="Times New Roman" w:hAnsi="Times New Roman" w:cs="Times New Roman"/>
          <w:sz w:val="24"/>
          <w:szCs w:val="20"/>
          <w:lang w:eastAsia="ru-RU"/>
        </w:rPr>
        <w:t>4381,05</w:t>
      </w:r>
      <w:r w:rsidR="00FC22A8" w:rsidRPr="00E3035D">
        <w:rPr>
          <w:rFonts w:ascii="Times New Roman" w:eastAsia="Times New Roman" w:hAnsi="Times New Roman" w:cs="Times New Roman"/>
          <w:sz w:val="24"/>
          <w:szCs w:val="20"/>
          <w:lang w:eastAsia="ru-RU"/>
        </w:rPr>
        <w:t xml:space="preserve"> рубля</w:t>
      </w:r>
      <w:r w:rsidR="00A40CC9" w:rsidRPr="00E3035D">
        <w:rPr>
          <w:rFonts w:ascii="Times New Roman" w:eastAsia="Times New Roman" w:hAnsi="Times New Roman" w:cs="Times New Roman"/>
          <w:sz w:val="24"/>
          <w:szCs w:val="20"/>
          <w:lang w:eastAsia="ru-RU"/>
        </w:rPr>
        <w:t xml:space="preserve"> </w:t>
      </w:r>
      <w:r w:rsidRPr="00E3035D">
        <w:rPr>
          <w:rFonts w:ascii="Times New Roman" w:eastAsia="Times New Roman" w:hAnsi="Times New Roman" w:cs="Times New Roman"/>
          <w:sz w:val="24"/>
          <w:szCs w:val="20"/>
          <w:lang w:eastAsia="ru-RU"/>
        </w:rPr>
        <w:t>и увеличилась по сравнению с концом 201</w:t>
      </w:r>
      <w:r w:rsidR="00E3035D" w:rsidRPr="00E3035D">
        <w:rPr>
          <w:rFonts w:ascii="Times New Roman" w:eastAsia="Times New Roman" w:hAnsi="Times New Roman" w:cs="Times New Roman"/>
          <w:sz w:val="24"/>
          <w:szCs w:val="20"/>
          <w:lang w:eastAsia="ru-RU"/>
        </w:rPr>
        <w:t>4</w:t>
      </w:r>
      <w:r w:rsidRPr="00E3035D">
        <w:rPr>
          <w:rFonts w:ascii="Times New Roman" w:eastAsia="Times New Roman" w:hAnsi="Times New Roman" w:cs="Times New Roman"/>
          <w:sz w:val="24"/>
          <w:szCs w:val="20"/>
          <w:lang w:eastAsia="ru-RU"/>
        </w:rPr>
        <w:t xml:space="preserve"> года на </w:t>
      </w:r>
      <w:r w:rsidR="00E3035D" w:rsidRPr="00E3035D">
        <w:rPr>
          <w:rFonts w:ascii="Times New Roman" w:eastAsia="Times New Roman" w:hAnsi="Times New Roman" w:cs="Times New Roman"/>
          <w:sz w:val="24"/>
          <w:szCs w:val="20"/>
          <w:lang w:eastAsia="ru-RU"/>
        </w:rPr>
        <w:t>511,62</w:t>
      </w:r>
      <w:r w:rsidRPr="00E3035D">
        <w:rPr>
          <w:rFonts w:ascii="Times New Roman" w:eastAsia="Times New Roman" w:hAnsi="Times New Roman" w:cs="Times New Roman"/>
          <w:sz w:val="24"/>
          <w:szCs w:val="20"/>
          <w:lang w:eastAsia="ru-RU"/>
        </w:rPr>
        <w:t xml:space="preserve"> рубля, или на </w:t>
      </w:r>
      <w:r w:rsidR="00E3035D" w:rsidRPr="00E3035D">
        <w:rPr>
          <w:rFonts w:ascii="Times New Roman" w:eastAsia="Times New Roman" w:hAnsi="Times New Roman" w:cs="Times New Roman"/>
          <w:sz w:val="24"/>
          <w:szCs w:val="20"/>
          <w:lang w:eastAsia="ru-RU"/>
        </w:rPr>
        <w:t>13,2</w:t>
      </w:r>
      <w:r w:rsidR="00FA06E1">
        <w:rPr>
          <w:rFonts w:ascii="Times New Roman" w:eastAsia="Times New Roman" w:hAnsi="Times New Roman" w:cs="Times New Roman"/>
          <w:sz w:val="24"/>
          <w:szCs w:val="20"/>
          <w:lang w:eastAsia="ru-RU"/>
        </w:rPr>
        <w:t xml:space="preserve"> процента.</w:t>
      </w:r>
    </w:p>
    <w:p w:rsidR="00E3035D" w:rsidRPr="00E3035D" w:rsidRDefault="00E3035D" w:rsidP="00E303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E3035D">
        <w:rPr>
          <w:rFonts w:ascii="Times New Roman" w:eastAsia="Times New Roman" w:hAnsi="Times New Roman" w:cs="Times New Roman"/>
          <w:sz w:val="24"/>
          <w:szCs w:val="20"/>
          <w:lang w:eastAsia="ru-RU"/>
        </w:rPr>
        <w:t>Стоимость и</w:t>
      </w:r>
      <w:r>
        <w:rPr>
          <w:rFonts w:ascii="Times New Roman" w:eastAsia="Times New Roman" w:hAnsi="Times New Roman" w:cs="Times New Roman"/>
          <w:sz w:val="24"/>
          <w:szCs w:val="20"/>
          <w:lang w:eastAsia="ru-RU"/>
        </w:rPr>
        <w:t xml:space="preserve"> </w:t>
      </w:r>
      <w:r w:rsidRPr="00E3035D">
        <w:rPr>
          <w:rFonts w:ascii="Times New Roman" w:eastAsia="Times New Roman" w:hAnsi="Times New Roman" w:cs="Times New Roman"/>
          <w:sz w:val="24"/>
          <w:szCs w:val="20"/>
          <w:lang w:eastAsia="ru-RU"/>
        </w:rPr>
        <w:t>изменение стоимости фиксированного</w:t>
      </w:r>
      <w:r>
        <w:rPr>
          <w:rFonts w:ascii="Times New Roman" w:eastAsia="Times New Roman" w:hAnsi="Times New Roman" w:cs="Times New Roman"/>
          <w:sz w:val="24"/>
          <w:szCs w:val="20"/>
          <w:lang w:eastAsia="ru-RU"/>
        </w:rPr>
        <w:t xml:space="preserve"> </w:t>
      </w:r>
      <w:r w:rsidRPr="00E3035D">
        <w:rPr>
          <w:rFonts w:ascii="Times New Roman" w:eastAsia="Times New Roman" w:hAnsi="Times New Roman" w:cs="Times New Roman"/>
          <w:sz w:val="24"/>
          <w:szCs w:val="20"/>
          <w:lang w:eastAsia="ru-RU"/>
        </w:rPr>
        <w:t>набора товаров и</w:t>
      </w:r>
      <w:r>
        <w:rPr>
          <w:rFonts w:ascii="Times New Roman" w:eastAsia="Times New Roman" w:hAnsi="Times New Roman" w:cs="Times New Roman"/>
          <w:sz w:val="24"/>
          <w:szCs w:val="20"/>
          <w:lang w:eastAsia="ru-RU"/>
        </w:rPr>
        <w:t xml:space="preserve"> услуг для межрегиональных сопоставле</w:t>
      </w:r>
      <w:r w:rsidRPr="00E3035D">
        <w:rPr>
          <w:rFonts w:ascii="Times New Roman" w:eastAsia="Times New Roman" w:hAnsi="Times New Roman" w:cs="Times New Roman"/>
          <w:sz w:val="24"/>
          <w:szCs w:val="20"/>
          <w:lang w:eastAsia="ru-RU"/>
        </w:rPr>
        <w:t>ний покупательной</w:t>
      </w:r>
      <w:r>
        <w:rPr>
          <w:rFonts w:ascii="Times New Roman" w:eastAsia="Times New Roman" w:hAnsi="Times New Roman" w:cs="Times New Roman"/>
          <w:sz w:val="24"/>
          <w:szCs w:val="20"/>
          <w:lang w:eastAsia="ru-RU"/>
        </w:rPr>
        <w:t xml:space="preserve"> </w:t>
      </w:r>
      <w:r w:rsidRPr="00E3035D">
        <w:rPr>
          <w:rFonts w:ascii="Times New Roman" w:eastAsia="Times New Roman" w:hAnsi="Times New Roman" w:cs="Times New Roman"/>
          <w:sz w:val="24"/>
          <w:szCs w:val="20"/>
          <w:lang w:eastAsia="ru-RU"/>
        </w:rPr>
        <w:t>способности населения в расчете на</w:t>
      </w:r>
      <w:r>
        <w:rPr>
          <w:rFonts w:ascii="Times New Roman" w:eastAsia="Times New Roman" w:hAnsi="Times New Roman" w:cs="Times New Roman"/>
          <w:sz w:val="24"/>
          <w:szCs w:val="20"/>
          <w:lang w:eastAsia="ru-RU"/>
        </w:rPr>
        <w:t xml:space="preserve"> </w:t>
      </w:r>
      <w:r w:rsidRPr="00E3035D">
        <w:rPr>
          <w:rFonts w:ascii="Times New Roman" w:eastAsia="Times New Roman" w:hAnsi="Times New Roman" w:cs="Times New Roman"/>
          <w:sz w:val="24"/>
          <w:szCs w:val="20"/>
          <w:lang w:eastAsia="ru-RU"/>
        </w:rPr>
        <w:t>месяц</w:t>
      </w:r>
      <w:r>
        <w:rPr>
          <w:rFonts w:ascii="Times New Roman" w:eastAsia="Times New Roman" w:hAnsi="Times New Roman" w:cs="Times New Roman"/>
          <w:sz w:val="24"/>
          <w:szCs w:val="20"/>
          <w:lang w:eastAsia="ru-RU"/>
        </w:rPr>
        <w:t xml:space="preserve"> по Амурской области в декабре 2015 года составила 14742,14 рубля, что выше уровня декабря 2014 года на 10,7 процента и выше уровня стоимости такого набора по Российской Федерации на 1337,84 рубля или 9,98 процента.</w:t>
      </w:r>
    </w:p>
    <w:p w:rsidR="00BE06DE" w:rsidRPr="00FA06E1" w:rsidRDefault="00BE06DE" w:rsidP="00396C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u w:val="single"/>
          <w:lang w:eastAsia="ru-RU"/>
        </w:rPr>
      </w:pPr>
      <w:r w:rsidRPr="00E3035D">
        <w:rPr>
          <w:rFonts w:ascii="Times New Roman" w:eastAsia="Times New Roman" w:hAnsi="Times New Roman" w:cs="Times New Roman"/>
          <w:sz w:val="24"/>
          <w:szCs w:val="20"/>
          <w:u w:val="single"/>
          <w:lang w:eastAsia="ru-RU"/>
        </w:rPr>
        <w:t>1.2.6. Финансовый результат хозяйствующих субъектов</w:t>
      </w:r>
    </w:p>
    <w:p w:rsidR="00BE06DE" w:rsidRPr="0000549F" w:rsidRDefault="008F22FC" w:rsidP="00BE0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E0274D">
        <w:rPr>
          <w:rFonts w:ascii="Times New Roman" w:eastAsia="Times New Roman" w:hAnsi="Times New Roman" w:cs="Times New Roman"/>
          <w:sz w:val="24"/>
          <w:szCs w:val="20"/>
          <w:lang w:eastAsia="ru-RU"/>
        </w:rPr>
        <w:t>В 2015 году 188</w:t>
      </w:r>
      <w:r w:rsidR="00BE06DE" w:rsidRPr="00E0274D">
        <w:rPr>
          <w:rFonts w:ascii="Times New Roman" w:eastAsia="Times New Roman" w:hAnsi="Times New Roman" w:cs="Times New Roman"/>
          <w:sz w:val="24"/>
          <w:szCs w:val="20"/>
          <w:lang w:eastAsia="ru-RU"/>
        </w:rPr>
        <w:t xml:space="preserve"> организаци</w:t>
      </w:r>
      <w:r w:rsidRPr="00E0274D">
        <w:rPr>
          <w:rFonts w:ascii="Times New Roman" w:eastAsia="Times New Roman" w:hAnsi="Times New Roman" w:cs="Times New Roman"/>
          <w:sz w:val="24"/>
          <w:szCs w:val="20"/>
          <w:lang w:eastAsia="ru-RU"/>
        </w:rPr>
        <w:t>й</w:t>
      </w:r>
      <w:r w:rsidR="00BE06DE" w:rsidRPr="00E0274D">
        <w:rPr>
          <w:rFonts w:ascii="Times New Roman" w:eastAsia="Times New Roman" w:hAnsi="Times New Roman" w:cs="Times New Roman"/>
          <w:sz w:val="24"/>
          <w:szCs w:val="20"/>
          <w:lang w:eastAsia="ru-RU"/>
        </w:rPr>
        <w:t xml:space="preserve"> </w:t>
      </w:r>
      <w:r w:rsidR="00C338F4" w:rsidRPr="00E0274D">
        <w:rPr>
          <w:rFonts w:ascii="Times New Roman" w:eastAsia="Times New Roman" w:hAnsi="Times New Roman" w:cs="Times New Roman"/>
          <w:sz w:val="24"/>
          <w:szCs w:val="20"/>
          <w:lang w:eastAsia="ru-RU"/>
        </w:rPr>
        <w:t xml:space="preserve">в Амурской области </w:t>
      </w:r>
      <w:r w:rsidR="00BE06DE" w:rsidRPr="00E0274D">
        <w:rPr>
          <w:rFonts w:ascii="Times New Roman" w:eastAsia="Times New Roman" w:hAnsi="Times New Roman" w:cs="Times New Roman"/>
          <w:sz w:val="24"/>
          <w:szCs w:val="20"/>
          <w:lang w:eastAsia="ru-RU"/>
        </w:rPr>
        <w:t>получил</w:t>
      </w:r>
      <w:r w:rsidR="00601BD5">
        <w:rPr>
          <w:rFonts w:ascii="Times New Roman" w:eastAsia="Times New Roman" w:hAnsi="Times New Roman" w:cs="Times New Roman"/>
          <w:sz w:val="24"/>
          <w:szCs w:val="20"/>
          <w:lang w:eastAsia="ru-RU"/>
        </w:rPr>
        <w:t>и</w:t>
      </w:r>
      <w:r w:rsidR="00BE06DE" w:rsidRPr="00E0274D">
        <w:rPr>
          <w:rFonts w:ascii="Times New Roman" w:eastAsia="Times New Roman" w:hAnsi="Times New Roman" w:cs="Times New Roman"/>
          <w:sz w:val="24"/>
          <w:szCs w:val="20"/>
          <w:lang w:eastAsia="ru-RU"/>
        </w:rPr>
        <w:t xml:space="preserve"> прибыль в размере </w:t>
      </w:r>
      <w:r w:rsidR="0074635D">
        <w:rPr>
          <w:rFonts w:ascii="Times New Roman" w:eastAsia="Times New Roman" w:hAnsi="Times New Roman" w:cs="Times New Roman"/>
          <w:sz w:val="24"/>
          <w:szCs w:val="20"/>
          <w:lang w:eastAsia="ru-RU"/>
        </w:rPr>
        <w:br/>
      </w:r>
      <w:r w:rsidRPr="00E0274D">
        <w:rPr>
          <w:rFonts w:ascii="Times New Roman" w:eastAsia="Times New Roman" w:hAnsi="Times New Roman" w:cs="Times New Roman"/>
          <w:sz w:val="24"/>
          <w:szCs w:val="20"/>
          <w:lang w:eastAsia="ru-RU"/>
        </w:rPr>
        <w:t>26017</w:t>
      </w:r>
      <w:r w:rsidR="00025C3D">
        <w:rPr>
          <w:rFonts w:ascii="Times New Roman" w:eastAsia="Times New Roman" w:hAnsi="Times New Roman" w:cs="Times New Roman"/>
          <w:sz w:val="24"/>
          <w:szCs w:val="20"/>
          <w:lang w:eastAsia="ru-RU"/>
        </w:rPr>
        <w:t>,6</w:t>
      </w:r>
      <w:r w:rsidR="00BE06DE" w:rsidRPr="00E0274D">
        <w:rPr>
          <w:rFonts w:ascii="Times New Roman" w:eastAsia="Times New Roman" w:hAnsi="Times New Roman" w:cs="Times New Roman"/>
          <w:sz w:val="24"/>
          <w:szCs w:val="20"/>
          <w:lang w:eastAsia="ru-RU"/>
        </w:rPr>
        <w:t xml:space="preserve"> млн. рублей, </w:t>
      </w:r>
      <w:r w:rsidRPr="00E0274D">
        <w:rPr>
          <w:rFonts w:ascii="Times New Roman" w:eastAsia="Times New Roman" w:hAnsi="Times New Roman" w:cs="Times New Roman"/>
          <w:sz w:val="24"/>
          <w:szCs w:val="20"/>
          <w:lang w:eastAsia="ru-RU"/>
        </w:rPr>
        <w:t>67 организаций</w:t>
      </w:r>
      <w:r w:rsidR="00BE06DE" w:rsidRPr="00E0274D">
        <w:rPr>
          <w:rFonts w:ascii="Times New Roman" w:eastAsia="Times New Roman" w:hAnsi="Times New Roman" w:cs="Times New Roman"/>
          <w:sz w:val="24"/>
          <w:szCs w:val="20"/>
          <w:lang w:eastAsia="ru-RU"/>
        </w:rPr>
        <w:t xml:space="preserve"> - убыток на сумму </w:t>
      </w:r>
      <w:r w:rsidRPr="00E0274D">
        <w:rPr>
          <w:rFonts w:ascii="Times New Roman" w:eastAsia="Times New Roman" w:hAnsi="Times New Roman" w:cs="Times New Roman"/>
          <w:sz w:val="24"/>
          <w:szCs w:val="20"/>
          <w:lang w:eastAsia="ru-RU"/>
        </w:rPr>
        <w:t>5547,</w:t>
      </w:r>
      <w:r w:rsidR="00025C3D">
        <w:rPr>
          <w:rFonts w:ascii="Times New Roman" w:eastAsia="Times New Roman" w:hAnsi="Times New Roman" w:cs="Times New Roman"/>
          <w:sz w:val="24"/>
          <w:szCs w:val="20"/>
          <w:lang w:eastAsia="ru-RU"/>
        </w:rPr>
        <w:t>2</w:t>
      </w:r>
      <w:r w:rsidR="00BE06DE" w:rsidRPr="00E0274D">
        <w:rPr>
          <w:rFonts w:ascii="Times New Roman" w:eastAsia="Times New Roman" w:hAnsi="Times New Roman" w:cs="Times New Roman"/>
          <w:sz w:val="24"/>
          <w:szCs w:val="20"/>
          <w:lang w:eastAsia="ru-RU"/>
        </w:rPr>
        <w:t xml:space="preserve"> млн. рублей. Сальдированный финансовый результат (прибыль минус убыток) организаций (без банков, страховых и бюджетных организаций) по оперативным данным за 201</w:t>
      </w:r>
      <w:r w:rsidRPr="00E0274D">
        <w:rPr>
          <w:rFonts w:ascii="Times New Roman" w:eastAsia="Times New Roman" w:hAnsi="Times New Roman" w:cs="Times New Roman"/>
          <w:sz w:val="24"/>
          <w:szCs w:val="20"/>
          <w:lang w:eastAsia="ru-RU"/>
        </w:rPr>
        <w:t>5</w:t>
      </w:r>
      <w:r w:rsidR="00BE06DE" w:rsidRPr="00E0274D">
        <w:rPr>
          <w:rFonts w:ascii="Times New Roman" w:eastAsia="Times New Roman" w:hAnsi="Times New Roman" w:cs="Times New Roman"/>
          <w:sz w:val="24"/>
          <w:szCs w:val="20"/>
          <w:lang w:eastAsia="ru-RU"/>
        </w:rPr>
        <w:t xml:space="preserve"> год </w:t>
      </w:r>
      <w:r w:rsidR="00BE06DE" w:rsidRPr="00AD30C3">
        <w:rPr>
          <w:rFonts w:ascii="Times New Roman" w:eastAsia="Times New Roman" w:hAnsi="Times New Roman" w:cs="Times New Roman"/>
          <w:sz w:val="24"/>
          <w:szCs w:val="20"/>
          <w:lang w:eastAsia="ru-RU"/>
        </w:rPr>
        <w:t xml:space="preserve">составил </w:t>
      </w:r>
      <w:r w:rsidR="00E0274D" w:rsidRPr="00AD30C3">
        <w:rPr>
          <w:rFonts w:ascii="Times New Roman" w:eastAsia="Times New Roman" w:hAnsi="Times New Roman" w:cs="Times New Roman"/>
          <w:sz w:val="24"/>
          <w:szCs w:val="20"/>
          <w:lang w:eastAsia="ru-RU"/>
        </w:rPr>
        <w:t>20470,4</w:t>
      </w:r>
      <w:r w:rsidR="00BE06DE" w:rsidRPr="00AD30C3">
        <w:rPr>
          <w:rFonts w:ascii="Times New Roman" w:eastAsia="Times New Roman" w:hAnsi="Times New Roman" w:cs="Times New Roman"/>
          <w:sz w:val="24"/>
          <w:szCs w:val="20"/>
          <w:lang w:eastAsia="ru-RU"/>
        </w:rPr>
        <w:t xml:space="preserve"> млн</w:t>
      </w:r>
      <w:r w:rsidR="00BE06DE" w:rsidRPr="00E0274D">
        <w:rPr>
          <w:rFonts w:ascii="Times New Roman" w:eastAsia="Times New Roman" w:hAnsi="Times New Roman" w:cs="Times New Roman"/>
          <w:sz w:val="24"/>
          <w:szCs w:val="20"/>
          <w:lang w:eastAsia="ru-RU"/>
        </w:rPr>
        <w:t xml:space="preserve">. рублей </w:t>
      </w:r>
      <w:r w:rsidR="00BE06DE" w:rsidRPr="0000549F">
        <w:rPr>
          <w:rFonts w:ascii="Times New Roman" w:eastAsia="Times New Roman" w:hAnsi="Times New Roman" w:cs="Times New Roman"/>
          <w:sz w:val="24"/>
          <w:szCs w:val="20"/>
          <w:lang w:eastAsia="ru-RU"/>
        </w:rPr>
        <w:t>прибыли.</w:t>
      </w:r>
    </w:p>
    <w:p w:rsidR="00E0274D" w:rsidRPr="0000549F" w:rsidRDefault="00E0274D" w:rsidP="00E027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0549F">
        <w:rPr>
          <w:rFonts w:ascii="Times New Roman" w:eastAsia="Times New Roman" w:hAnsi="Times New Roman" w:cs="Times New Roman"/>
          <w:sz w:val="24"/>
          <w:szCs w:val="20"/>
          <w:lang w:eastAsia="ru-RU"/>
        </w:rPr>
        <w:t>Наибольший вклад в объем прибыли области внесли организации, занимающиеся добычей полезных ископаемых – 17270,8 млн. рублей, или 66,4 процента всей прибыли, сельским хозяйством, охотой и лесным хозяйством – 3055,1 млн. рублей, или 11,7 процента, строительством – 2038,5 млн. рублей, или 7,8 процента, производством и распределением электроэнергии, газа и воды – 1793,0 млн. рублей, или 6,9 процента.</w:t>
      </w:r>
    </w:p>
    <w:p w:rsidR="00BE06DE" w:rsidRPr="0000549F" w:rsidRDefault="00BE06DE" w:rsidP="00BE0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0549F">
        <w:rPr>
          <w:rFonts w:ascii="Times New Roman" w:eastAsia="Times New Roman" w:hAnsi="Times New Roman" w:cs="Times New Roman"/>
          <w:sz w:val="24"/>
          <w:szCs w:val="20"/>
          <w:lang w:eastAsia="ru-RU"/>
        </w:rPr>
        <w:t>В 201</w:t>
      </w:r>
      <w:r w:rsidR="0000549F" w:rsidRPr="0000549F">
        <w:rPr>
          <w:rFonts w:ascii="Times New Roman" w:eastAsia="Times New Roman" w:hAnsi="Times New Roman" w:cs="Times New Roman"/>
          <w:sz w:val="24"/>
          <w:szCs w:val="20"/>
          <w:lang w:eastAsia="ru-RU"/>
        </w:rPr>
        <w:t>5</w:t>
      </w:r>
      <w:r w:rsidRPr="0000549F">
        <w:rPr>
          <w:rFonts w:ascii="Times New Roman" w:eastAsia="Times New Roman" w:hAnsi="Times New Roman" w:cs="Times New Roman"/>
          <w:sz w:val="24"/>
          <w:szCs w:val="20"/>
          <w:lang w:eastAsia="ru-RU"/>
        </w:rPr>
        <w:t xml:space="preserve"> году по сравнению с 201</w:t>
      </w:r>
      <w:r w:rsidR="0000549F" w:rsidRPr="0000549F">
        <w:rPr>
          <w:rFonts w:ascii="Times New Roman" w:eastAsia="Times New Roman" w:hAnsi="Times New Roman" w:cs="Times New Roman"/>
          <w:sz w:val="24"/>
          <w:szCs w:val="20"/>
          <w:lang w:eastAsia="ru-RU"/>
        </w:rPr>
        <w:t>4 годом сократилась</w:t>
      </w:r>
      <w:r w:rsidRPr="0000549F">
        <w:rPr>
          <w:rFonts w:ascii="Times New Roman" w:eastAsia="Times New Roman" w:hAnsi="Times New Roman" w:cs="Times New Roman"/>
          <w:sz w:val="24"/>
          <w:szCs w:val="20"/>
          <w:lang w:eastAsia="ru-RU"/>
        </w:rPr>
        <w:t xml:space="preserve"> на </w:t>
      </w:r>
      <w:r w:rsidR="00FC4B58">
        <w:rPr>
          <w:rFonts w:ascii="Times New Roman" w:eastAsia="Times New Roman" w:hAnsi="Times New Roman" w:cs="Times New Roman"/>
          <w:sz w:val="24"/>
          <w:szCs w:val="20"/>
          <w:lang w:eastAsia="ru-RU"/>
        </w:rPr>
        <w:t>12,1</w:t>
      </w:r>
      <w:r w:rsidRPr="0000549F">
        <w:rPr>
          <w:rFonts w:ascii="Times New Roman" w:eastAsia="Times New Roman" w:hAnsi="Times New Roman" w:cs="Times New Roman"/>
          <w:sz w:val="24"/>
          <w:szCs w:val="20"/>
          <w:lang w:eastAsia="ru-RU"/>
        </w:rPr>
        <w:t xml:space="preserve"> процентн</w:t>
      </w:r>
      <w:r w:rsidR="0000549F" w:rsidRPr="0000549F">
        <w:rPr>
          <w:rFonts w:ascii="Times New Roman" w:eastAsia="Times New Roman" w:hAnsi="Times New Roman" w:cs="Times New Roman"/>
          <w:sz w:val="24"/>
          <w:szCs w:val="20"/>
          <w:lang w:eastAsia="ru-RU"/>
        </w:rPr>
        <w:t>ых</w:t>
      </w:r>
      <w:r w:rsidRPr="0000549F">
        <w:rPr>
          <w:rFonts w:ascii="Times New Roman" w:eastAsia="Times New Roman" w:hAnsi="Times New Roman" w:cs="Times New Roman"/>
          <w:sz w:val="24"/>
          <w:szCs w:val="20"/>
          <w:lang w:eastAsia="ru-RU"/>
        </w:rPr>
        <w:t xml:space="preserve"> пункт</w:t>
      </w:r>
      <w:r w:rsidR="00FC4B58">
        <w:rPr>
          <w:rFonts w:ascii="Times New Roman" w:eastAsia="Times New Roman" w:hAnsi="Times New Roman" w:cs="Times New Roman"/>
          <w:sz w:val="24"/>
          <w:szCs w:val="20"/>
          <w:lang w:eastAsia="ru-RU"/>
        </w:rPr>
        <w:t>а</w:t>
      </w:r>
      <w:r w:rsidRPr="0000549F">
        <w:rPr>
          <w:rFonts w:ascii="Times New Roman" w:eastAsia="Times New Roman" w:hAnsi="Times New Roman" w:cs="Times New Roman"/>
          <w:sz w:val="24"/>
          <w:szCs w:val="20"/>
          <w:lang w:eastAsia="ru-RU"/>
        </w:rPr>
        <w:t xml:space="preserve"> доля убыточных крупных и средних организаций области (без банков, страховых и</w:t>
      </w:r>
      <w:r w:rsidR="0000549F">
        <w:rPr>
          <w:rFonts w:ascii="Times New Roman" w:eastAsia="Times New Roman" w:hAnsi="Times New Roman" w:cs="Times New Roman"/>
          <w:sz w:val="24"/>
          <w:szCs w:val="20"/>
          <w:lang w:eastAsia="ru-RU"/>
        </w:rPr>
        <w:t xml:space="preserve"> бюджетных организаций). За 2015</w:t>
      </w:r>
      <w:r w:rsidRPr="0000549F">
        <w:rPr>
          <w:rFonts w:ascii="Times New Roman" w:eastAsia="Times New Roman" w:hAnsi="Times New Roman" w:cs="Times New Roman"/>
          <w:sz w:val="24"/>
          <w:szCs w:val="20"/>
          <w:lang w:eastAsia="ru-RU"/>
        </w:rPr>
        <w:t xml:space="preserve"> год доля убыточных организаций составила </w:t>
      </w:r>
      <w:r w:rsidR="0000549F" w:rsidRPr="0000549F">
        <w:rPr>
          <w:rFonts w:ascii="Times New Roman" w:eastAsia="Times New Roman" w:hAnsi="Times New Roman" w:cs="Times New Roman"/>
          <w:sz w:val="24"/>
          <w:szCs w:val="20"/>
          <w:lang w:eastAsia="ru-RU"/>
        </w:rPr>
        <w:t>26,3</w:t>
      </w:r>
      <w:r w:rsidRPr="0000549F">
        <w:rPr>
          <w:rFonts w:ascii="Times New Roman" w:eastAsia="Times New Roman" w:hAnsi="Times New Roman" w:cs="Times New Roman"/>
          <w:sz w:val="24"/>
          <w:szCs w:val="20"/>
          <w:lang w:eastAsia="ru-RU"/>
        </w:rPr>
        <w:t xml:space="preserve"> процента.</w:t>
      </w:r>
    </w:p>
    <w:p w:rsidR="00BE06DE" w:rsidRPr="0000549F" w:rsidRDefault="00BE06DE" w:rsidP="00BE0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0549F">
        <w:rPr>
          <w:rFonts w:ascii="Times New Roman" w:eastAsia="Times New Roman" w:hAnsi="Times New Roman" w:cs="Times New Roman"/>
          <w:sz w:val="24"/>
          <w:szCs w:val="20"/>
          <w:lang w:eastAsia="ru-RU"/>
        </w:rPr>
        <w:t>Суммарная задолженность по обязательствам (кредиторская, задолженность по кредитам банков и займам) организаций, по оперативным данным на 01.01.201</w:t>
      </w:r>
      <w:r w:rsidR="0000549F" w:rsidRPr="0000549F">
        <w:rPr>
          <w:rFonts w:ascii="Times New Roman" w:eastAsia="Times New Roman" w:hAnsi="Times New Roman" w:cs="Times New Roman"/>
          <w:sz w:val="24"/>
          <w:szCs w:val="20"/>
          <w:lang w:eastAsia="ru-RU"/>
        </w:rPr>
        <w:t>6</w:t>
      </w:r>
      <w:r w:rsidRPr="0000549F">
        <w:rPr>
          <w:rFonts w:ascii="Times New Roman" w:eastAsia="Times New Roman" w:hAnsi="Times New Roman" w:cs="Times New Roman"/>
          <w:sz w:val="24"/>
          <w:szCs w:val="20"/>
          <w:lang w:eastAsia="ru-RU"/>
        </w:rPr>
        <w:t xml:space="preserve">, составила </w:t>
      </w:r>
      <w:r w:rsidR="0000549F" w:rsidRPr="0000549F">
        <w:rPr>
          <w:rFonts w:ascii="Times New Roman" w:eastAsia="Times New Roman" w:hAnsi="Times New Roman" w:cs="Times New Roman"/>
          <w:sz w:val="24"/>
          <w:szCs w:val="20"/>
          <w:lang w:eastAsia="ru-RU"/>
        </w:rPr>
        <w:t xml:space="preserve">131,4 </w:t>
      </w:r>
      <w:r w:rsidRPr="0000549F">
        <w:rPr>
          <w:rFonts w:ascii="Times New Roman" w:eastAsia="Times New Roman" w:hAnsi="Times New Roman" w:cs="Times New Roman"/>
          <w:sz w:val="24"/>
          <w:szCs w:val="20"/>
          <w:lang w:eastAsia="ru-RU"/>
        </w:rPr>
        <w:t xml:space="preserve">млрд. рублей, из </w:t>
      </w:r>
      <w:r w:rsidRPr="00AD30C3">
        <w:rPr>
          <w:rFonts w:ascii="Times New Roman" w:eastAsia="Times New Roman" w:hAnsi="Times New Roman" w:cs="Times New Roman"/>
          <w:sz w:val="24"/>
          <w:szCs w:val="20"/>
          <w:lang w:eastAsia="ru-RU"/>
        </w:rPr>
        <w:t xml:space="preserve">нее просроченная – </w:t>
      </w:r>
      <w:r w:rsidR="0000549F" w:rsidRPr="00AD30C3">
        <w:rPr>
          <w:rFonts w:ascii="Times New Roman" w:eastAsia="Times New Roman" w:hAnsi="Times New Roman" w:cs="Times New Roman"/>
          <w:sz w:val="24"/>
          <w:szCs w:val="20"/>
          <w:lang w:eastAsia="ru-RU"/>
        </w:rPr>
        <w:t xml:space="preserve">3,1 </w:t>
      </w:r>
      <w:r w:rsidR="00AD30C3" w:rsidRPr="00AD30C3">
        <w:rPr>
          <w:rFonts w:ascii="Times New Roman" w:eastAsia="Times New Roman" w:hAnsi="Times New Roman" w:cs="Times New Roman"/>
          <w:sz w:val="24"/>
          <w:szCs w:val="20"/>
          <w:lang w:eastAsia="ru-RU"/>
        </w:rPr>
        <w:t xml:space="preserve">млрд. рублей, или 2,4 </w:t>
      </w:r>
      <w:r w:rsidRPr="00AD30C3">
        <w:rPr>
          <w:rFonts w:ascii="Times New Roman" w:eastAsia="Times New Roman" w:hAnsi="Times New Roman" w:cs="Times New Roman"/>
          <w:sz w:val="24"/>
          <w:szCs w:val="20"/>
          <w:lang w:eastAsia="ru-RU"/>
        </w:rPr>
        <w:t>процента</w:t>
      </w:r>
      <w:r w:rsidRPr="0000549F">
        <w:rPr>
          <w:rFonts w:ascii="Times New Roman" w:eastAsia="Times New Roman" w:hAnsi="Times New Roman" w:cs="Times New Roman"/>
          <w:sz w:val="24"/>
          <w:szCs w:val="20"/>
          <w:lang w:eastAsia="ru-RU"/>
        </w:rPr>
        <w:t>.</w:t>
      </w:r>
    </w:p>
    <w:p w:rsidR="00BE06DE" w:rsidRPr="0000549F" w:rsidRDefault="00BE06DE" w:rsidP="00BE06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0549F">
        <w:rPr>
          <w:rFonts w:ascii="Times New Roman" w:eastAsia="Times New Roman" w:hAnsi="Times New Roman" w:cs="Times New Roman"/>
          <w:sz w:val="24"/>
          <w:szCs w:val="20"/>
          <w:lang w:eastAsia="ru-RU"/>
        </w:rPr>
        <w:t xml:space="preserve">Основную часть просроченной кредиторской задолженности занимают долги поставщикам, которые составили </w:t>
      </w:r>
      <w:r w:rsidR="0000549F" w:rsidRPr="0000549F">
        <w:rPr>
          <w:rFonts w:ascii="Times New Roman" w:eastAsia="Times New Roman" w:hAnsi="Times New Roman" w:cs="Times New Roman"/>
          <w:sz w:val="24"/>
          <w:szCs w:val="20"/>
          <w:lang w:eastAsia="ru-RU"/>
        </w:rPr>
        <w:t>2,0 млрд. рублей, или 66,6</w:t>
      </w:r>
      <w:r w:rsidRPr="0000549F">
        <w:rPr>
          <w:rFonts w:ascii="Times New Roman" w:eastAsia="Times New Roman" w:hAnsi="Times New Roman" w:cs="Times New Roman"/>
          <w:sz w:val="24"/>
          <w:szCs w:val="20"/>
          <w:lang w:eastAsia="ru-RU"/>
        </w:rPr>
        <w:t xml:space="preserve"> процента от общего объема просроченной кредиторской задолженности.</w:t>
      </w:r>
    </w:p>
    <w:p w:rsidR="00235F5B" w:rsidRPr="0078549E" w:rsidRDefault="005E47D7" w:rsidP="00CD6BA4">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8549E">
        <w:rPr>
          <w:rFonts w:ascii="Times New Roman" w:eastAsia="Times New Roman" w:hAnsi="Times New Roman" w:cs="Times New Roman"/>
          <w:sz w:val="24"/>
          <w:szCs w:val="24"/>
          <w:u w:val="single"/>
          <w:lang w:eastAsia="ru-RU"/>
        </w:rPr>
        <w:t>1.2.</w:t>
      </w:r>
      <w:r w:rsidR="00BE06DE" w:rsidRPr="0078549E">
        <w:rPr>
          <w:rFonts w:ascii="Times New Roman" w:eastAsia="Times New Roman" w:hAnsi="Times New Roman" w:cs="Times New Roman"/>
          <w:sz w:val="24"/>
          <w:szCs w:val="24"/>
          <w:u w:val="single"/>
          <w:lang w:eastAsia="ru-RU"/>
        </w:rPr>
        <w:t>7</w:t>
      </w:r>
      <w:r w:rsidRPr="0078549E">
        <w:rPr>
          <w:rFonts w:ascii="Times New Roman" w:eastAsia="Times New Roman" w:hAnsi="Times New Roman" w:cs="Times New Roman"/>
          <w:sz w:val="24"/>
          <w:szCs w:val="24"/>
          <w:u w:val="single"/>
          <w:lang w:eastAsia="ru-RU"/>
        </w:rPr>
        <w:t>. Кредитование физических лиц</w:t>
      </w:r>
    </w:p>
    <w:p w:rsidR="00006816" w:rsidRPr="00C42190" w:rsidRDefault="005E47D7" w:rsidP="00CD6BA4">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2190">
        <w:rPr>
          <w:rFonts w:ascii="Times New Roman" w:eastAsia="Times New Roman" w:hAnsi="Times New Roman" w:cs="Times New Roman"/>
          <w:i/>
          <w:sz w:val="24"/>
          <w:szCs w:val="24"/>
          <w:lang w:eastAsia="ru-RU"/>
        </w:rPr>
        <w:t>Объем кредитов, предоставленных в рублях в 201</w:t>
      </w:r>
      <w:r w:rsidR="00C42190" w:rsidRPr="00C42190">
        <w:rPr>
          <w:rFonts w:ascii="Times New Roman" w:eastAsia="Times New Roman" w:hAnsi="Times New Roman" w:cs="Times New Roman"/>
          <w:i/>
          <w:sz w:val="24"/>
          <w:szCs w:val="24"/>
          <w:lang w:eastAsia="ru-RU"/>
        </w:rPr>
        <w:t>5</w:t>
      </w:r>
      <w:r w:rsidRPr="00C42190">
        <w:rPr>
          <w:rFonts w:ascii="Times New Roman" w:eastAsia="Times New Roman" w:hAnsi="Times New Roman" w:cs="Times New Roman"/>
          <w:i/>
          <w:sz w:val="24"/>
          <w:szCs w:val="24"/>
          <w:lang w:eastAsia="ru-RU"/>
        </w:rPr>
        <w:t xml:space="preserve"> году</w:t>
      </w:r>
      <w:r w:rsidR="00006816" w:rsidRPr="00C42190">
        <w:rPr>
          <w:rFonts w:ascii="Times New Roman" w:eastAsia="Times New Roman" w:hAnsi="Times New Roman" w:cs="Times New Roman"/>
          <w:i/>
          <w:sz w:val="24"/>
          <w:szCs w:val="24"/>
          <w:lang w:eastAsia="ru-RU"/>
        </w:rPr>
        <w:t xml:space="preserve"> (по состоянию на 01.01.201</w:t>
      </w:r>
      <w:r w:rsidR="00C42190" w:rsidRPr="00C42190">
        <w:rPr>
          <w:rFonts w:ascii="Times New Roman" w:eastAsia="Times New Roman" w:hAnsi="Times New Roman" w:cs="Times New Roman"/>
          <w:i/>
          <w:sz w:val="24"/>
          <w:szCs w:val="24"/>
          <w:lang w:eastAsia="ru-RU"/>
        </w:rPr>
        <w:t>6</w:t>
      </w:r>
      <w:r w:rsidR="00006816" w:rsidRPr="00C42190">
        <w:rPr>
          <w:rFonts w:ascii="Times New Roman" w:eastAsia="Times New Roman" w:hAnsi="Times New Roman" w:cs="Times New Roman"/>
          <w:i/>
          <w:sz w:val="24"/>
          <w:szCs w:val="24"/>
          <w:lang w:eastAsia="ru-RU"/>
        </w:rPr>
        <w:t>)</w:t>
      </w:r>
      <w:r w:rsidR="00096F56" w:rsidRPr="00C42190">
        <w:rPr>
          <w:rFonts w:ascii="Times New Roman" w:eastAsia="Times New Roman" w:hAnsi="Times New Roman" w:cs="Times New Roman"/>
          <w:sz w:val="24"/>
          <w:szCs w:val="24"/>
          <w:lang w:eastAsia="ru-RU"/>
        </w:rPr>
        <w:t>,</w:t>
      </w:r>
      <w:r w:rsidRPr="00C42190">
        <w:rPr>
          <w:rFonts w:ascii="Times New Roman" w:eastAsia="Times New Roman" w:hAnsi="Times New Roman" w:cs="Times New Roman"/>
          <w:sz w:val="24"/>
          <w:szCs w:val="24"/>
          <w:lang w:eastAsia="ru-RU"/>
        </w:rPr>
        <w:t xml:space="preserve"> составил </w:t>
      </w:r>
      <w:r w:rsidR="00C42190" w:rsidRPr="00C42190">
        <w:rPr>
          <w:rFonts w:ascii="Times New Roman" w:eastAsia="Times New Roman" w:hAnsi="Times New Roman" w:cs="Times New Roman"/>
          <w:sz w:val="24"/>
          <w:szCs w:val="24"/>
          <w:lang w:eastAsia="ru-RU"/>
        </w:rPr>
        <w:t xml:space="preserve">59671,9 </w:t>
      </w:r>
      <w:r w:rsidR="00096F56" w:rsidRPr="00C42190">
        <w:rPr>
          <w:rFonts w:ascii="Times New Roman" w:eastAsia="Times New Roman" w:hAnsi="Times New Roman" w:cs="Times New Roman"/>
          <w:sz w:val="24"/>
          <w:szCs w:val="24"/>
          <w:lang w:eastAsia="ru-RU"/>
        </w:rPr>
        <w:t>млн. рублей, что составляет 9</w:t>
      </w:r>
      <w:r w:rsidR="00C42190" w:rsidRPr="00C42190">
        <w:rPr>
          <w:rFonts w:ascii="Times New Roman" w:eastAsia="Times New Roman" w:hAnsi="Times New Roman" w:cs="Times New Roman"/>
          <w:sz w:val="24"/>
          <w:szCs w:val="24"/>
          <w:lang w:eastAsia="ru-RU"/>
        </w:rPr>
        <w:t>8,5</w:t>
      </w:r>
      <w:r w:rsidR="00096F56" w:rsidRPr="00C42190">
        <w:rPr>
          <w:rFonts w:ascii="Times New Roman" w:eastAsia="Times New Roman" w:hAnsi="Times New Roman" w:cs="Times New Roman"/>
          <w:sz w:val="24"/>
          <w:szCs w:val="24"/>
          <w:lang w:eastAsia="ru-RU"/>
        </w:rPr>
        <w:t xml:space="preserve"> процента всег</w:t>
      </w:r>
      <w:r w:rsidR="00A40CC9" w:rsidRPr="00C42190">
        <w:rPr>
          <w:rFonts w:ascii="Times New Roman" w:eastAsia="Times New Roman" w:hAnsi="Times New Roman" w:cs="Times New Roman"/>
          <w:sz w:val="24"/>
          <w:szCs w:val="24"/>
          <w:lang w:eastAsia="ru-RU"/>
        </w:rPr>
        <w:t xml:space="preserve">о объема выданных </w:t>
      </w:r>
      <w:r w:rsidR="00F72393">
        <w:rPr>
          <w:rFonts w:ascii="Times New Roman" w:eastAsia="Times New Roman" w:hAnsi="Times New Roman" w:cs="Times New Roman"/>
          <w:sz w:val="24"/>
          <w:szCs w:val="24"/>
          <w:lang w:eastAsia="ru-RU"/>
        </w:rPr>
        <w:br/>
      </w:r>
      <w:r w:rsidR="00A40CC9" w:rsidRPr="00C42190">
        <w:rPr>
          <w:rFonts w:ascii="Times New Roman" w:eastAsia="Times New Roman" w:hAnsi="Times New Roman" w:cs="Times New Roman"/>
          <w:sz w:val="24"/>
          <w:szCs w:val="24"/>
          <w:lang w:eastAsia="ru-RU"/>
        </w:rPr>
        <w:t>в 201</w:t>
      </w:r>
      <w:r w:rsidR="00C42190" w:rsidRPr="00C42190">
        <w:rPr>
          <w:rFonts w:ascii="Times New Roman" w:eastAsia="Times New Roman" w:hAnsi="Times New Roman" w:cs="Times New Roman"/>
          <w:sz w:val="24"/>
          <w:szCs w:val="24"/>
          <w:lang w:eastAsia="ru-RU"/>
        </w:rPr>
        <w:t>5</w:t>
      </w:r>
      <w:r w:rsidR="00096F56" w:rsidRPr="00C42190">
        <w:rPr>
          <w:rFonts w:ascii="Times New Roman" w:eastAsia="Times New Roman" w:hAnsi="Times New Roman" w:cs="Times New Roman"/>
          <w:sz w:val="24"/>
          <w:szCs w:val="24"/>
          <w:lang w:eastAsia="ru-RU"/>
        </w:rPr>
        <w:t xml:space="preserve"> году кредитов и </w:t>
      </w:r>
      <w:r w:rsidR="00C42190" w:rsidRPr="00C42190">
        <w:rPr>
          <w:rFonts w:ascii="Times New Roman" w:eastAsia="Times New Roman" w:hAnsi="Times New Roman" w:cs="Times New Roman"/>
          <w:sz w:val="24"/>
          <w:szCs w:val="24"/>
          <w:lang w:eastAsia="ru-RU"/>
        </w:rPr>
        <w:t>ниже</w:t>
      </w:r>
      <w:r w:rsidR="00096F56" w:rsidRPr="00C42190">
        <w:rPr>
          <w:rFonts w:ascii="Times New Roman" w:eastAsia="Times New Roman" w:hAnsi="Times New Roman" w:cs="Times New Roman"/>
          <w:sz w:val="24"/>
          <w:szCs w:val="24"/>
          <w:lang w:eastAsia="ru-RU"/>
        </w:rPr>
        <w:t xml:space="preserve"> уров</w:t>
      </w:r>
      <w:r w:rsidR="00C42190" w:rsidRPr="00C42190">
        <w:rPr>
          <w:rFonts w:ascii="Times New Roman" w:eastAsia="Times New Roman" w:hAnsi="Times New Roman" w:cs="Times New Roman"/>
          <w:sz w:val="24"/>
          <w:szCs w:val="24"/>
          <w:lang w:eastAsia="ru-RU"/>
        </w:rPr>
        <w:t>ня</w:t>
      </w:r>
      <w:r w:rsidR="00096F56" w:rsidRPr="00C42190">
        <w:rPr>
          <w:rFonts w:ascii="Times New Roman" w:eastAsia="Times New Roman" w:hAnsi="Times New Roman" w:cs="Times New Roman"/>
          <w:sz w:val="24"/>
          <w:szCs w:val="24"/>
          <w:lang w:eastAsia="ru-RU"/>
        </w:rPr>
        <w:t xml:space="preserve"> 201</w:t>
      </w:r>
      <w:r w:rsidR="00C42190" w:rsidRPr="00C42190">
        <w:rPr>
          <w:rFonts w:ascii="Times New Roman" w:eastAsia="Times New Roman" w:hAnsi="Times New Roman" w:cs="Times New Roman"/>
          <w:sz w:val="24"/>
          <w:szCs w:val="24"/>
          <w:lang w:eastAsia="ru-RU"/>
        </w:rPr>
        <w:t>4</w:t>
      </w:r>
      <w:r w:rsidR="00096F56" w:rsidRPr="00C42190">
        <w:rPr>
          <w:rFonts w:ascii="Times New Roman" w:eastAsia="Times New Roman" w:hAnsi="Times New Roman" w:cs="Times New Roman"/>
          <w:sz w:val="24"/>
          <w:szCs w:val="24"/>
          <w:lang w:eastAsia="ru-RU"/>
        </w:rPr>
        <w:t xml:space="preserve"> года на </w:t>
      </w:r>
      <w:r w:rsidR="00C42190" w:rsidRPr="00C42190">
        <w:rPr>
          <w:rFonts w:ascii="Times New Roman" w:eastAsia="Times New Roman" w:hAnsi="Times New Roman" w:cs="Times New Roman"/>
          <w:sz w:val="24"/>
          <w:szCs w:val="24"/>
          <w:lang w:eastAsia="ru-RU"/>
        </w:rPr>
        <w:t>37,4</w:t>
      </w:r>
      <w:r w:rsidR="00FF3933" w:rsidRPr="00C42190">
        <w:rPr>
          <w:rFonts w:ascii="Times New Roman" w:eastAsia="Times New Roman" w:hAnsi="Times New Roman" w:cs="Times New Roman"/>
          <w:sz w:val="24"/>
          <w:szCs w:val="24"/>
          <w:lang w:eastAsia="ru-RU"/>
        </w:rPr>
        <w:t xml:space="preserve"> </w:t>
      </w:r>
      <w:r w:rsidR="00096F56" w:rsidRPr="00C42190">
        <w:rPr>
          <w:rFonts w:ascii="Times New Roman" w:eastAsia="Times New Roman" w:hAnsi="Times New Roman" w:cs="Times New Roman"/>
          <w:sz w:val="24"/>
          <w:szCs w:val="24"/>
          <w:lang w:eastAsia="ru-RU"/>
        </w:rPr>
        <w:t>процента.</w:t>
      </w:r>
    </w:p>
    <w:p w:rsidR="005E47D7" w:rsidRPr="00C42190" w:rsidRDefault="00006816" w:rsidP="00CD6BA4">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2190">
        <w:rPr>
          <w:rFonts w:ascii="Times New Roman" w:eastAsia="Times New Roman" w:hAnsi="Times New Roman" w:cs="Times New Roman"/>
          <w:sz w:val="24"/>
          <w:szCs w:val="24"/>
          <w:lang w:eastAsia="ru-RU"/>
        </w:rPr>
        <w:t xml:space="preserve">Из всего объема предоставленных кредитов в валюте Российской Федерации физическим лицам предоставлено </w:t>
      </w:r>
      <w:r w:rsidR="00C42190" w:rsidRPr="00C42190">
        <w:rPr>
          <w:rFonts w:ascii="Times New Roman" w:eastAsia="Times New Roman" w:hAnsi="Times New Roman" w:cs="Times New Roman"/>
          <w:sz w:val="24"/>
          <w:szCs w:val="24"/>
          <w:lang w:eastAsia="ru-RU"/>
        </w:rPr>
        <w:t>35869,1</w:t>
      </w:r>
      <w:r w:rsidRPr="00C42190">
        <w:rPr>
          <w:rFonts w:ascii="Times New Roman" w:eastAsia="Times New Roman" w:hAnsi="Times New Roman" w:cs="Times New Roman"/>
          <w:sz w:val="24"/>
          <w:szCs w:val="24"/>
          <w:lang w:eastAsia="ru-RU"/>
        </w:rPr>
        <w:t xml:space="preserve"> млн. рублей, или </w:t>
      </w:r>
      <w:r w:rsidR="00C42190" w:rsidRPr="00C42190">
        <w:rPr>
          <w:rFonts w:ascii="Times New Roman" w:eastAsia="Times New Roman" w:hAnsi="Times New Roman" w:cs="Times New Roman"/>
          <w:sz w:val="24"/>
          <w:szCs w:val="24"/>
          <w:lang w:eastAsia="ru-RU"/>
        </w:rPr>
        <w:t>60,1</w:t>
      </w:r>
      <w:r w:rsidRPr="00C42190">
        <w:rPr>
          <w:rFonts w:ascii="Times New Roman" w:eastAsia="Times New Roman" w:hAnsi="Times New Roman" w:cs="Times New Roman"/>
          <w:sz w:val="24"/>
          <w:szCs w:val="24"/>
          <w:lang w:eastAsia="ru-RU"/>
        </w:rPr>
        <w:t xml:space="preserve"> процента объема кредитования в рублях. Жилищные кредиты в общем объеме выданных рублевых кредитов </w:t>
      </w:r>
      <w:r w:rsidR="00863530" w:rsidRPr="00C42190">
        <w:rPr>
          <w:rFonts w:ascii="Times New Roman" w:eastAsia="Times New Roman" w:hAnsi="Times New Roman" w:cs="Times New Roman"/>
          <w:sz w:val="24"/>
          <w:szCs w:val="24"/>
          <w:lang w:eastAsia="ru-RU"/>
        </w:rPr>
        <w:t xml:space="preserve">физическим лицам </w:t>
      </w:r>
      <w:r w:rsidRPr="00C42190">
        <w:rPr>
          <w:rFonts w:ascii="Times New Roman" w:eastAsia="Times New Roman" w:hAnsi="Times New Roman" w:cs="Times New Roman"/>
          <w:sz w:val="24"/>
          <w:szCs w:val="24"/>
          <w:lang w:eastAsia="ru-RU"/>
        </w:rPr>
        <w:t>составляют 1</w:t>
      </w:r>
      <w:r w:rsidR="00C42190" w:rsidRPr="00C42190">
        <w:rPr>
          <w:rFonts w:ascii="Times New Roman" w:eastAsia="Times New Roman" w:hAnsi="Times New Roman" w:cs="Times New Roman"/>
          <w:sz w:val="24"/>
          <w:szCs w:val="24"/>
          <w:lang w:eastAsia="ru-RU"/>
        </w:rPr>
        <w:t>5,7</w:t>
      </w:r>
      <w:r w:rsidRPr="00C42190">
        <w:rPr>
          <w:rFonts w:ascii="Times New Roman" w:eastAsia="Times New Roman" w:hAnsi="Times New Roman" w:cs="Times New Roman"/>
          <w:sz w:val="24"/>
          <w:szCs w:val="24"/>
          <w:lang w:eastAsia="ru-RU"/>
        </w:rPr>
        <w:t xml:space="preserve"> процента.</w:t>
      </w:r>
    </w:p>
    <w:p w:rsidR="00C73DBC" w:rsidRDefault="00096F56" w:rsidP="00CD6BA4">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2190">
        <w:rPr>
          <w:rFonts w:ascii="Times New Roman" w:eastAsia="Times New Roman" w:hAnsi="Times New Roman" w:cs="Times New Roman"/>
          <w:sz w:val="24"/>
          <w:szCs w:val="24"/>
          <w:lang w:eastAsia="ru-RU"/>
        </w:rPr>
        <w:t xml:space="preserve">В общем объеме рублевых жилищных кредитов </w:t>
      </w:r>
      <w:r w:rsidRPr="00C42190">
        <w:rPr>
          <w:rFonts w:ascii="Times New Roman" w:eastAsia="Times New Roman" w:hAnsi="Times New Roman" w:cs="Times New Roman"/>
          <w:i/>
          <w:sz w:val="24"/>
          <w:szCs w:val="24"/>
          <w:lang w:eastAsia="ru-RU"/>
        </w:rPr>
        <w:t>доля ипотечных жилищных кредитов</w:t>
      </w:r>
      <w:r w:rsidRPr="00C42190">
        <w:rPr>
          <w:rFonts w:ascii="Times New Roman" w:eastAsia="Times New Roman" w:hAnsi="Times New Roman" w:cs="Times New Roman"/>
          <w:sz w:val="24"/>
          <w:szCs w:val="24"/>
          <w:lang w:eastAsia="ru-RU"/>
        </w:rPr>
        <w:t xml:space="preserve"> составила 9</w:t>
      </w:r>
      <w:r w:rsidR="00C42190" w:rsidRPr="00C42190">
        <w:rPr>
          <w:rFonts w:ascii="Times New Roman" w:eastAsia="Times New Roman" w:hAnsi="Times New Roman" w:cs="Times New Roman"/>
          <w:sz w:val="24"/>
          <w:szCs w:val="24"/>
          <w:lang w:eastAsia="ru-RU"/>
        </w:rPr>
        <w:t>9</w:t>
      </w:r>
      <w:r w:rsidR="00FF3933" w:rsidRPr="00C42190">
        <w:rPr>
          <w:rFonts w:ascii="Times New Roman" w:eastAsia="Times New Roman" w:hAnsi="Times New Roman" w:cs="Times New Roman"/>
          <w:sz w:val="24"/>
          <w:szCs w:val="24"/>
          <w:lang w:eastAsia="ru-RU"/>
        </w:rPr>
        <w:t>,</w:t>
      </w:r>
      <w:r w:rsidR="00C42190" w:rsidRPr="00C42190">
        <w:rPr>
          <w:rFonts w:ascii="Times New Roman" w:eastAsia="Times New Roman" w:hAnsi="Times New Roman" w:cs="Times New Roman"/>
          <w:sz w:val="24"/>
          <w:szCs w:val="24"/>
          <w:lang w:eastAsia="ru-RU"/>
        </w:rPr>
        <w:t>9</w:t>
      </w:r>
      <w:r w:rsidRPr="00C42190">
        <w:rPr>
          <w:rFonts w:ascii="Times New Roman" w:eastAsia="Times New Roman" w:hAnsi="Times New Roman" w:cs="Times New Roman"/>
          <w:sz w:val="24"/>
          <w:szCs w:val="24"/>
          <w:lang w:eastAsia="ru-RU"/>
        </w:rPr>
        <w:t xml:space="preserve"> процента</w:t>
      </w:r>
      <w:r w:rsidR="00006816" w:rsidRPr="00C42190">
        <w:rPr>
          <w:rFonts w:ascii="Times New Roman" w:eastAsia="Times New Roman" w:hAnsi="Times New Roman" w:cs="Times New Roman"/>
          <w:sz w:val="24"/>
          <w:szCs w:val="24"/>
          <w:lang w:eastAsia="ru-RU"/>
        </w:rPr>
        <w:t>.</w:t>
      </w:r>
      <w:r w:rsidR="00C73DBC" w:rsidRPr="00C42190">
        <w:rPr>
          <w:rFonts w:ascii="Times New Roman" w:eastAsia="Times New Roman" w:hAnsi="Times New Roman" w:cs="Times New Roman"/>
          <w:sz w:val="24"/>
          <w:szCs w:val="24"/>
          <w:lang w:eastAsia="ru-RU"/>
        </w:rPr>
        <w:t xml:space="preserve"> Динамика ипотечного кредитования в российских рублях </w:t>
      </w:r>
      <w:r w:rsidR="00FE67DE" w:rsidRPr="00C42190">
        <w:rPr>
          <w:rFonts w:ascii="Times New Roman" w:eastAsia="Times New Roman" w:hAnsi="Times New Roman" w:cs="Times New Roman"/>
          <w:sz w:val="24"/>
          <w:szCs w:val="24"/>
          <w:lang w:eastAsia="ru-RU"/>
        </w:rPr>
        <w:t xml:space="preserve">в Амурской области </w:t>
      </w:r>
      <w:r w:rsidR="00C73DBC" w:rsidRPr="00C42190">
        <w:rPr>
          <w:rFonts w:ascii="Times New Roman" w:eastAsia="Times New Roman" w:hAnsi="Times New Roman" w:cs="Times New Roman"/>
          <w:sz w:val="24"/>
          <w:szCs w:val="24"/>
          <w:lang w:eastAsia="ru-RU"/>
        </w:rPr>
        <w:t>приведена на рисунке 1</w:t>
      </w:r>
      <w:r w:rsidR="00A21CFE" w:rsidRPr="00C42190">
        <w:rPr>
          <w:rFonts w:ascii="Times New Roman" w:eastAsia="Times New Roman" w:hAnsi="Times New Roman" w:cs="Times New Roman"/>
          <w:sz w:val="24"/>
          <w:szCs w:val="24"/>
          <w:lang w:eastAsia="ru-RU"/>
        </w:rPr>
        <w:t>4</w:t>
      </w:r>
      <w:r w:rsidR="00C73DBC" w:rsidRPr="00C42190">
        <w:rPr>
          <w:rFonts w:ascii="Times New Roman" w:eastAsia="Times New Roman" w:hAnsi="Times New Roman" w:cs="Times New Roman"/>
          <w:sz w:val="24"/>
          <w:szCs w:val="24"/>
          <w:lang w:eastAsia="ru-RU"/>
        </w:rPr>
        <w:t>.</w:t>
      </w:r>
    </w:p>
    <w:p w:rsidR="00B374DC" w:rsidRPr="00D3325F" w:rsidRDefault="00B374DC" w:rsidP="00B374DC">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7E69">
        <w:rPr>
          <w:rFonts w:ascii="Times New Roman" w:eastAsia="Times New Roman" w:hAnsi="Times New Roman" w:cs="Times New Roman"/>
          <w:sz w:val="24"/>
          <w:szCs w:val="24"/>
          <w:lang w:eastAsia="ru-RU"/>
        </w:rPr>
        <w:t xml:space="preserve">По сравнению с 2014 годом количество предоставленных ипотечных кредитов сократилось на 39,2 процента, объём ипотечных жилищных кредитов сократился на </w:t>
      </w:r>
      <w:r w:rsidRPr="00457E69">
        <w:rPr>
          <w:rFonts w:ascii="Times New Roman" w:eastAsia="Times New Roman" w:hAnsi="Times New Roman" w:cs="Times New Roman"/>
          <w:sz w:val="24"/>
          <w:szCs w:val="24"/>
          <w:lang w:eastAsia="ru-RU"/>
        </w:rPr>
        <w:br/>
        <w:t xml:space="preserve">45,4 процента. </w:t>
      </w:r>
      <w:r w:rsidRPr="00D3325F">
        <w:rPr>
          <w:rFonts w:ascii="Times New Roman" w:eastAsia="Times New Roman" w:hAnsi="Times New Roman" w:cs="Times New Roman"/>
          <w:sz w:val="24"/>
          <w:szCs w:val="24"/>
          <w:lang w:eastAsia="ru-RU"/>
        </w:rPr>
        <w:t xml:space="preserve">По объему задолженности по жилищным кредитам Амурская область в </w:t>
      </w:r>
      <w:r w:rsidR="0074635D">
        <w:rPr>
          <w:rFonts w:ascii="Times New Roman" w:eastAsia="Times New Roman" w:hAnsi="Times New Roman" w:cs="Times New Roman"/>
          <w:sz w:val="24"/>
          <w:szCs w:val="24"/>
          <w:lang w:eastAsia="ru-RU"/>
        </w:rPr>
        <w:br/>
      </w:r>
      <w:r w:rsidRPr="00D3325F">
        <w:rPr>
          <w:rFonts w:ascii="Times New Roman" w:eastAsia="Times New Roman" w:hAnsi="Times New Roman" w:cs="Times New Roman"/>
          <w:sz w:val="24"/>
          <w:szCs w:val="24"/>
          <w:lang w:eastAsia="ru-RU"/>
        </w:rPr>
        <w:t>2015 году находилась на 4 месте среди субъектов Дальневосточного федерального округа, после Республики Саха (Якутии), Ха</w:t>
      </w:r>
      <w:r w:rsidR="00F72393">
        <w:rPr>
          <w:rFonts w:ascii="Times New Roman" w:eastAsia="Times New Roman" w:hAnsi="Times New Roman" w:cs="Times New Roman"/>
          <w:sz w:val="24"/>
          <w:szCs w:val="24"/>
          <w:lang w:eastAsia="ru-RU"/>
        </w:rPr>
        <w:t>баровского и Приморского краев.</w:t>
      </w:r>
    </w:p>
    <w:p w:rsidR="00B374DC" w:rsidRPr="00D3325F" w:rsidRDefault="00B374DC" w:rsidP="00B374DC">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25F">
        <w:rPr>
          <w:rFonts w:ascii="Times New Roman" w:eastAsia="Times New Roman" w:hAnsi="Times New Roman" w:cs="Times New Roman"/>
          <w:i/>
          <w:sz w:val="24"/>
          <w:szCs w:val="24"/>
          <w:lang w:eastAsia="ru-RU"/>
        </w:rPr>
        <w:t>Объем кредитов, предоставленных в иностранной валюте</w:t>
      </w:r>
      <w:r w:rsidRPr="00D3325F">
        <w:rPr>
          <w:rFonts w:ascii="Times New Roman" w:eastAsia="Times New Roman" w:hAnsi="Times New Roman" w:cs="Times New Roman"/>
          <w:sz w:val="24"/>
          <w:szCs w:val="24"/>
          <w:lang w:eastAsia="ru-RU"/>
        </w:rPr>
        <w:t xml:space="preserve">, по состоянию на 01.01.2016 составил 928,1 млн. рублей (по сравнению с данными по состоянию на 01.01.2015 – рост в 4,3 раза). Из объема кредитов в иностранной валюте 99,3 процента – кредиты юридическим лицам и индивидуальным предпринимателям. </w:t>
      </w:r>
    </w:p>
    <w:p w:rsidR="00B374DC" w:rsidRPr="00C42190" w:rsidRDefault="00B374DC" w:rsidP="00CD6BA4">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332C" w:rsidRPr="00F72393" w:rsidRDefault="008F332C" w:rsidP="00C73DBC">
      <w:pPr>
        <w:widowControl w:val="0"/>
        <w:tabs>
          <w:tab w:val="left" w:pos="851"/>
          <w:tab w:val="left" w:pos="3544"/>
          <w:tab w:val="left" w:pos="4536"/>
          <w:tab w:val="left" w:pos="609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A612D" w:rsidRPr="00F72393" w:rsidRDefault="008F332C" w:rsidP="00C73DBC">
      <w:pPr>
        <w:widowControl w:val="0"/>
        <w:tabs>
          <w:tab w:val="left" w:pos="851"/>
          <w:tab w:val="left" w:pos="3544"/>
          <w:tab w:val="left" w:pos="4536"/>
          <w:tab w:val="left" w:pos="609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574F">
        <w:rPr>
          <w:rFonts w:ascii="Times New Roman" w:eastAsia="Times New Roman" w:hAnsi="Times New Roman" w:cs="Times New Roman"/>
          <w:b/>
          <w:noProof/>
          <w:color w:val="FF0000"/>
          <w:sz w:val="24"/>
          <w:szCs w:val="24"/>
          <w:lang w:eastAsia="ru-RU"/>
        </w:rPr>
        <w:lastRenderedPageBreak/>
        <w:drawing>
          <wp:inline distT="0" distB="0" distL="0" distR="0" wp14:anchorId="340926EB" wp14:editId="5E26C86E">
            <wp:extent cx="5905500" cy="29051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3DBC" w:rsidRPr="00457E69" w:rsidRDefault="00C73DBC" w:rsidP="00C73DBC">
      <w:pPr>
        <w:widowControl w:val="0"/>
        <w:tabs>
          <w:tab w:val="left" w:pos="851"/>
          <w:tab w:val="left" w:pos="3544"/>
          <w:tab w:val="left" w:pos="4536"/>
          <w:tab w:val="left" w:pos="609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7E69">
        <w:rPr>
          <w:rFonts w:ascii="Times New Roman" w:eastAsia="Times New Roman" w:hAnsi="Times New Roman" w:cs="Times New Roman"/>
          <w:b/>
          <w:sz w:val="24"/>
          <w:szCs w:val="24"/>
          <w:lang w:eastAsia="ru-RU"/>
        </w:rPr>
        <w:t>Рис. 1</w:t>
      </w:r>
      <w:r w:rsidR="00A21CFE" w:rsidRPr="00457E69">
        <w:rPr>
          <w:rFonts w:ascii="Times New Roman" w:eastAsia="Times New Roman" w:hAnsi="Times New Roman" w:cs="Times New Roman"/>
          <w:b/>
          <w:sz w:val="24"/>
          <w:szCs w:val="24"/>
          <w:lang w:eastAsia="ru-RU"/>
        </w:rPr>
        <w:t>4</w:t>
      </w:r>
      <w:r w:rsidRPr="00457E69">
        <w:rPr>
          <w:rFonts w:ascii="Times New Roman" w:eastAsia="Times New Roman" w:hAnsi="Times New Roman" w:cs="Times New Roman"/>
          <w:b/>
          <w:sz w:val="24"/>
          <w:szCs w:val="24"/>
          <w:lang w:eastAsia="ru-RU"/>
        </w:rPr>
        <w:t xml:space="preserve"> –Динамика </w:t>
      </w:r>
      <w:r w:rsidR="004363BD" w:rsidRPr="00457E69">
        <w:rPr>
          <w:rFonts w:ascii="Times New Roman" w:eastAsia="Times New Roman" w:hAnsi="Times New Roman" w:cs="Times New Roman"/>
          <w:b/>
          <w:sz w:val="24"/>
          <w:szCs w:val="24"/>
          <w:lang w:eastAsia="ru-RU"/>
        </w:rPr>
        <w:t>ипотечного</w:t>
      </w:r>
      <w:r w:rsidRPr="00457E69">
        <w:rPr>
          <w:rFonts w:ascii="Times New Roman" w:eastAsia="Times New Roman" w:hAnsi="Times New Roman" w:cs="Times New Roman"/>
          <w:b/>
          <w:sz w:val="24"/>
          <w:szCs w:val="24"/>
          <w:lang w:eastAsia="ru-RU"/>
        </w:rPr>
        <w:t xml:space="preserve"> </w:t>
      </w:r>
      <w:r w:rsidR="00AA612D" w:rsidRPr="00457E69">
        <w:rPr>
          <w:rFonts w:ascii="Times New Roman" w:eastAsia="Times New Roman" w:hAnsi="Times New Roman" w:cs="Times New Roman"/>
          <w:b/>
          <w:sz w:val="24"/>
          <w:szCs w:val="24"/>
          <w:lang w:eastAsia="ru-RU"/>
        </w:rPr>
        <w:t xml:space="preserve">жилищного </w:t>
      </w:r>
      <w:r w:rsidRPr="00457E69">
        <w:rPr>
          <w:rFonts w:ascii="Times New Roman" w:eastAsia="Times New Roman" w:hAnsi="Times New Roman" w:cs="Times New Roman"/>
          <w:b/>
          <w:sz w:val="24"/>
          <w:szCs w:val="24"/>
          <w:lang w:eastAsia="ru-RU"/>
        </w:rPr>
        <w:t xml:space="preserve">кредитования </w:t>
      </w:r>
      <w:r w:rsidR="00FE67DE" w:rsidRPr="00457E69">
        <w:rPr>
          <w:rFonts w:ascii="Times New Roman" w:eastAsia="Times New Roman" w:hAnsi="Times New Roman" w:cs="Times New Roman"/>
          <w:b/>
          <w:sz w:val="24"/>
          <w:szCs w:val="24"/>
          <w:lang w:eastAsia="ru-RU"/>
        </w:rPr>
        <w:t>в Амурской области</w:t>
      </w:r>
      <w:r w:rsidRPr="00457E69">
        <w:rPr>
          <w:rFonts w:ascii="Times New Roman" w:eastAsia="Times New Roman" w:hAnsi="Times New Roman" w:cs="Times New Roman"/>
          <w:b/>
          <w:sz w:val="24"/>
          <w:szCs w:val="24"/>
          <w:lang w:eastAsia="ru-RU"/>
        </w:rPr>
        <w:br/>
        <w:t>в российских рублях</w:t>
      </w:r>
    </w:p>
    <w:p w:rsidR="00DF0993" w:rsidRPr="00D3325F" w:rsidRDefault="00DF0993" w:rsidP="00CD6BA4">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25F">
        <w:rPr>
          <w:rFonts w:ascii="Times New Roman" w:eastAsia="Times New Roman" w:hAnsi="Times New Roman" w:cs="Times New Roman"/>
          <w:i/>
          <w:sz w:val="24"/>
          <w:szCs w:val="24"/>
          <w:lang w:eastAsia="ru-RU"/>
        </w:rPr>
        <w:t>Средневзвешенная процентная ставка по жилищным кредитам,</w:t>
      </w:r>
      <w:r w:rsidRPr="00D3325F">
        <w:rPr>
          <w:rFonts w:ascii="Times New Roman" w:eastAsia="Times New Roman" w:hAnsi="Times New Roman" w:cs="Times New Roman"/>
          <w:sz w:val="24"/>
          <w:szCs w:val="24"/>
          <w:lang w:eastAsia="ru-RU"/>
        </w:rPr>
        <w:t xml:space="preserve"> также как и по ипотечным кредитам, предоставленным населению Амурской области в валюте Российской Федерации за 201</w:t>
      </w:r>
      <w:r w:rsidR="00D3325F" w:rsidRPr="00D3325F">
        <w:rPr>
          <w:rFonts w:ascii="Times New Roman" w:eastAsia="Times New Roman" w:hAnsi="Times New Roman" w:cs="Times New Roman"/>
          <w:sz w:val="24"/>
          <w:szCs w:val="24"/>
          <w:lang w:eastAsia="ru-RU"/>
        </w:rPr>
        <w:t>5</w:t>
      </w:r>
      <w:r w:rsidRPr="00D3325F">
        <w:rPr>
          <w:rFonts w:ascii="Times New Roman" w:eastAsia="Times New Roman" w:hAnsi="Times New Roman" w:cs="Times New Roman"/>
          <w:sz w:val="24"/>
          <w:szCs w:val="24"/>
          <w:lang w:eastAsia="ru-RU"/>
        </w:rPr>
        <w:t xml:space="preserve"> год</w:t>
      </w:r>
      <w:r w:rsidR="00F72393">
        <w:rPr>
          <w:rFonts w:ascii="Times New Roman" w:eastAsia="Times New Roman" w:hAnsi="Times New Roman" w:cs="Times New Roman"/>
          <w:sz w:val="24"/>
          <w:szCs w:val="24"/>
          <w:lang w:eastAsia="ru-RU"/>
        </w:rPr>
        <w:t>,</w:t>
      </w:r>
      <w:r w:rsidRPr="00D3325F">
        <w:rPr>
          <w:rFonts w:ascii="Times New Roman" w:eastAsia="Times New Roman" w:hAnsi="Times New Roman" w:cs="Times New Roman"/>
          <w:sz w:val="24"/>
          <w:szCs w:val="24"/>
          <w:lang w:eastAsia="ru-RU"/>
        </w:rPr>
        <w:t xml:space="preserve"> составила 1</w:t>
      </w:r>
      <w:r w:rsidR="00D3325F" w:rsidRPr="00D3325F">
        <w:rPr>
          <w:rFonts w:ascii="Times New Roman" w:eastAsia="Times New Roman" w:hAnsi="Times New Roman" w:cs="Times New Roman"/>
          <w:sz w:val="24"/>
          <w:szCs w:val="24"/>
          <w:lang w:eastAsia="ru-RU"/>
        </w:rPr>
        <w:t>3</w:t>
      </w:r>
      <w:r w:rsidRPr="00D3325F">
        <w:rPr>
          <w:rFonts w:ascii="Times New Roman" w:eastAsia="Times New Roman" w:hAnsi="Times New Roman" w:cs="Times New Roman"/>
          <w:sz w:val="24"/>
          <w:szCs w:val="24"/>
          <w:lang w:eastAsia="ru-RU"/>
        </w:rPr>
        <w:t>,</w:t>
      </w:r>
      <w:r w:rsidR="00D3325F" w:rsidRPr="00D3325F">
        <w:rPr>
          <w:rFonts w:ascii="Times New Roman" w:eastAsia="Times New Roman" w:hAnsi="Times New Roman" w:cs="Times New Roman"/>
          <w:sz w:val="24"/>
          <w:szCs w:val="24"/>
          <w:lang w:eastAsia="ru-RU"/>
        </w:rPr>
        <w:t>3</w:t>
      </w:r>
      <w:r w:rsidRPr="00D3325F">
        <w:rPr>
          <w:rFonts w:ascii="Times New Roman" w:eastAsia="Times New Roman" w:hAnsi="Times New Roman" w:cs="Times New Roman"/>
          <w:sz w:val="24"/>
          <w:szCs w:val="24"/>
          <w:lang w:eastAsia="ru-RU"/>
        </w:rPr>
        <w:t xml:space="preserve"> процента, что на уровне средневзвешенных ставок по указанным кредитам по России в целом – 1</w:t>
      </w:r>
      <w:r w:rsidR="00D3325F" w:rsidRPr="00D3325F">
        <w:rPr>
          <w:rFonts w:ascii="Times New Roman" w:eastAsia="Times New Roman" w:hAnsi="Times New Roman" w:cs="Times New Roman"/>
          <w:sz w:val="24"/>
          <w:szCs w:val="24"/>
          <w:lang w:eastAsia="ru-RU"/>
        </w:rPr>
        <w:t>3</w:t>
      </w:r>
      <w:r w:rsidRPr="00D3325F">
        <w:rPr>
          <w:rFonts w:ascii="Times New Roman" w:eastAsia="Times New Roman" w:hAnsi="Times New Roman" w:cs="Times New Roman"/>
          <w:sz w:val="24"/>
          <w:szCs w:val="24"/>
          <w:lang w:eastAsia="ru-RU"/>
        </w:rPr>
        <w:t>,</w:t>
      </w:r>
      <w:r w:rsidR="00D3325F" w:rsidRPr="00D3325F">
        <w:rPr>
          <w:rFonts w:ascii="Times New Roman" w:eastAsia="Times New Roman" w:hAnsi="Times New Roman" w:cs="Times New Roman"/>
          <w:sz w:val="24"/>
          <w:szCs w:val="24"/>
          <w:lang w:eastAsia="ru-RU"/>
        </w:rPr>
        <w:t>4</w:t>
      </w:r>
      <w:r w:rsidRPr="00D3325F">
        <w:rPr>
          <w:rFonts w:ascii="Times New Roman" w:eastAsia="Times New Roman" w:hAnsi="Times New Roman" w:cs="Times New Roman"/>
          <w:sz w:val="24"/>
          <w:szCs w:val="24"/>
          <w:lang w:eastAsia="ru-RU"/>
        </w:rPr>
        <w:t xml:space="preserve"> процента (по ипотечным жилищным кредитам 12,4 процента), а по Дальневосточному федеральному округу средневзвешенная процентная ставка по жилищным кредитам, в том числе по ипотечным кредитам, составляла </w:t>
      </w:r>
      <w:r w:rsidR="00FC4664" w:rsidRPr="00D3325F">
        <w:rPr>
          <w:rFonts w:ascii="Times New Roman" w:eastAsia="Times New Roman" w:hAnsi="Times New Roman" w:cs="Times New Roman"/>
          <w:sz w:val="24"/>
          <w:szCs w:val="24"/>
          <w:lang w:eastAsia="ru-RU"/>
        </w:rPr>
        <w:br/>
      </w:r>
      <w:r w:rsidR="00D3325F" w:rsidRPr="00D3325F">
        <w:rPr>
          <w:rFonts w:ascii="Times New Roman" w:eastAsia="Times New Roman" w:hAnsi="Times New Roman" w:cs="Times New Roman"/>
          <w:sz w:val="24"/>
          <w:szCs w:val="24"/>
          <w:lang w:eastAsia="ru-RU"/>
        </w:rPr>
        <w:t xml:space="preserve">13,6 </w:t>
      </w:r>
      <w:r w:rsidRPr="00D3325F">
        <w:rPr>
          <w:rFonts w:ascii="Times New Roman" w:eastAsia="Times New Roman" w:hAnsi="Times New Roman" w:cs="Times New Roman"/>
          <w:sz w:val="24"/>
          <w:szCs w:val="24"/>
          <w:lang w:eastAsia="ru-RU"/>
        </w:rPr>
        <w:t>процента.</w:t>
      </w:r>
    </w:p>
    <w:p w:rsidR="00DF0993" w:rsidRPr="00D3325F" w:rsidRDefault="00DF0993" w:rsidP="00DF0993">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25F">
        <w:rPr>
          <w:rFonts w:ascii="Times New Roman" w:eastAsia="Times New Roman" w:hAnsi="Times New Roman" w:cs="Times New Roman"/>
          <w:i/>
          <w:sz w:val="24"/>
          <w:szCs w:val="24"/>
          <w:lang w:eastAsia="ru-RU"/>
        </w:rPr>
        <w:t>Объём задолженности по жилищным кредитам, предоставленным банковскими учреждениями населению</w:t>
      </w:r>
      <w:r w:rsidRPr="00D3325F">
        <w:rPr>
          <w:rFonts w:ascii="Times New Roman" w:eastAsia="Times New Roman" w:hAnsi="Times New Roman" w:cs="Times New Roman"/>
          <w:sz w:val="24"/>
          <w:szCs w:val="24"/>
          <w:lang w:eastAsia="ru-RU"/>
        </w:rPr>
        <w:t xml:space="preserve"> Амурской области, по состоянию на 01.01.201</w:t>
      </w:r>
      <w:r w:rsidR="00D3325F" w:rsidRPr="00D3325F">
        <w:rPr>
          <w:rFonts w:ascii="Times New Roman" w:eastAsia="Times New Roman" w:hAnsi="Times New Roman" w:cs="Times New Roman"/>
          <w:sz w:val="24"/>
          <w:szCs w:val="24"/>
          <w:lang w:eastAsia="ru-RU"/>
        </w:rPr>
        <w:t>6</w:t>
      </w:r>
      <w:r w:rsidRPr="00D3325F">
        <w:rPr>
          <w:rFonts w:ascii="Times New Roman" w:eastAsia="Times New Roman" w:hAnsi="Times New Roman" w:cs="Times New Roman"/>
          <w:sz w:val="24"/>
          <w:szCs w:val="24"/>
          <w:lang w:eastAsia="ru-RU"/>
        </w:rPr>
        <w:t xml:space="preserve"> составил </w:t>
      </w:r>
      <w:r w:rsidR="00FC4664" w:rsidRPr="00D3325F">
        <w:rPr>
          <w:rFonts w:ascii="Times New Roman" w:eastAsia="Times New Roman" w:hAnsi="Times New Roman" w:cs="Times New Roman"/>
          <w:sz w:val="24"/>
          <w:szCs w:val="24"/>
          <w:lang w:eastAsia="ru-RU"/>
        </w:rPr>
        <w:br/>
      </w:r>
      <w:r w:rsidR="00D3325F" w:rsidRPr="00D3325F">
        <w:rPr>
          <w:rFonts w:ascii="Times New Roman" w:eastAsia="Times New Roman" w:hAnsi="Times New Roman" w:cs="Times New Roman"/>
          <w:sz w:val="24"/>
          <w:szCs w:val="24"/>
          <w:lang w:eastAsia="ru-RU"/>
        </w:rPr>
        <w:t>25,1</w:t>
      </w:r>
      <w:r w:rsidR="00274DBD" w:rsidRPr="00D3325F">
        <w:rPr>
          <w:rFonts w:ascii="Times New Roman" w:eastAsia="Times New Roman" w:hAnsi="Times New Roman" w:cs="Times New Roman"/>
          <w:sz w:val="24"/>
          <w:szCs w:val="24"/>
          <w:lang w:eastAsia="ru-RU"/>
        </w:rPr>
        <w:t xml:space="preserve"> млрд. рублей (в том числе по ипотечным  кредитам – 2</w:t>
      </w:r>
      <w:r w:rsidR="00D3325F" w:rsidRPr="00D3325F">
        <w:rPr>
          <w:rFonts w:ascii="Times New Roman" w:eastAsia="Times New Roman" w:hAnsi="Times New Roman" w:cs="Times New Roman"/>
          <w:sz w:val="24"/>
          <w:szCs w:val="24"/>
          <w:lang w:eastAsia="ru-RU"/>
        </w:rPr>
        <w:t>4</w:t>
      </w:r>
      <w:r w:rsidR="00274DBD" w:rsidRPr="00D3325F">
        <w:rPr>
          <w:rFonts w:ascii="Times New Roman" w:eastAsia="Times New Roman" w:hAnsi="Times New Roman" w:cs="Times New Roman"/>
          <w:sz w:val="24"/>
          <w:szCs w:val="24"/>
          <w:lang w:eastAsia="ru-RU"/>
        </w:rPr>
        <w:t>,</w:t>
      </w:r>
      <w:r w:rsidR="00D3325F" w:rsidRPr="00D3325F">
        <w:rPr>
          <w:rFonts w:ascii="Times New Roman" w:eastAsia="Times New Roman" w:hAnsi="Times New Roman" w:cs="Times New Roman"/>
          <w:sz w:val="24"/>
          <w:szCs w:val="24"/>
          <w:lang w:eastAsia="ru-RU"/>
        </w:rPr>
        <w:t>9</w:t>
      </w:r>
      <w:r w:rsidR="00274DBD" w:rsidRPr="00D3325F">
        <w:rPr>
          <w:rFonts w:ascii="Times New Roman" w:eastAsia="Times New Roman" w:hAnsi="Times New Roman" w:cs="Times New Roman"/>
          <w:sz w:val="24"/>
          <w:szCs w:val="24"/>
          <w:lang w:eastAsia="ru-RU"/>
        </w:rPr>
        <w:t xml:space="preserve"> млрд. рублей). По отношению </w:t>
      </w:r>
      <w:r w:rsidR="00D3325F" w:rsidRPr="00D3325F">
        <w:rPr>
          <w:rFonts w:ascii="Times New Roman" w:eastAsia="Times New Roman" w:hAnsi="Times New Roman" w:cs="Times New Roman"/>
          <w:sz w:val="24"/>
          <w:szCs w:val="24"/>
          <w:lang w:eastAsia="ru-RU"/>
        </w:rPr>
        <w:t>к 01.01.2015</w:t>
      </w:r>
      <w:r w:rsidRPr="00D3325F">
        <w:rPr>
          <w:rFonts w:ascii="Times New Roman" w:eastAsia="Times New Roman" w:hAnsi="Times New Roman" w:cs="Times New Roman"/>
          <w:sz w:val="24"/>
          <w:szCs w:val="24"/>
          <w:lang w:eastAsia="ru-RU"/>
        </w:rPr>
        <w:t xml:space="preserve"> этот показатель возрос на </w:t>
      </w:r>
      <w:r w:rsidR="00D3325F" w:rsidRPr="00D3325F">
        <w:rPr>
          <w:rFonts w:ascii="Times New Roman" w:eastAsia="Times New Roman" w:hAnsi="Times New Roman" w:cs="Times New Roman"/>
          <w:sz w:val="24"/>
          <w:szCs w:val="24"/>
          <w:lang w:eastAsia="ru-RU"/>
        </w:rPr>
        <w:t>8,5</w:t>
      </w:r>
      <w:r w:rsidRPr="00D3325F">
        <w:rPr>
          <w:rFonts w:ascii="Times New Roman" w:eastAsia="Times New Roman" w:hAnsi="Times New Roman" w:cs="Times New Roman"/>
          <w:sz w:val="24"/>
          <w:szCs w:val="24"/>
          <w:lang w:eastAsia="ru-RU"/>
        </w:rPr>
        <w:t xml:space="preserve"> процента (в том числе по ипотечным жилищным кредитам – на </w:t>
      </w:r>
      <w:r w:rsidR="00D3325F" w:rsidRPr="00D3325F">
        <w:rPr>
          <w:rFonts w:ascii="Times New Roman" w:eastAsia="Times New Roman" w:hAnsi="Times New Roman" w:cs="Times New Roman"/>
          <w:sz w:val="24"/>
          <w:szCs w:val="24"/>
          <w:lang w:eastAsia="ru-RU"/>
        </w:rPr>
        <w:t>11,2</w:t>
      </w:r>
      <w:r w:rsidRPr="00D3325F">
        <w:rPr>
          <w:rFonts w:ascii="Times New Roman" w:eastAsia="Times New Roman" w:hAnsi="Times New Roman" w:cs="Times New Roman"/>
          <w:sz w:val="24"/>
          <w:szCs w:val="24"/>
          <w:lang w:eastAsia="ru-RU"/>
        </w:rPr>
        <w:t xml:space="preserve"> процента).</w:t>
      </w:r>
    </w:p>
    <w:p w:rsidR="00D3325F" w:rsidRDefault="00096F56" w:rsidP="00096F56">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25F">
        <w:rPr>
          <w:rFonts w:ascii="Times New Roman" w:eastAsia="Times New Roman" w:hAnsi="Times New Roman" w:cs="Times New Roman"/>
          <w:i/>
          <w:sz w:val="24"/>
          <w:szCs w:val="24"/>
          <w:lang w:eastAsia="ru-RU"/>
        </w:rPr>
        <w:t>Удельный вес задолженности по кредитам, предоставленным на покупку жилья, в общем объёме задолженности</w:t>
      </w:r>
      <w:r w:rsidRPr="00D3325F">
        <w:rPr>
          <w:rFonts w:ascii="Times New Roman" w:eastAsia="Times New Roman" w:hAnsi="Times New Roman" w:cs="Times New Roman"/>
          <w:sz w:val="24"/>
          <w:szCs w:val="24"/>
          <w:lang w:eastAsia="ru-RU"/>
        </w:rPr>
        <w:t xml:space="preserve"> </w:t>
      </w:r>
      <w:r w:rsidR="00D3325F" w:rsidRPr="00D3325F">
        <w:rPr>
          <w:rFonts w:ascii="Times New Roman" w:eastAsia="Times New Roman" w:hAnsi="Times New Roman" w:cs="Times New Roman"/>
          <w:sz w:val="24"/>
          <w:szCs w:val="24"/>
          <w:lang w:eastAsia="ru-RU"/>
        </w:rPr>
        <w:t xml:space="preserve">жителей Амурской области по потребительским кредитам по состоянию на </w:t>
      </w:r>
      <w:r w:rsidR="00D3325F">
        <w:rPr>
          <w:rFonts w:ascii="Times New Roman" w:eastAsia="Times New Roman" w:hAnsi="Times New Roman" w:cs="Times New Roman"/>
          <w:sz w:val="24"/>
          <w:szCs w:val="24"/>
          <w:lang w:eastAsia="ru-RU"/>
        </w:rPr>
        <w:t>0</w:t>
      </w:r>
      <w:r w:rsidR="00D3325F" w:rsidRPr="00D3325F">
        <w:rPr>
          <w:rFonts w:ascii="Times New Roman" w:eastAsia="Times New Roman" w:hAnsi="Times New Roman" w:cs="Times New Roman"/>
          <w:sz w:val="24"/>
          <w:szCs w:val="24"/>
          <w:lang w:eastAsia="ru-RU"/>
        </w:rPr>
        <w:t>1</w:t>
      </w:r>
      <w:r w:rsidR="00D3325F">
        <w:rPr>
          <w:rFonts w:ascii="Times New Roman" w:eastAsia="Times New Roman" w:hAnsi="Times New Roman" w:cs="Times New Roman"/>
          <w:sz w:val="24"/>
          <w:szCs w:val="24"/>
          <w:lang w:eastAsia="ru-RU"/>
        </w:rPr>
        <w:t>.01.</w:t>
      </w:r>
      <w:r w:rsidR="00D3325F" w:rsidRPr="00D3325F">
        <w:rPr>
          <w:rFonts w:ascii="Times New Roman" w:eastAsia="Times New Roman" w:hAnsi="Times New Roman" w:cs="Times New Roman"/>
          <w:sz w:val="24"/>
          <w:szCs w:val="24"/>
          <w:lang w:eastAsia="ru-RU"/>
        </w:rPr>
        <w:t>2016 увеличился и составил 36,9</w:t>
      </w:r>
      <w:r w:rsidR="00D3325F">
        <w:rPr>
          <w:rFonts w:ascii="Times New Roman" w:eastAsia="Times New Roman" w:hAnsi="Times New Roman" w:cs="Times New Roman"/>
          <w:sz w:val="24"/>
          <w:szCs w:val="24"/>
          <w:lang w:eastAsia="ru-RU"/>
        </w:rPr>
        <w:t xml:space="preserve"> процента</w:t>
      </w:r>
      <w:r w:rsidR="00D3325F" w:rsidRPr="00D3325F">
        <w:rPr>
          <w:rFonts w:ascii="Times New Roman" w:eastAsia="Times New Roman" w:hAnsi="Times New Roman" w:cs="Times New Roman"/>
          <w:sz w:val="24"/>
          <w:szCs w:val="24"/>
          <w:lang w:eastAsia="ru-RU"/>
        </w:rPr>
        <w:t xml:space="preserve"> против 30,7</w:t>
      </w:r>
      <w:r w:rsidR="00D3325F">
        <w:rPr>
          <w:rFonts w:ascii="Times New Roman" w:eastAsia="Times New Roman" w:hAnsi="Times New Roman" w:cs="Times New Roman"/>
          <w:sz w:val="24"/>
          <w:szCs w:val="24"/>
          <w:lang w:eastAsia="ru-RU"/>
        </w:rPr>
        <w:t xml:space="preserve"> процента</w:t>
      </w:r>
      <w:r w:rsidR="00D3325F" w:rsidRPr="00D3325F">
        <w:rPr>
          <w:rFonts w:ascii="Times New Roman" w:eastAsia="Times New Roman" w:hAnsi="Times New Roman" w:cs="Times New Roman"/>
          <w:sz w:val="24"/>
          <w:szCs w:val="24"/>
          <w:lang w:eastAsia="ru-RU"/>
        </w:rPr>
        <w:t xml:space="preserve"> по состоянию на </w:t>
      </w:r>
      <w:r w:rsidR="00D3325F">
        <w:rPr>
          <w:rFonts w:ascii="Times New Roman" w:eastAsia="Times New Roman" w:hAnsi="Times New Roman" w:cs="Times New Roman"/>
          <w:sz w:val="24"/>
          <w:szCs w:val="24"/>
          <w:lang w:eastAsia="ru-RU"/>
        </w:rPr>
        <w:t>0</w:t>
      </w:r>
      <w:r w:rsidR="00D3325F" w:rsidRPr="00D3325F">
        <w:rPr>
          <w:rFonts w:ascii="Times New Roman" w:eastAsia="Times New Roman" w:hAnsi="Times New Roman" w:cs="Times New Roman"/>
          <w:sz w:val="24"/>
          <w:szCs w:val="24"/>
          <w:lang w:eastAsia="ru-RU"/>
        </w:rPr>
        <w:t>1</w:t>
      </w:r>
      <w:r w:rsidR="00D3325F">
        <w:rPr>
          <w:rFonts w:ascii="Times New Roman" w:eastAsia="Times New Roman" w:hAnsi="Times New Roman" w:cs="Times New Roman"/>
          <w:sz w:val="24"/>
          <w:szCs w:val="24"/>
          <w:lang w:eastAsia="ru-RU"/>
        </w:rPr>
        <w:t>.01.</w:t>
      </w:r>
      <w:r w:rsidR="00D3325F" w:rsidRPr="00D3325F">
        <w:rPr>
          <w:rFonts w:ascii="Times New Roman" w:eastAsia="Times New Roman" w:hAnsi="Times New Roman" w:cs="Times New Roman"/>
          <w:sz w:val="24"/>
          <w:szCs w:val="24"/>
          <w:lang w:eastAsia="ru-RU"/>
        </w:rPr>
        <w:t>2015</w:t>
      </w:r>
      <w:r w:rsidR="00D3325F">
        <w:rPr>
          <w:rFonts w:ascii="Times New Roman" w:eastAsia="Times New Roman" w:hAnsi="Times New Roman" w:cs="Times New Roman"/>
          <w:sz w:val="24"/>
          <w:szCs w:val="24"/>
          <w:lang w:eastAsia="ru-RU"/>
        </w:rPr>
        <w:t>.</w:t>
      </w:r>
    </w:p>
    <w:p w:rsidR="00096F56" w:rsidRPr="00ED5313" w:rsidRDefault="00096F56" w:rsidP="00096F56">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5313">
        <w:rPr>
          <w:rFonts w:ascii="Times New Roman" w:eastAsia="Times New Roman" w:hAnsi="Times New Roman" w:cs="Times New Roman"/>
          <w:i/>
          <w:sz w:val="24"/>
          <w:szCs w:val="24"/>
          <w:lang w:eastAsia="ru-RU"/>
        </w:rPr>
        <w:t>Средневзвешенный срок</w:t>
      </w:r>
      <w:r w:rsidR="00DF0993" w:rsidRPr="00ED5313">
        <w:rPr>
          <w:rFonts w:ascii="Times New Roman" w:eastAsia="Times New Roman" w:hAnsi="Times New Roman" w:cs="Times New Roman"/>
          <w:i/>
          <w:sz w:val="24"/>
          <w:szCs w:val="24"/>
          <w:lang w:eastAsia="ru-RU"/>
        </w:rPr>
        <w:t xml:space="preserve"> кредитования</w:t>
      </w:r>
      <w:r w:rsidR="00DF0993" w:rsidRPr="00ED5313">
        <w:rPr>
          <w:rFonts w:ascii="Times New Roman" w:eastAsia="Times New Roman" w:hAnsi="Times New Roman" w:cs="Times New Roman"/>
          <w:sz w:val="24"/>
          <w:szCs w:val="24"/>
          <w:lang w:eastAsia="ru-RU"/>
        </w:rPr>
        <w:t xml:space="preserve"> </w:t>
      </w:r>
      <w:r w:rsidR="0097301A" w:rsidRPr="00ED5313">
        <w:rPr>
          <w:rFonts w:ascii="Times New Roman" w:eastAsia="Times New Roman" w:hAnsi="Times New Roman" w:cs="Times New Roman"/>
          <w:sz w:val="24"/>
          <w:szCs w:val="24"/>
          <w:lang w:eastAsia="ru-RU"/>
        </w:rPr>
        <w:t>предоставленных кредитов на покупку жилья в валюте Российской Федерации в</w:t>
      </w:r>
      <w:r w:rsidR="009B352E" w:rsidRPr="00ED5313">
        <w:rPr>
          <w:rFonts w:ascii="Times New Roman" w:eastAsia="Times New Roman" w:hAnsi="Times New Roman" w:cs="Times New Roman"/>
          <w:sz w:val="24"/>
          <w:szCs w:val="24"/>
          <w:lang w:eastAsia="ru-RU"/>
        </w:rPr>
        <w:t xml:space="preserve"> </w:t>
      </w:r>
      <w:r w:rsidR="00D3325F" w:rsidRPr="00ED5313">
        <w:rPr>
          <w:rFonts w:ascii="Times New Roman" w:eastAsia="Times New Roman" w:hAnsi="Times New Roman" w:cs="Times New Roman"/>
          <w:sz w:val="24"/>
          <w:szCs w:val="24"/>
          <w:lang w:eastAsia="ru-RU"/>
        </w:rPr>
        <w:t>2015</w:t>
      </w:r>
      <w:r w:rsidR="0097301A" w:rsidRPr="00ED5313">
        <w:rPr>
          <w:rFonts w:ascii="Times New Roman" w:eastAsia="Times New Roman" w:hAnsi="Times New Roman" w:cs="Times New Roman"/>
          <w:sz w:val="24"/>
          <w:szCs w:val="24"/>
          <w:lang w:eastAsia="ru-RU"/>
        </w:rPr>
        <w:t xml:space="preserve"> году составил: населению Амурской области</w:t>
      </w:r>
      <w:r w:rsidR="00F72393">
        <w:rPr>
          <w:rFonts w:ascii="Times New Roman" w:eastAsia="Times New Roman" w:hAnsi="Times New Roman" w:cs="Times New Roman"/>
          <w:sz w:val="24"/>
          <w:szCs w:val="24"/>
          <w:lang w:eastAsia="ru-RU"/>
        </w:rPr>
        <w:t xml:space="preserve"> </w:t>
      </w:r>
      <w:r w:rsidR="0097301A" w:rsidRPr="00ED5313">
        <w:rPr>
          <w:rFonts w:ascii="Times New Roman" w:eastAsia="Times New Roman" w:hAnsi="Times New Roman" w:cs="Times New Roman"/>
          <w:sz w:val="24"/>
          <w:szCs w:val="24"/>
          <w:lang w:eastAsia="ru-RU"/>
        </w:rPr>
        <w:t xml:space="preserve">- </w:t>
      </w:r>
      <w:r w:rsidR="00F72393">
        <w:rPr>
          <w:rFonts w:ascii="Times New Roman" w:eastAsia="Times New Roman" w:hAnsi="Times New Roman" w:cs="Times New Roman"/>
          <w:sz w:val="24"/>
          <w:szCs w:val="24"/>
          <w:lang w:eastAsia="ru-RU"/>
        </w:rPr>
        <w:br/>
      </w:r>
      <w:r w:rsidR="0097301A" w:rsidRPr="00ED5313">
        <w:rPr>
          <w:rFonts w:ascii="Times New Roman" w:eastAsia="Times New Roman" w:hAnsi="Times New Roman" w:cs="Times New Roman"/>
          <w:sz w:val="24"/>
          <w:szCs w:val="24"/>
          <w:lang w:eastAsia="ru-RU"/>
        </w:rPr>
        <w:t>1</w:t>
      </w:r>
      <w:r w:rsidR="00D3325F" w:rsidRPr="00ED5313">
        <w:rPr>
          <w:rFonts w:ascii="Times New Roman" w:eastAsia="Times New Roman" w:hAnsi="Times New Roman" w:cs="Times New Roman"/>
          <w:sz w:val="24"/>
          <w:szCs w:val="24"/>
          <w:lang w:eastAsia="ru-RU"/>
        </w:rPr>
        <w:t>4</w:t>
      </w:r>
      <w:r w:rsidR="0097301A" w:rsidRPr="00ED5313">
        <w:rPr>
          <w:rFonts w:ascii="Times New Roman" w:eastAsia="Times New Roman" w:hAnsi="Times New Roman" w:cs="Times New Roman"/>
          <w:sz w:val="24"/>
          <w:szCs w:val="24"/>
          <w:lang w:eastAsia="ru-RU"/>
        </w:rPr>
        <w:t>,</w:t>
      </w:r>
      <w:r w:rsidR="00D3325F" w:rsidRPr="00ED5313">
        <w:rPr>
          <w:rFonts w:ascii="Times New Roman" w:eastAsia="Times New Roman" w:hAnsi="Times New Roman" w:cs="Times New Roman"/>
          <w:sz w:val="24"/>
          <w:szCs w:val="24"/>
          <w:lang w:eastAsia="ru-RU"/>
        </w:rPr>
        <w:t>7</w:t>
      </w:r>
      <w:r w:rsidR="0097301A" w:rsidRPr="00ED5313">
        <w:rPr>
          <w:rFonts w:ascii="Times New Roman" w:eastAsia="Times New Roman" w:hAnsi="Times New Roman" w:cs="Times New Roman"/>
          <w:sz w:val="24"/>
          <w:szCs w:val="24"/>
          <w:lang w:eastAsia="ru-RU"/>
        </w:rPr>
        <w:t xml:space="preserve"> </w:t>
      </w:r>
      <w:r w:rsidR="00F72393">
        <w:rPr>
          <w:rFonts w:ascii="Times New Roman" w:eastAsia="Times New Roman" w:hAnsi="Times New Roman" w:cs="Times New Roman"/>
          <w:sz w:val="24"/>
          <w:szCs w:val="24"/>
          <w:lang w:eastAsia="ru-RU"/>
        </w:rPr>
        <w:t>года</w:t>
      </w:r>
      <w:r w:rsidR="0097301A" w:rsidRPr="00ED5313">
        <w:rPr>
          <w:rFonts w:ascii="Times New Roman" w:eastAsia="Times New Roman" w:hAnsi="Times New Roman" w:cs="Times New Roman"/>
          <w:sz w:val="24"/>
          <w:szCs w:val="24"/>
          <w:lang w:eastAsia="ru-RU"/>
        </w:rPr>
        <w:t>, Дальневосточного федерального округа - 14,</w:t>
      </w:r>
      <w:r w:rsidR="00D3325F" w:rsidRPr="00ED5313">
        <w:rPr>
          <w:rFonts w:ascii="Times New Roman" w:eastAsia="Times New Roman" w:hAnsi="Times New Roman" w:cs="Times New Roman"/>
          <w:sz w:val="24"/>
          <w:szCs w:val="24"/>
          <w:lang w:eastAsia="ru-RU"/>
        </w:rPr>
        <w:t>3</w:t>
      </w:r>
      <w:r w:rsidR="0097301A" w:rsidRPr="00ED5313">
        <w:rPr>
          <w:rFonts w:ascii="Times New Roman" w:eastAsia="Times New Roman" w:hAnsi="Times New Roman" w:cs="Times New Roman"/>
          <w:sz w:val="24"/>
          <w:szCs w:val="24"/>
          <w:lang w:eastAsia="ru-RU"/>
        </w:rPr>
        <w:t xml:space="preserve"> </w:t>
      </w:r>
      <w:r w:rsidR="00F72393">
        <w:rPr>
          <w:rFonts w:ascii="Times New Roman" w:eastAsia="Times New Roman" w:hAnsi="Times New Roman" w:cs="Times New Roman"/>
          <w:sz w:val="24"/>
          <w:szCs w:val="24"/>
          <w:lang w:eastAsia="ru-RU"/>
        </w:rPr>
        <w:t>года</w:t>
      </w:r>
      <w:r w:rsidR="0097301A" w:rsidRPr="00ED5313">
        <w:rPr>
          <w:rFonts w:ascii="Times New Roman" w:eastAsia="Times New Roman" w:hAnsi="Times New Roman" w:cs="Times New Roman"/>
          <w:sz w:val="24"/>
          <w:szCs w:val="24"/>
          <w:lang w:eastAsia="ru-RU"/>
        </w:rPr>
        <w:t>, России в целом - 14,</w:t>
      </w:r>
      <w:r w:rsidR="00ED5313" w:rsidRPr="00ED5313">
        <w:rPr>
          <w:rFonts w:ascii="Times New Roman" w:eastAsia="Times New Roman" w:hAnsi="Times New Roman" w:cs="Times New Roman"/>
          <w:sz w:val="24"/>
          <w:szCs w:val="24"/>
          <w:lang w:eastAsia="ru-RU"/>
        </w:rPr>
        <w:t>6</w:t>
      </w:r>
      <w:r w:rsidR="0097301A" w:rsidRPr="00ED5313">
        <w:rPr>
          <w:rFonts w:ascii="Times New Roman" w:eastAsia="Times New Roman" w:hAnsi="Times New Roman" w:cs="Times New Roman"/>
          <w:sz w:val="24"/>
          <w:szCs w:val="24"/>
          <w:lang w:eastAsia="ru-RU"/>
        </w:rPr>
        <w:t xml:space="preserve"> </w:t>
      </w:r>
      <w:r w:rsidR="00F72393">
        <w:rPr>
          <w:rFonts w:ascii="Times New Roman" w:eastAsia="Times New Roman" w:hAnsi="Times New Roman" w:cs="Times New Roman"/>
          <w:sz w:val="24"/>
          <w:szCs w:val="24"/>
          <w:lang w:eastAsia="ru-RU"/>
        </w:rPr>
        <w:t>года</w:t>
      </w:r>
      <w:r w:rsidR="0097301A" w:rsidRPr="00ED5313">
        <w:rPr>
          <w:rFonts w:ascii="Times New Roman" w:eastAsia="Times New Roman" w:hAnsi="Times New Roman" w:cs="Times New Roman"/>
          <w:sz w:val="24"/>
          <w:szCs w:val="24"/>
          <w:lang w:eastAsia="ru-RU"/>
        </w:rPr>
        <w:t>. В 201</w:t>
      </w:r>
      <w:r w:rsidR="00ED5313" w:rsidRPr="00ED5313">
        <w:rPr>
          <w:rFonts w:ascii="Times New Roman" w:eastAsia="Times New Roman" w:hAnsi="Times New Roman" w:cs="Times New Roman"/>
          <w:sz w:val="24"/>
          <w:szCs w:val="24"/>
          <w:lang w:eastAsia="ru-RU"/>
        </w:rPr>
        <w:t>4</w:t>
      </w:r>
      <w:r w:rsidR="0097301A" w:rsidRPr="00ED5313">
        <w:rPr>
          <w:rFonts w:ascii="Times New Roman" w:eastAsia="Times New Roman" w:hAnsi="Times New Roman" w:cs="Times New Roman"/>
          <w:sz w:val="24"/>
          <w:szCs w:val="24"/>
          <w:lang w:eastAsia="ru-RU"/>
        </w:rPr>
        <w:t xml:space="preserve"> году этот показатель составлял: 15,</w:t>
      </w:r>
      <w:r w:rsidR="00ED5313" w:rsidRPr="00ED5313">
        <w:rPr>
          <w:rFonts w:ascii="Times New Roman" w:eastAsia="Times New Roman" w:hAnsi="Times New Roman" w:cs="Times New Roman"/>
          <w:sz w:val="24"/>
          <w:szCs w:val="24"/>
          <w:lang w:eastAsia="ru-RU"/>
        </w:rPr>
        <w:t>4</w:t>
      </w:r>
      <w:r w:rsidR="0097301A" w:rsidRPr="00ED5313">
        <w:rPr>
          <w:rFonts w:ascii="Times New Roman" w:eastAsia="Times New Roman" w:hAnsi="Times New Roman" w:cs="Times New Roman"/>
          <w:sz w:val="24"/>
          <w:szCs w:val="24"/>
          <w:lang w:eastAsia="ru-RU"/>
        </w:rPr>
        <w:t>, 1</w:t>
      </w:r>
      <w:r w:rsidR="00ED5313" w:rsidRPr="00ED5313">
        <w:rPr>
          <w:rFonts w:ascii="Times New Roman" w:eastAsia="Times New Roman" w:hAnsi="Times New Roman" w:cs="Times New Roman"/>
          <w:sz w:val="24"/>
          <w:szCs w:val="24"/>
          <w:lang w:eastAsia="ru-RU"/>
        </w:rPr>
        <w:t>5</w:t>
      </w:r>
      <w:r w:rsidR="0097301A" w:rsidRPr="00ED5313">
        <w:rPr>
          <w:rFonts w:ascii="Times New Roman" w:eastAsia="Times New Roman" w:hAnsi="Times New Roman" w:cs="Times New Roman"/>
          <w:sz w:val="24"/>
          <w:szCs w:val="24"/>
          <w:lang w:eastAsia="ru-RU"/>
        </w:rPr>
        <w:t>,</w:t>
      </w:r>
      <w:r w:rsidR="00ED5313" w:rsidRPr="00ED5313">
        <w:rPr>
          <w:rFonts w:ascii="Times New Roman" w:eastAsia="Times New Roman" w:hAnsi="Times New Roman" w:cs="Times New Roman"/>
          <w:sz w:val="24"/>
          <w:szCs w:val="24"/>
          <w:lang w:eastAsia="ru-RU"/>
        </w:rPr>
        <w:t>1 и 14,8</w:t>
      </w:r>
      <w:r w:rsidR="00F72393">
        <w:rPr>
          <w:rFonts w:ascii="Times New Roman" w:eastAsia="Times New Roman" w:hAnsi="Times New Roman" w:cs="Times New Roman"/>
          <w:sz w:val="24"/>
          <w:szCs w:val="24"/>
          <w:lang w:eastAsia="ru-RU"/>
        </w:rPr>
        <w:t xml:space="preserve"> года</w:t>
      </w:r>
      <w:r w:rsidR="0097301A" w:rsidRPr="00ED5313">
        <w:rPr>
          <w:rFonts w:ascii="Times New Roman" w:eastAsia="Times New Roman" w:hAnsi="Times New Roman" w:cs="Times New Roman"/>
          <w:sz w:val="24"/>
          <w:szCs w:val="24"/>
          <w:lang w:eastAsia="ru-RU"/>
        </w:rPr>
        <w:t xml:space="preserve"> соответственно.</w:t>
      </w:r>
    </w:p>
    <w:p w:rsidR="00274DBD" w:rsidRPr="00ED5313" w:rsidRDefault="00274DBD" w:rsidP="00274DBD">
      <w:pPr>
        <w:spacing w:after="0" w:line="240" w:lineRule="auto"/>
        <w:ind w:firstLine="709"/>
        <w:jc w:val="both"/>
        <w:rPr>
          <w:rFonts w:ascii="Times New Roman" w:eastAsia="Times New Roman" w:hAnsi="Times New Roman" w:cs="Times New Roman"/>
          <w:sz w:val="24"/>
          <w:szCs w:val="24"/>
          <w:lang w:eastAsia="ru-RU"/>
        </w:rPr>
      </w:pPr>
      <w:r w:rsidRPr="00ED5313">
        <w:rPr>
          <w:rFonts w:ascii="Times New Roman" w:eastAsia="Times New Roman" w:hAnsi="Times New Roman" w:cs="Times New Roman"/>
          <w:i/>
          <w:sz w:val="24"/>
          <w:szCs w:val="24"/>
          <w:lang w:eastAsia="ru-RU"/>
        </w:rPr>
        <w:t>Удельный вес просроченной задолженности</w:t>
      </w:r>
      <w:r w:rsidRPr="00ED5313">
        <w:rPr>
          <w:rFonts w:ascii="Times New Roman" w:eastAsia="Times New Roman" w:hAnsi="Times New Roman" w:cs="Times New Roman"/>
          <w:sz w:val="24"/>
          <w:szCs w:val="24"/>
          <w:lang w:eastAsia="ru-RU"/>
        </w:rPr>
        <w:t xml:space="preserve"> в общей сумме задолженности по жилищным кредитам в Амурской области и в Дальневосточном федеральном округе ниже, чем по России. За год по Амурской области и Дальневосточному федеральному округу</w:t>
      </w:r>
      <w:r w:rsidR="0097301A" w:rsidRPr="00ED5313">
        <w:rPr>
          <w:rFonts w:ascii="Times New Roman" w:eastAsia="Times New Roman" w:hAnsi="Times New Roman" w:cs="Times New Roman"/>
          <w:sz w:val="24"/>
          <w:szCs w:val="24"/>
          <w:lang w:eastAsia="ru-RU"/>
        </w:rPr>
        <w:t xml:space="preserve"> </w:t>
      </w:r>
      <w:r w:rsidRPr="00ED5313">
        <w:rPr>
          <w:rFonts w:ascii="Times New Roman" w:eastAsia="Times New Roman" w:hAnsi="Times New Roman" w:cs="Times New Roman"/>
          <w:sz w:val="24"/>
          <w:szCs w:val="24"/>
          <w:lang w:eastAsia="ru-RU"/>
        </w:rPr>
        <w:t>он увеличился на</w:t>
      </w:r>
      <w:r w:rsidR="0097301A" w:rsidRPr="00ED5313">
        <w:rPr>
          <w:rFonts w:ascii="Times New Roman" w:eastAsia="Times New Roman" w:hAnsi="Times New Roman" w:cs="Times New Roman"/>
          <w:sz w:val="24"/>
          <w:szCs w:val="24"/>
          <w:lang w:eastAsia="ru-RU"/>
        </w:rPr>
        <w:t xml:space="preserve"> </w:t>
      </w:r>
      <w:r w:rsidR="00ED5313" w:rsidRPr="00ED5313">
        <w:rPr>
          <w:rFonts w:ascii="Times New Roman" w:eastAsia="Times New Roman" w:hAnsi="Times New Roman" w:cs="Times New Roman"/>
          <w:sz w:val="24"/>
          <w:szCs w:val="24"/>
          <w:lang w:eastAsia="ru-RU"/>
        </w:rPr>
        <w:t>1,</w:t>
      </w:r>
      <w:r w:rsidRPr="00ED5313">
        <w:rPr>
          <w:rFonts w:ascii="Times New Roman" w:eastAsia="Times New Roman" w:hAnsi="Times New Roman" w:cs="Times New Roman"/>
          <w:sz w:val="24"/>
          <w:szCs w:val="24"/>
          <w:lang w:eastAsia="ru-RU"/>
        </w:rPr>
        <w:t xml:space="preserve">1 </w:t>
      </w:r>
      <w:r w:rsidR="00ED5313" w:rsidRPr="00ED5313">
        <w:rPr>
          <w:rFonts w:ascii="Times New Roman" w:eastAsia="Times New Roman" w:hAnsi="Times New Roman" w:cs="Times New Roman"/>
          <w:sz w:val="24"/>
          <w:szCs w:val="24"/>
          <w:lang w:eastAsia="ru-RU"/>
        </w:rPr>
        <w:t xml:space="preserve">и 0,9 </w:t>
      </w:r>
      <w:r w:rsidRPr="00ED5313">
        <w:rPr>
          <w:rFonts w:ascii="Times New Roman" w:eastAsia="Times New Roman" w:hAnsi="Times New Roman" w:cs="Times New Roman"/>
          <w:sz w:val="24"/>
          <w:szCs w:val="24"/>
          <w:lang w:eastAsia="ru-RU"/>
        </w:rPr>
        <w:t>процентн</w:t>
      </w:r>
      <w:r w:rsidR="00ED5313" w:rsidRPr="00ED5313">
        <w:rPr>
          <w:rFonts w:ascii="Times New Roman" w:eastAsia="Times New Roman" w:hAnsi="Times New Roman" w:cs="Times New Roman"/>
          <w:sz w:val="24"/>
          <w:szCs w:val="24"/>
          <w:lang w:eastAsia="ru-RU"/>
        </w:rPr>
        <w:t>ых</w:t>
      </w:r>
      <w:r w:rsidRPr="00ED5313">
        <w:rPr>
          <w:rFonts w:ascii="Times New Roman" w:eastAsia="Times New Roman" w:hAnsi="Times New Roman" w:cs="Times New Roman"/>
          <w:sz w:val="24"/>
          <w:szCs w:val="24"/>
          <w:lang w:eastAsia="ru-RU"/>
        </w:rPr>
        <w:t xml:space="preserve"> пункта</w:t>
      </w:r>
      <w:r w:rsidR="00ED5313" w:rsidRPr="00ED5313">
        <w:rPr>
          <w:rFonts w:ascii="Times New Roman" w:eastAsia="Times New Roman" w:hAnsi="Times New Roman" w:cs="Times New Roman"/>
          <w:sz w:val="24"/>
          <w:szCs w:val="24"/>
          <w:lang w:eastAsia="ru-RU"/>
        </w:rPr>
        <w:t xml:space="preserve"> соответственно</w:t>
      </w:r>
      <w:r w:rsidRPr="00ED5313">
        <w:rPr>
          <w:rFonts w:ascii="Times New Roman" w:eastAsia="Times New Roman" w:hAnsi="Times New Roman" w:cs="Times New Roman"/>
          <w:sz w:val="24"/>
          <w:szCs w:val="24"/>
          <w:lang w:eastAsia="ru-RU"/>
        </w:rPr>
        <w:t xml:space="preserve"> и </w:t>
      </w:r>
      <w:r w:rsidR="00C338F4" w:rsidRPr="00ED5313">
        <w:rPr>
          <w:rFonts w:ascii="Times New Roman" w:eastAsia="Times New Roman" w:hAnsi="Times New Roman" w:cs="Times New Roman"/>
          <w:sz w:val="24"/>
          <w:szCs w:val="24"/>
          <w:lang w:eastAsia="ru-RU"/>
        </w:rPr>
        <w:t>на 01.01.201</w:t>
      </w:r>
      <w:r w:rsidR="00ED5313" w:rsidRPr="00ED5313">
        <w:rPr>
          <w:rFonts w:ascii="Times New Roman" w:eastAsia="Times New Roman" w:hAnsi="Times New Roman" w:cs="Times New Roman"/>
          <w:sz w:val="24"/>
          <w:szCs w:val="24"/>
          <w:lang w:eastAsia="ru-RU"/>
        </w:rPr>
        <w:t>6</w:t>
      </w:r>
      <w:r w:rsidR="00C338F4" w:rsidRPr="00ED5313">
        <w:rPr>
          <w:rFonts w:ascii="Times New Roman" w:eastAsia="Times New Roman" w:hAnsi="Times New Roman" w:cs="Times New Roman"/>
          <w:sz w:val="24"/>
          <w:szCs w:val="24"/>
          <w:lang w:eastAsia="ru-RU"/>
        </w:rPr>
        <w:t xml:space="preserve"> </w:t>
      </w:r>
      <w:r w:rsidRPr="00ED5313">
        <w:rPr>
          <w:rFonts w:ascii="Times New Roman" w:eastAsia="Times New Roman" w:hAnsi="Times New Roman" w:cs="Times New Roman"/>
          <w:sz w:val="24"/>
          <w:szCs w:val="24"/>
          <w:lang w:eastAsia="ru-RU"/>
        </w:rPr>
        <w:t xml:space="preserve">составил </w:t>
      </w:r>
      <w:r w:rsidR="0074635D">
        <w:rPr>
          <w:rFonts w:ascii="Times New Roman" w:eastAsia="Times New Roman" w:hAnsi="Times New Roman" w:cs="Times New Roman"/>
          <w:sz w:val="24"/>
          <w:szCs w:val="24"/>
          <w:lang w:eastAsia="ru-RU"/>
        </w:rPr>
        <w:br/>
      </w:r>
      <w:r w:rsidR="00ED5313" w:rsidRPr="00ED5313">
        <w:rPr>
          <w:rFonts w:ascii="Times New Roman" w:eastAsia="Times New Roman" w:hAnsi="Times New Roman" w:cs="Times New Roman"/>
          <w:sz w:val="24"/>
          <w:szCs w:val="24"/>
          <w:lang w:eastAsia="ru-RU"/>
        </w:rPr>
        <w:t>5,0</w:t>
      </w:r>
      <w:r w:rsidR="0097301A" w:rsidRPr="00ED5313">
        <w:rPr>
          <w:rFonts w:ascii="Times New Roman" w:eastAsia="Times New Roman" w:hAnsi="Times New Roman" w:cs="Times New Roman"/>
          <w:sz w:val="24"/>
          <w:szCs w:val="24"/>
          <w:lang w:eastAsia="ru-RU"/>
        </w:rPr>
        <w:t xml:space="preserve"> процент</w:t>
      </w:r>
      <w:r w:rsidR="00ED5313" w:rsidRPr="00ED5313">
        <w:rPr>
          <w:rFonts w:ascii="Times New Roman" w:eastAsia="Times New Roman" w:hAnsi="Times New Roman" w:cs="Times New Roman"/>
          <w:sz w:val="24"/>
          <w:szCs w:val="24"/>
          <w:lang w:eastAsia="ru-RU"/>
        </w:rPr>
        <w:t>ов</w:t>
      </w:r>
      <w:r w:rsidRPr="00ED5313">
        <w:rPr>
          <w:rFonts w:ascii="Times New Roman" w:eastAsia="Times New Roman" w:hAnsi="Times New Roman" w:cs="Times New Roman"/>
          <w:sz w:val="24"/>
          <w:szCs w:val="24"/>
          <w:lang w:eastAsia="ru-RU"/>
        </w:rPr>
        <w:t xml:space="preserve"> и </w:t>
      </w:r>
      <w:r w:rsidR="00ED5313" w:rsidRPr="00ED5313">
        <w:rPr>
          <w:rFonts w:ascii="Times New Roman" w:eastAsia="Times New Roman" w:hAnsi="Times New Roman" w:cs="Times New Roman"/>
          <w:sz w:val="24"/>
          <w:szCs w:val="24"/>
          <w:lang w:eastAsia="ru-RU"/>
        </w:rPr>
        <w:t>4,0</w:t>
      </w:r>
      <w:r w:rsidR="0097301A" w:rsidRPr="00ED5313">
        <w:rPr>
          <w:rFonts w:ascii="Times New Roman" w:eastAsia="Times New Roman" w:hAnsi="Times New Roman" w:cs="Times New Roman"/>
          <w:sz w:val="24"/>
          <w:szCs w:val="24"/>
          <w:lang w:eastAsia="ru-RU"/>
        </w:rPr>
        <w:t xml:space="preserve"> процента</w:t>
      </w:r>
      <w:r w:rsidRPr="00ED5313">
        <w:rPr>
          <w:rFonts w:ascii="Times New Roman" w:eastAsia="Times New Roman" w:hAnsi="Times New Roman" w:cs="Times New Roman"/>
          <w:sz w:val="24"/>
          <w:szCs w:val="24"/>
          <w:lang w:eastAsia="ru-RU"/>
        </w:rPr>
        <w:t xml:space="preserve"> соответственно.</w:t>
      </w:r>
      <w:r w:rsidR="0097301A" w:rsidRPr="00ED5313">
        <w:rPr>
          <w:rFonts w:ascii="Times New Roman" w:eastAsia="Times New Roman" w:hAnsi="Times New Roman" w:cs="Times New Roman"/>
          <w:sz w:val="24"/>
          <w:szCs w:val="24"/>
          <w:lang w:eastAsia="ru-RU"/>
        </w:rPr>
        <w:t xml:space="preserve"> </w:t>
      </w:r>
      <w:r w:rsidRPr="00ED5313">
        <w:rPr>
          <w:rFonts w:ascii="Times New Roman" w:eastAsia="Times New Roman" w:hAnsi="Times New Roman" w:cs="Times New Roman"/>
          <w:sz w:val="24"/>
          <w:szCs w:val="24"/>
          <w:lang w:eastAsia="ru-RU"/>
        </w:rPr>
        <w:t>По</w:t>
      </w:r>
      <w:r w:rsidR="0097301A" w:rsidRPr="00ED5313">
        <w:rPr>
          <w:rFonts w:ascii="Times New Roman" w:eastAsia="Times New Roman" w:hAnsi="Times New Roman" w:cs="Times New Roman"/>
          <w:sz w:val="24"/>
          <w:szCs w:val="24"/>
          <w:lang w:eastAsia="ru-RU"/>
        </w:rPr>
        <w:t xml:space="preserve"> </w:t>
      </w:r>
      <w:r w:rsidRPr="00ED5313">
        <w:rPr>
          <w:rFonts w:ascii="Times New Roman" w:eastAsia="Times New Roman" w:hAnsi="Times New Roman" w:cs="Times New Roman"/>
          <w:sz w:val="24"/>
          <w:szCs w:val="24"/>
          <w:lang w:eastAsia="ru-RU"/>
        </w:rPr>
        <w:t>России</w:t>
      </w:r>
      <w:r w:rsidR="0097301A" w:rsidRPr="00ED5313">
        <w:rPr>
          <w:rFonts w:ascii="Times New Roman" w:eastAsia="Times New Roman" w:hAnsi="Times New Roman" w:cs="Times New Roman"/>
          <w:sz w:val="24"/>
          <w:szCs w:val="24"/>
          <w:lang w:eastAsia="ru-RU"/>
        </w:rPr>
        <w:t xml:space="preserve"> </w:t>
      </w:r>
      <w:r w:rsidRPr="00ED5313">
        <w:rPr>
          <w:rFonts w:ascii="Times New Roman" w:eastAsia="Times New Roman" w:hAnsi="Times New Roman" w:cs="Times New Roman"/>
          <w:sz w:val="24"/>
          <w:szCs w:val="24"/>
          <w:lang w:eastAsia="ru-RU"/>
        </w:rPr>
        <w:t>в</w:t>
      </w:r>
      <w:r w:rsidR="0097301A" w:rsidRPr="00ED5313">
        <w:rPr>
          <w:rFonts w:ascii="Times New Roman" w:eastAsia="Times New Roman" w:hAnsi="Times New Roman" w:cs="Times New Roman"/>
          <w:sz w:val="24"/>
          <w:szCs w:val="24"/>
          <w:lang w:eastAsia="ru-RU"/>
        </w:rPr>
        <w:t xml:space="preserve"> </w:t>
      </w:r>
      <w:r w:rsidRPr="00ED5313">
        <w:rPr>
          <w:rFonts w:ascii="Times New Roman" w:eastAsia="Times New Roman" w:hAnsi="Times New Roman" w:cs="Times New Roman"/>
          <w:sz w:val="24"/>
          <w:szCs w:val="24"/>
          <w:lang w:eastAsia="ru-RU"/>
        </w:rPr>
        <w:t>целом</w:t>
      </w:r>
      <w:r w:rsidR="0097301A" w:rsidRPr="00ED5313">
        <w:rPr>
          <w:rFonts w:ascii="Times New Roman" w:eastAsia="Times New Roman" w:hAnsi="Times New Roman" w:cs="Times New Roman"/>
          <w:sz w:val="24"/>
          <w:szCs w:val="24"/>
          <w:lang w:eastAsia="ru-RU"/>
        </w:rPr>
        <w:t xml:space="preserve"> </w:t>
      </w:r>
      <w:r w:rsidRPr="00ED5313">
        <w:rPr>
          <w:rFonts w:ascii="Times New Roman" w:eastAsia="Times New Roman" w:hAnsi="Times New Roman" w:cs="Times New Roman"/>
          <w:sz w:val="24"/>
          <w:szCs w:val="24"/>
          <w:lang w:eastAsia="ru-RU"/>
        </w:rPr>
        <w:t>удельный вес просроченной задолженности у</w:t>
      </w:r>
      <w:r w:rsidR="00ED5313" w:rsidRPr="00ED5313">
        <w:rPr>
          <w:rFonts w:ascii="Times New Roman" w:eastAsia="Times New Roman" w:hAnsi="Times New Roman" w:cs="Times New Roman"/>
          <w:sz w:val="24"/>
          <w:szCs w:val="24"/>
          <w:lang w:eastAsia="ru-RU"/>
        </w:rPr>
        <w:t>в</w:t>
      </w:r>
      <w:r w:rsidRPr="00ED5313">
        <w:rPr>
          <w:rFonts w:ascii="Times New Roman" w:eastAsia="Times New Roman" w:hAnsi="Times New Roman" w:cs="Times New Roman"/>
          <w:sz w:val="24"/>
          <w:szCs w:val="24"/>
          <w:lang w:eastAsia="ru-RU"/>
        </w:rPr>
        <w:t>е</w:t>
      </w:r>
      <w:r w:rsidR="00ED5313" w:rsidRPr="00ED5313">
        <w:rPr>
          <w:rFonts w:ascii="Times New Roman" w:eastAsia="Times New Roman" w:hAnsi="Times New Roman" w:cs="Times New Roman"/>
          <w:sz w:val="24"/>
          <w:szCs w:val="24"/>
          <w:lang w:eastAsia="ru-RU"/>
        </w:rPr>
        <w:t>личил</w:t>
      </w:r>
      <w:r w:rsidRPr="00ED5313">
        <w:rPr>
          <w:rFonts w:ascii="Times New Roman" w:eastAsia="Times New Roman" w:hAnsi="Times New Roman" w:cs="Times New Roman"/>
          <w:sz w:val="24"/>
          <w:szCs w:val="24"/>
          <w:lang w:eastAsia="ru-RU"/>
        </w:rPr>
        <w:t>ся</w:t>
      </w:r>
      <w:r w:rsidR="0097301A" w:rsidRPr="00ED5313">
        <w:rPr>
          <w:rFonts w:ascii="Times New Roman" w:eastAsia="Times New Roman" w:hAnsi="Times New Roman" w:cs="Times New Roman"/>
          <w:sz w:val="24"/>
          <w:szCs w:val="24"/>
          <w:lang w:eastAsia="ru-RU"/>
        </w:rPr>
        <w:t xml:space="preserve"> </w:t>
      </w:r>
      <w:r w:rsidRPr="00ED5313">
        <w:rPr>
          <w:rFonts w:ascii="Times New Roman" w:eastAsia="Times New Roman" w:hAnsi="Times New Roman" w:cs="Times New Roman"/>
          <w:sz w:val="24"/>
          <w:szCs w:val="24"/>
          <w:lang w:eastAsia="ru-RU"/>
        </w:rPr>
        <w:t>на</w:t>
      </w:r>
      <w:r w:rsidR="0097301A" w:rsidRPr="00ED5313">
        <w:rPr>
          <w:rFonts w:ascii="Times New Roman" w:eastAsia="Times New Roman" w:hAnsi="Times New Roman" w:cs="Times New Roman"/>
          <w:sz w:val="24"/>
          <w:szCs w:val="24"/>
          <w:lang w:eastAsia="ru-RU"/>
        </w:rPr>
        <w:t xml:space="preserve"> </w:t>
      </w:r>
      <w:r w:rsidR="00ED5313" w:rsidRPr="00ED5313">
        <w:rPr>
          <w:rFonts w:ascii="Times New Roman" w:eastAsia="Times New Roman" w:hAnsi="Times New Roman" w:cs="Times New Roman"/>
          <w:sz w:val="24"/>
          <w:szCs w:val="24"/>
          <w:lang w:eastAsia="ru-RU"/>
        </w:rPr>
        <w:t>0,8</w:t>
      </w:r>
      <w:r w:rsidRPr="00ED5313">
        <w:rPr>
          <w:rFonts w:ascii="Times New Roman" w:eastAsia="Times New Roman" w:hAnsi="Times New Roman" w:cs="Times New Roman"/>
          <w:sz w:val="24"/>
          <w:szCs w:val="24"/>
          <w:lang w:eastAsia="ru-RU"/>
        </w:rPr>
        <w:t xml:space="preserve"> процентного пункта и составил </w:t>
      </w:r>
      <w:r w:rsidR="0074635D">
        <w:rPr>
          <w:rFonts w:ascii="Times New Roman" w:eastAsia="Times New Roman" w:hAnsi="Times New Roman" w:cs="Times New Roman"/>
          <w:sz w:val="24"/>
          <w:szCs w:val="24"/>
          <w:lang w:eastAsia="ru-RU"/>
        </w:rPr>
        <w:br/>
      </w:r>
      <w:r w:rsidR="00ED5313" w:rsidRPr="00ED5313">
        <w:rPr>
          <w:rFonts w:ascii="Times New Roman" w:eastAsia="Times New Roman" w:hAnsi="Times New Roman" w:cs="Times New Roman"/>
          <w:sz w:val="24"/>
          <w:szCs w:val="24"/>
          <w:lang w:eastAsia="ru-RU"/>
        </w:rPr>
        <w:t>8,3</w:t>
      </w:r>
      <w:r w:rsidR="0097301A" w:rsidRPr="00ED5313">
        <w:rPr>
          <w:rFonts w:ascii="Times New Roman" w:eastAsia="Times New Roman" w:hAnsi="Times New Roman" w:cs="Times New Roman"/>
          <w:sz w:val="24"/>
          <w:szCs w:val="24"/>
          <w:lang w:eastAsia="ru-RU"/>
        </w:rPr>
        <w:t xml:space="preserve"> процента</w:t>
      </w:r>
      <w:r w:rsidRPr="00ED5313">
        <w:rPr>
          <w:rFonts w:ascii="Times New Roman" w:eastAsia="Times New Roman" w:hAnsi="Times New Roman" w:cs="Times New Roman"/>
          <w:sz w:val="24"/>
          <w:szCs w:val="24"/>
          <w:lang w:eastAsia="ru-RU"/>
        </w:rPr>
        <w:t>.</w:t>
      </w:r>
    </w:p>
    <w:p w:rsidR="00222CF8" w:rsidRPr="00B55367" w:rsidRDefault="00C84029" w:rsidP="002A2787">
      <w:pPr>
        <w:spacing w:after="0" w:line="240" w:lineRule="auto"/>
        <w:ind w:firstLine="709"/>
        <w:jc w:val="both"/>
        <w:rPr>
          <w:rFonts w:ascii="Times New Roman" w:eastAsia="Times New Roman" w:hAnsi="Times New Roman" w:cs="Times New Roman"/>
          <w:sz w:val="24"/>
          <w:szCs w:val="24"/>
          <w:lang w:eastAsia="ru-RU"/>
        </w:rPr>
      </w:pPr>
      <w:r w:rsidRPr="00F128B0">
        <w:rPr>
          <w:rFonts w:ascii="Times New Roman" w:eastAsia="Times New Roman" w:hAnsi="Times New Roman" w:cs="Times New Roman"/>
          <w:b/>
          <w:i/>
          <w:sz w:val="24"/>
          <w:szCs w:val="24"/>
          <w:lang w:eastAsia="ru-RU"/>
        </w:rPr>
        <w:t xml:space="preserve">Проведенный анализ социально-экономического положения Амурской области </w:t>
      </w:r>
      <w:r w:rsidRPr="00F128B0">
        <w:rPr>
          <w:rFonts w:ascii="Times New Roman" w:eastAsia="Times New Roman" w:hAnsi="Times New Roman" w:cs="Times New Roman"/>
          <w:b/>
          <w:i/>
          <w:sz w:val="24"/>
          <w:szCs w:val="24"/>
          <w:lang w:eastAsia="ru-RU"/>
        </w:rPr>
        <w:br/>
        <w:t>показал</w:t>
      </w:r>
      <w:r w:rsidR="00352763" w:rsidRPr="00F128B0">
        <w:rPr>
          <w:rFonts w:ascii="Times New Roman" w:eastAsia="Times New Roman" w:hAnsi="Times New Roman" w:cs="Times New Roman"/>
          <w:b/>
          <w:i/>
          <w:sz w:val="24"/>
          <w:szCs w:val="24"/>
          <w:lang w:eastAsia="ru-RU"/>
        </w:rPr>
        <w:t>,</w:t>
      </w:r>
      <w:r w:rsidR="00352763" w:rsidRPr="00F128B0">
        <w:rPr>
          <w:rFonts w:ascii="Times New Roman" w:eastAsia="Times New Roman" w:hAnsi="Times New Roman" w:cs="Times New Roman"/>
          <w:sz w:val="24"/>
          <w:szCs w:val="24"/>
          <w:lang w:eastAsia="ru-RU"/>
        </w:rPr>
        <w:t xml:space="preserve"> что </w:t>
      </w:r>
      <w:r w:rsidR="00FC22A8" w:rsidRPr="00F128B0">
        <w:rPr>
          <w:rFonts w:ascii="Times New Roman" w:eastAsia="Times New Roman" w:hAnsi="Times New Roman" w:cs="Times New Roman"/>
          <w:sz w:val="24"/>
          <w:szCs w:val="24"/>
          <w:lang w:eastAsia="ru-RU"/>
        </w:rPr>
        <w:t xml:space="preserve">развитие экономики области </w:t>
      </w:r>
      <w:r w:rsidR="00352763" w:rsidRPr="00F128B0">
        <w:rPr>
          <w:rFonts w:ascii="Times New Roman" w:eastAsia="Times New Roman" w:hAnsi="Times New Roman" w:cs="Times New Roman"/>
          <w:sz w:val="24"/>
          <w:szCs w:val="24"/>
          <w:lang w:eastAsia="ru-RU"/>
        </w:rPr>
        <w:t>в 201</w:t>
      </w:r>
      <w:r w:rsidR="00FC4B58" w:rsidRPr="00F128B0">
        <w:rPr>
          <w:rFonts w:ascii="Times New Roman" w:eastAsia="Times New Roman" w:hAnsi="Times New Roman" w:cs="Times New Roman"/>
          <w:sz w:val="24"/>
          <w:szCs w:val="24"/>
          <w:lang w:eastAsia="ru-RU"/>
        </w:rPr>
        <w:t>5</w:t>
      </w:r>
      <w:r w:rsidR="00352763" w:rsidRPr="00F128B0">
        <w:rPr>
          <w:rFonts w:ascii="Times New Roman" w:eastAsia="Times New Roman" w:hAnsi="Times New Roman" w:cs="Times New Roman"/>
          <w:sz w:val="24"/>
          <w:szCs w:val="24"/>
          <w:lang w:eastAsia="ru-RU"/>
        </w:rPr>
        <w:t xml:space="preserve"> году </w:t>
      </w:r>
      <w:r w:rsidR="00992E7A" w:rsidRPr="00F128B0">
        <w:rPr>
          <w:rFonts w:ascii="Times New Roman" w:eastAsia="Times New Roman" w:hAnsi="Times New Roman" w:cs="Times New Roman"/>
          <w:sz w:val="24"/>
          <w:szCs w:val="24"/>
          <w:lang w:eastAsia="ru-RU"/>
        </w:rPr>
        <w:t>характеризовало</w:t>
      </w:r>
      <w:r w:rsidR="009B352E" w:rsidRPr="00F128B0">
        <w:rPr>
          <w:rFonts w:ascii="Times New Roman" w:eastAsia="Times New Roman" w:hAnsi="Times New Roman" w:cs="Times New Roman"/>
          <w:sz w:val="24"/>
          <w:szCs w:val="24"/>
          <w:lang w:eastAsia="ru-RU"/>
        </w:rPr>
        <w:t>сь</w:t>
      </w:r>
      <w:r w:rsidR="00352763" w:rsidRPr="00F128B0">
        <w:rPr>
          <w:rFonts w:ascii="Times New Roman" w:eastAsia="Times New Roman" w:hAnsi="Times New Roman" w:cs="Times New Roman"/>
          <w:sz w:val="24"/>
          <w:szCs w:val="24"/>
          <w:lang w:eastAsia="ru-RU"/>
        </w:rPr>
        <w:t xml:space="preserve"> снижени</w:t>
      </w:r>
      <w:r w:rsidR="009B352E" w:rsidRPr="00F128B0">
        <w:rPr>
          <w:rFonts w:ascii="Times New Roman" w:eastAsia="Times New Roman" w:hAnsi="Times New Roman" w:cs="Times New Roman"/>
          <w:sz w:val="24"/>
          <w:szCs w:val="24"/>
          <w:lang w:eastAsia="ru-RU"/>
        </w:rPr>
        <w:t>ем</w:t>
      </w:r>
      <w:r w:rsidR="00352763" w:rsidRPr="00F128B0">
        <w:rPr>
          <w:rFonts w:ascii="Times New Roman" w:eastAsia="Times New Roman" w:hAnsi="Times New Roman" w:cs="Times New Roman"/>
          <w:sz w:val="24"/>
          <w:szCs w:val="24"/>
          <w:lang w:eastAsia="ru-RU"/>
        </w:rPr>
        <w:t xml:space="preserve"> </w:t>
      </w:r>
      <w:r w:rsidR="00FC4B58" w:rsidRPr="00F128B0">
        <w:rPr>
          <w:rFonts w:ascii="Times New Roman" w:eastAsia="Times New Roman" w:hAnsi="Times New Roman" w:cs="Times New Roman"/>
          <w:sz w:val="24"/>
          <w:szCs w:val="24"/>
          <w:lang w:eastAsia="ru-RU"/>
        </w:rPr>
        <w:t xml:space="preserve">в сопоставимой оценке </w:t>
      </w:r>
      <w:r w:rsidR="00352763" w:rsidRPr="00F128B0">
        <w:rPr>
          <w:rFonts w:ascii="Times New Roman" w:eastAsia="Times New Roman" w:hAnsi="Times New Roman" w:cs="Times New Roman"/>
          <w:sz w:val="24"/>
          <w:szCs w:val="24"/>
          <w:lang w:eastAsia="ru-RU"/>
        </w:rPr>
        <w:t>основн</w:t>
      </w:r>
      <w:r w:rsidR="002A52C7" w:rsidRPr="00F128B0">
        <w:rPr>
          <w:rFonts w:ascii="Times New Roman" w:eastAsia="Times New Roman" w:hAnsi="Times New Roman" w:cs="Times New Roman"/>
          <w:sz w:val="24"/>
          <w:szCs w:val="24"/>
          <w:lang w:eastAsia="ru-RU"/>
        </w:rPr>
        <w:t>ого</w:t>
      </w:r>
      <w:r w:rsidR="00352763" w:rsidRPr="00F128B0">
        <w:rPr>
          <w:rFonts w:ascii="Times New Roman" w:eastAsia="Times New Roman" w:hAnsi="Times New Roman" w:cs="Times New Roman"/>
          <w:sz w:val="24"/>
          <w:szCs w:val="24"/>
          <w:lang w:eastAsia="ru-RU"/>
        </w:rPr>
        <w:t xml:space="preserve"> макроэкономическ</w:t>
      </w:r>
      <w:r w:rsidR="002A52C7" w:rsidRPr="00F128B0">
        <w:rPr>
          <w:rFonts w:ascii="Times New Roman" w:eastAsia="Times New Roman" w:hAnsi="Times New Roman" w:cs="Times New Roman"/>
          <w:sz w:val="24"/>
          <w:szCs w:val="24"/>
          <w:lang w:eastAsia="ru-RU"/>
        </w:rPr>
        <w:t>ого</w:t>
      </w:r>
      <w:r w:rsidR="00352763" w:rsidRPr="00F128B0">
        <w:rPr>
          <w:rFonts w:ascii="Times New Roman" w:eastAsia="Times New Roman" w:hAnsi="Times New Roman" w:cs="Times New Roman"/>
          <w:sz w:val="24"/>
          <w:szCs w:val="24"/>
          <w:lang w:eastAsia="ru-RU"/>
        </w:rPr>
        <w:t xml:space="preserve"> показател</w:t>
      </w:r>
      <w:r w:rsidR="002A52C7" w:rsidRPr="00F128B0">
        <w:rPr>
          <w:rFonts w:ascii="Times New Roman" w:eastAsia="Times New Roman" w:hAnsi="Times New Roman" w:cs="Times New Roman"/>
          <w:sz w:val="24"/>
          <w:szCs w:val="24"/>
          <w:lang w:eastAsia="ru-RU"/>
        </w:rPr>
        <w:t>я –</w:t>
      </w:r>
      <w:r w:rsidR="00352763" w:rsidRPr="00F128B0">
        <w:rPr>
          <w:rFonts w:ascii="Times New Roman" w:eastAsia="Times New Roman" w:hAnsi="Times New Roman" w:cs="Times New Roman"/>
          <w:sz w:val="24"/>
          <w:szCs w:val="24"/>
          <w:lang w:eastAsia="ru-RU"/>
        </w:rPr>
        <w:t xml:space="preserve"> ВРП</w:t>
      </w:r>
      <w:r w:rsidR="002A52C7" w:rsidRPr="00F128B0">
        <w:rPr>
          <w:rFonts w:ascii="Times New Roman" w:eastAsia="Times New Roman" w:hAnsi="Times New Roman" w:cs="Times New Roman"/>
          <w:sz w:val="24"/>
          <w:szCs w:val="24"/>
          <w:lang w:eastAsia="ru-RU"/>
        </w:rPr>
        <w:t xml:space="preserve">, объемов </w:t>
      </w:r>
      <w:r w:rsidR="0097301A" w:rsidRPr="00F128B0">
        <w:rPr>
          <w:rFonts w:ascii="Times New Roman" w:eastAsia="Times New Roman" w:hAnsi="Times New Roman" w:cs="Times New Roman"/>
          <w:sz w:val="24"/>
          <w:szCs w:val="24"/>
          <w:lang w:eastAsia="ru-RU"/>
        </w:rPr>
        <w:t xml:space="preserve">промышленного </w:t>
      </w:r>
      <w:r w:rsidR="002A52C7" w:rsidRPr="00F128B0">
        <w:rPr>
          <w:rFonts w:ascii="Times New Roman" w:eastAsia="Times New Roman" w:hAnsi="Times New Roman" w:cs="Times New Roman"/>
          <w:sz w:val="24"/>
          <w:szCs w:val="24"/>
          <w:lang w:eastAsia="ru-RU"/>
        </w:rPr>
        <w:t>производства</w:t>
      </w:r>
      <w:r w:rsidR="00136AD7">
        <w:rPr>
          <w:rFonts w:ascii="Times New Roman" w:eastAsia="Times New Roman" w:hAnsi="Times New Roman" w:cs="Times New Roman"/>
          <w:sz w:val="24"/>
          <w:szCs w:val="24"/>
          <w:lang w:eastAsia="ru-RU"/>
        </w:rPr>
        <w:t xml:space="preserve"> в добывающем секторе и электроэнергетике</w:t>
      </w:r>
      <w:r w:rsidR="0097301A" w:rsidRPr="00F128B0">
        <w:rPr>
          <w:rFonts w:ascii="Times New Roman" w:eastAsia="Times New Roman" w:hAnsi="Times New Roman" w:cs="Times New Roman"/>
          <w:sz w:val="24"/>
          <w:szCs w:val="24"/>
          <w:lang w:eastAsia="ru-RU"/>
        </w:rPr>
        <w:t>,</w:t>
      </w:r>
      <w:r w:rsidR="00136AD7">
        <w:rPr>
          <w:rFonts w:ascii="Times New Roman" w:eastAsia="Times New Roman" w:hAnsi="Times New Roman" w:cs="Times New Roman"/>
          <w:sz w:val="24"/>
          <w:szCs w:val="24"/>
          <w:lang w:eastAsia="ru-RU"/>
        </w:rPr>
        <w:t xml:space="preserve"> а также </w:t>
      </w:r>
      <w:r w:rsidR="00136AD7" w:rsidRPr="00AD30C3">
        <w:rPr>
          <w:rFonts w:ascii="Times New Roman" w:eastAsia="Times New Roman" w:hAnsi="Times New Roman" w:cs="Times New Roman"/>
          <w:sz w:val="24"/>
          <w:szCs w:val="24"/>
          <w:lang w:eastAsia="ru-RU"/>
        </w:rPr>
        <w:t>снижением объемов</w:t>
      </w:r>
      <w:r w:rsidR="0097301A" w:rsidRPr="00AD30C3">
        <w:rPr>
          <w:rFonts w:ascii="Times New Roman" w:eastAsia="Times New Roman" w:hAnsi="Times New Roman" w:cs="Times New Roman"/>
          <w:sz w:val="24"/>
          <w:szCs w:val="24"/>
          <w:lang w:eastAsia="ru-RU"/>
        </w:rPr>
        <w:t xml:space="preserve"> </w:t>
      </w:r>
      <w:r w:rsidR="00F128B0" w:rsidRPr="00F128B0">
        <w:rPr>
          <w:rFonts w:ascii="Times New Roman" w:eastAsia="Times New Roman" w:hAnsi="Times New Roman" w:cs="Times New Roman"/>
          <w:sz w:val="24"/>
          <w:szCs w:val="24"/>
          <w:lang w:eastAsia="ru-RU"/>
        </w:rPr>
        <w:t>сельского хозяйства,</w:t>
      </w:r>
      <w:r w:rsidR="00DC4EE9" w:rsidRPr="00F128B0">
        <w:rPr>
          <w:rFonts w:ascii="Times New Roman" w:eastAsia="Times New Roman" w:hAnsi="Times New Roman" w:cs="Times New Roman"/>
          <w:sz w:val="24"/>
          <w:szCs w:val="24"/>
          <w:lang w:eastAsia="ru-RU"/>
        </w:rPr>
        <w:t xml:space="preserve"> </w:t>
      </w:r>
      <w:r w:rsidR="00992E7A" w:rsidRPr="00F128B0">
        <w:rPr>
          <w:rFonts w:ascii="Times New Roman" w:eastAsia="Times New Roman" w:hAnsi="Times New Roman" w:cs="Times New Roman"/>
          <w:sz w:val="24"/>
          <w:szCs w:val="24"/>
          <w:lang w:eastAsia="ru-RU"/>
        </w:rPr>
        <w:t xml:space="preserve">реальных </w:t>
      </w:r>
      <w:r w:rsidR="0097301A" w:rsidRPr="00F128B0">
        <w:rPr>
          <w:rFonts w:ascii="Times New Roman" w:eastAsia="Times New Roman" w:hAnsi="Times New Roman" w:cs="Times New Roman"/>
          <w:sz w:val="24"/>
          <w:szCs w:val="24"/>
          <w:lang w:eastAsia="ru-RU"/>
        </w:rPr>
        <w:t>доходов населения</w:t>
      </w:r>
      <w:r w:rsidR="0033325A" w:rsidRPr="00F128B0">
        <w:rPr>
          <w:rFonts w:ascii="Times New Roman" w:eastAsia="Times New Roman" w:hAnsi="Times New Roman" w:cs="Times New Roman"/>
          <w:sz w:val="24"/>
          <w:szCs w:val="24"/>
          <w:lang w:eastAsia="ru-RU"/>
        </w:rPr>
        <w:t>,</w:t>
      </w:r>
      <w:r w:rsidR="0097301A" w:rsidRPr="00F128B0">
        <w:rPr>
          <w:rFonts w:ascii="Times New Roman" w:eastAsia="Times New Roman" w:hAnsi="Times New Roman" w:cs="Times New Roman"/>
          <w:sz w:val="24"/>
          <w:szCs w:val="24"/>
          <w:lang w:eastAsia="ru-RU"/>
        </w:rPr>
        <w:t xml:space="preserve"> </w:t>
      </w:r>
      <w:r w:rsidR="0033325A" w:rsidRPr="00F128B0">
        <w:rPr>
          <w:rFonts w:ascii="Times New Roman" w:eastAsia="Times New Roman" w:hAnsi="Times New Roman" w:cs="Times New Roman"/>
          <w:sz w:val="24"/>
          <w:szCs w:val="24"/>
          <w:lang w:eastAsia="ru-RU"/>
        </w:rPr>
        <w:t xml:space="preserve">ростом </w:t>
      </w:r>
      <w:r w:rsidR="0097301A" w:rsidRPr="00F128B0">
        <w:rPr>
          <w:rFonts w:ascii="Times New Roman" w:eastAsia="Times New Roman" w:hAnsi="Times New Roman" w:cs="Times New Roman"/>
          <w:sz w:val="24"/>
          <w:szCs w:val="24"/>
          <w:lang w:eastAsia="ru-RU"/>
        </w:rPr>
        <w:t>потребительских цен</w:t>
      </w:r>
      <w:r w:rsidR="00F128B0" w:rsidRPr="00F128B0">
        <w:rPr>
          <w:rFonts w:ascii="Times New Roman" w:eastAsia="Times New Roman" w:hAnsi="Times New Roman" w:cs="Times New Roman"/>
          <w:sz w:val="24"/>
          <w:szCs w:val="24"/>
          <w:lang w:eastAsia="ru-RU"/>
        </w:rPr>
        <w:t xml:space="preserve"> и уровня безработицы</w:t>
      </w:r>
      <w:r w:rsidR="00B55367">
        <w:rPr>
          <w:rFonts w:ascii="Times New Roman" w:eastAsia="Times New Roman" w:hAnsi="Times New Roman" w:cs="Times New Roman"/>
          <w:sz w:val="24"/>
          <w:szCs w:val="24"/>
          <w:lang w:eastAsia="ru-RU"/>
        </w:rPr>
        <w:t>.</w:t>
      </w:r>
    </w:p>
    <w:p w:rsidR="0074635D" w:rsidRDefault="0074635D" w:rsidP="00EE07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74635D" w:rsidRDefault="0074635D" w:rsidP="00EE07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EE076D" w:rsidRDefault="00EE076D" w:rsidP="00EE07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Стратегией социально-экономического развития Амурской области на период до </w:t>
      </w:r>
      <w:r w:rsidR="0074635D">
        <w:rPr>
          <w:rFonts w:ascii="Times New Roman" w:eastAsia="Times New Roman" w:hAnsi="Times New Roman" w:cs="Times New Roman"/>
          <w:sz w:val="24"/>
          <w:szCs w:val="20"/>
          <w:lang w:eastAsia="ru-RU"/>
        </w:rPr>
        <w:br/>
      </w:r>
      <w:r>
        <w:rPr>
          <w:rFonts w:ascii="Times New Roman" w:eastAsia="Times New Roman" w:hAnsi="Times New Roman" w:cs="Times New Roman"/>
          <w:sz w:val="24"/>
          <w:szCs w:val="20"/>
          <w:lang w:eastAsia="ru-RU"/>
        </w:rPr>
        <w:t xml:space="preserve">2025 года, утвержденной постановлением Правительства Амурской области от 13.07.2012 </w:t>
      </w:r>
      <w:r w:rsidR="0074635D">
        <w:rPr>
          <w:rFonts w:ascii="Times New Roman" w:eastAsia="Times New Roman" w:hAnsi="Times New Roman" w:cs="Times New Roman"/>
          <w:sz w:val="24"/>
          <w:szCs w:val="20"/>
          <w:lang w:eastAsia="ru-RU"/>
        </w:rPr>
        <w:br/>
      </w:r>
      <w:r>
        <w:rPr>
          <w:rFonts w:ascii="Times New Roman" w:eastAsia="Times New Roman" w:hAnsi="Times New Roman" w:cs="Times New Roman"/>
          <w:sz w:val="24"/>
          <w:szCs w:val="20"/>
          <w:lang w:eastAsia="ru-RU"/>
        </w:rPr>
        <w:t xml:space="preserve">№ 380, на 2015 год, среднегодовой темп роста ВРП до 2015 года утвержден в размере </w:t>
      </w:r>
      <w:r w:rsidR="0074635D">
        <w:rPr>
          <w:rFonts w:ascii="Times New Roman" w:eastAsia="Times New Roman" w:hAnsi="Times New Roman" w:cs="Times New Roman"/>
          <w:sz w:val="24"/>
          <w:szCs w:val="20"/>
          <w:lang w:eastAsia="ru-RU"/>
        </w:rPr>
        <w:br/>
      </w:r>
      <w:r>
        <w:rPr>
          <w:rFonts w:ascii="Times New Roman" w:eastAsia="Times New Roman" w:hAnsi="Times New Roman" w:cs="Times New Roman"/>
          <w:sz w:val="24"/>
          <w:szCs w:val="20"/>
          <w:lang w:eastAsia="ru-RU"/>
        </w:rPr>
        <w:t xml:space="preserve">6,0 процентов в год, с достижением к 2015 году объема </w:t>
      </w:r>
      <w:r w:rsidR="00B55367">
        <w:rPr>
          <w:rFonts w:ascii="Times New Roman" w:eastAsia="Times New Roman" w:hAnsi="Times New Roman" w:cs="Times New Roman"/>
          <w:sz w:val="24"/>
          <w:szCs w:val="20"/>
          <w:lang w:eastAsia="ru-RU"/>
        </w:rPr>
        <w:t>ВРП в сумме 314,1 млрд. рублей.</w:t>
      </w:r>
    </w:p>
    <w:p w:rsidR="00EE076D" w:rsidRDefault="00EE076D" w:rsidP="00EE07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соответствии с прогнозом социально-экономического развития Амурской области на 2015 год и на период до 201</w:t>
      </w:r>
      <w:r w:rsidR="00025C3D">
        <w:rPr>
          <w:rFonts w:ascii="Times New Roman" w:eastAsia="Times New Roman" w:hAnsi="Times New Roman" w:cs="Times New Roman"/>
          <w:sz w:val="24"/>
          <w:szCs w:val="20"/>
          <w:lang w:eastAsia="ru-RU"/>
        </w:rPr>
        <w:t>7</w:t>
      </w:r>
      <w:r>
        <w:rPr>
          <w:rFonts w:ascii="Times New Roman" w:eastAsia="Times New Roman" w:hAnsi="Times New Roman" w:cs="Times New Roman"/>
          <w:sz w:val="24"/>
          <w:szCs w:val="20"/>
          <w:lang w:eastAsia="ru-RU"/>
        </w:rPr>
        <w:t xml:space="preserve"> года, одобренным распоряжением Правительства Амурской области от 24.10.2014 № 272-р, ожидаемый ВРП на 2015 год составлял 295,1-299,4 млрд. рублей (больше фактически сложившегося уровня на 41,9-46,2 млрд. рублей). Программой социально-экономического ра</w:t>
      </w:r>
      <w:r w:rsidR="00B55367">
        <w:rPr>
          <w:rFonts w:ascii="Times New Roman" w:eastAsia="Times New Roman" w:hAnsi="Times New Roman" w:cs="Times New Roman"/>
          <w:sz w:val="24"/>
          <w:szCs w:val="20"/>
          <w:lang w:eastAsia="ru-RU"/>
        </w:rPr>
        <w:t>звития Амурской области на 2013</w:t>
      </w:r>
      <w:r>
        <w:rPr>
          <w:rFonts w:ascii="Times New Roman" w:eastAsia="Times New Roman" w:hAnsi="Times New Roman" w:cs="Times New Roman"/>
          <w:sz w:val="24"/>
          <w:szCs w:val="20"/>
          <w:lang w:eastAsia="ru-RU"/>
        </w:rPr>
        <w:t xml:space="preserve">-2017 годы, утвержденной Законом Амурской области от 13.11.2013 № 277-ОЗ, также на 2015 год предусмотрен более высокий уровень данного показателя. Так, в соответствии с указанной программой на </w:t>
      </w:r>
      <w:r w:rsidR="0074635D">
        <w:rPr>
          <w:rFonts w:ascii="Times New Roman" w:eastAsia="Times New Roman" w:hAnsi="Times New Roman" w:cs="Times New Roman"/>
          <w:sz w:val="24"/>
          <w:szCs w:val="20"/>
          <w:lang w:eastAsia="ru-RU"/>
        </w:rPr>
        <w:br/>
      </w:r>
      <w:r>
        <w:rPr>
          <w:rFonts w:ascii="Times New Roman" w:eastAsia="Times New Roman" w:hAnsi="Times New Roman" w:cs="Times New Roman"/>
          <w:sz w:val="24"/>
          <w:szCs w:val="20"/>
          <w:lang w:eastAsia="ru-RU"/>
        </w:rPr>
        <w:t>2015 год ВРП запланирован в сумме 310,9 млрд. рублей.</w:t>
      </w:r>
    </w:p>
    <w:p w:rsidR="00EE076D" w:rsidRDefault="00EE076D" w:rsidP="00EE07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После роста индекса физического объема ВРП в 2014 году, в 2015 году темп роста индекса физического объема ВРП ниже значения показателя, определенного Программой социально-экономического развития Амурской области на 2013-2017 годы, утвержденной Законом Амурской области от 13.11.2013 № 277-ОЗ (на 2015 год </w:t>
      </w:r>
      <w:r w:rsidR="00B55367">
        <w:rPr>
          <w:rFonts w:ascii="Times New Roman" w:eastAsia="Times New Roman" w:hAnsi="Times New Roman" w:cs="Times New Roman"/>
          <w:sz w:val="24"/>
          <w:szCs w:val="20"/>
          <w:lang w:eastAsia="ru-RU"/>
        </w:rPr>
        <w:t xml:space="preserve">предусмотрено </w:t>
      </w:r>
      <w:r w:rsidR="00B55367">
        <w:rPr>
          <w:rFonts w:ascii="Times New Roman" w:eastAsia="Times New Roman" w:hAnsi="Times New Roman" w:cs="Times New Roman"/>
          <w:sz w:val="24"/>
          <w:szCs w:val="20"/>
          <w:lang w:eastAsia="ru-RU"/>
        </w:rPr>
        <w:br/>
        <w:t>103,8 процента).</w:t>
      </w:r>
    </w:p>
    <w:p w:rsidR="003E1B5A" w:rsidRDefault="003E1B5A" w:rsidP="003E1B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Запланированные на 2015 год в Стратегии, Программе и Прогнозе показатели темпов роста и номинальн</w:t>
      </w:r>
      <w:r w:rsidR="00B55367">
        <w:rPr>
          <w:rFonts w:ascii="Times New Roman" w:eastAsia="Times New Roman" w:hAnsi="Times New Roman" w:cs="Times New Roman"/>
          <w:sz w:val="24"/>
          <w:szCs w:val="20"/>
          <w:lang w:eastAsia="ru-RU"/>
        </w:rPr>
        <w:t>ого значения ВРП не достигнуты.</w:t>
      </w:r>
    </w:p>
    <w:p w:rsidR="00EE076D" w:rsidRDefault="00EE076D" w:rsidP="00136A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4"/>
          <w:lang w:eastAsia="ru-RU"/>
        </w:rPr>
        <w:t xml:space="preserve">Не достигнуты </w:t>
      </w:r>
      <w:r w:rsidR="003E1B5A">
        <w:rPr>
          <w:rFonts w:ascii="Times New Roman" w:eastAsia="Times New Roman" w:hAnsi="Times New Roman" w:cs="Times New Roman"/>
          <w:sz w:val="24"/>
          <w:szCs w:val="24"/>
          <w:lang w:eastAsia="ru-RU"/>
        </w:rPr>
        <w:t xml:space="preserve">также </w:t>
      </w:r>
      <w:r>
        <w:rPr>
          <w:rFonts w:ascii="Times New Roman" w:eastAsia="Times New Roman" w:hAnsi="Times New Roman" w:cs="Times New Roman"/>
          <w:sz w:val="24"/>
          <w:szCs w:val="24"/>
          <w:lang w:eastAsia="ru-RU"/>
        </w:rPr>
        <w:t xml:space="preserve">запланированные на 2015 год в соответствии с </w:t>
      </w:r>
      <w:r w:rsidRPr="00EE076D">
        <w:rPr>
          <w:rFonts w:ascii="Times New Roman" w:eastAsia="Times New Roman" w:hAnsi="Times New Roman" w:cs="Times New Roman"/>
          <w:sz w:val="24"/>
          <w:szCs w:val="24"/>
          <w:lang w:eastAsia="ru-RU"/>
        </w:rPr>
        <w:t>программой социально-экономического развития Амурской области на 2013-2017 годы, утвержденной Законом Амурской области от 13.11.2013 № 277-ОЗ,</w:t>
      </w:r>
      <w:r>
        <w:rPr>
          <w:rFonts w:ascii="Times New Roman" w:eastAsia="Times New Roman" w:hAnsi="Times New Roman" w:cs="Times New Roman"/>
          <w:sz w:val="24"/>
          <w:szCs w:val="24"/>
          <w:lang w:eastAsia="ru-RU"/>
        </w:rPr>
        <w:t xml:space="preserve"> значения показателей </w:t>
      </w:r>
      <w:r w:rsidR="00136AD7">
        <w:rPr>
          <w:rFonts w:ascii="Times New Roman" w:eastAsia="Times New Roman" w:hAnsi="Times New Roman" w:cs="Times New Roman"/>
          <w:sz w:val="24"/>
          <w:szCs w:val="24"/>
          <w:lang w:eastAsia="ru-RU"/>
        </w:rPr>
        <w:t xml:space="preserve">денежных доходов на душу населения, </w:t>
      </w:r>
      <w:r w:rsidRPr="003E1B5A">
        <w:rPr>
          <w:rFonts w:ascii="Times New Roman" w:eastAsia="Times New Roman" w:hAnsi="Times New Roman" w:cs="Times New Roman"/>
          <w:sz w:val="24"/>
          <w:szCs w:val="24"/>
          <w:lang w:eastAsia="ru-RU"/>
        </w:rPr>
        <w:t>р</w:t>
      </w:r>
      <w:r w:rsidR="00136AD7" w:rsidRPr="003E1B5A">
        <w:rPr>
          <w:rFonts w:ascii="Times New Roman" w:eastAsia="Times New Roman" w:hAnsi="Times New Roman" w:cs="Times New Roman"/>
          <w:sz w:val="24"/>
          <w:szCs w:val="24"/>
          <w:lang w:eastAsia="ru-RU"/>
        </w:rPr>
        <w:t>еальн</w:t>
      </w:r>
      <w:r w:rsidRPr="003E1B5A">
        <w:rPr>
          <w:rFonts w:ascii="Times New Roman" w:eastAsia="Times New Roman" w:hAnsi="Times New Roman" w:cs="Times New Roman"/>
          <w:sz w:val="24"/>
          <w:szCs w:val="24"/>
          <w:lang w:eastAsia="ru-RU"/>
        </w:rPr>
        <w:t>ой</w:t>
      </w:r>
      <w:r w:rsidR="00136AD7" w:rsidRPr="003E1B5A">
        <w:rPr>
          <w:rFonts w:ascii="Times New Roman" w:eastAsia="Times New Roman" w:hAnsi="Times New Roman" w:cs="Times New Roman"/>
          <w:sz w:val="24"/>
          <w:szCs w:val="24"/>
          <w:lang w:eastAsia="ru-RU"/>
        </w:rPr>
        <w:t xml:space="preserve"> начисленн</w:t>
      </w:r>
      <w:r w:rsidRPr="003E1B5A">
        <w:rPr>
          <w:rFonts w:ascii="Times New Roman" w:eastAsia="Times New Roman" w:hAnsi="Times New Roman" w:cs="Times New Roman"/>
          <w:sz w:val="24"/>
          <w:szCs w:val="24"/>
          <w:lang w:eastAsia="ru-RU"/>
        </w:rPr>
        <w:t>ой</w:t>
      </w:r>
      <w:r w:rsidR="00136AD7" w:rsidRPr="003E1B5A">
        <w:rPr>
          <w:rFonts w:ascii="Times New Roman" w:eastAsia="Times New Roman" w:hAnsi="Times New Roman" w:cs="Times New Roman"/>
          <w:sz w:val="24"/>
          <w:szCs w:val="24"/>
          <w:lang w:eastAsia="ru-RU"/>
        </w:rPr>
        <w:t xml:space="preserve"> заработн</w:t>
      </w:r>
      <w:r w:rsidRPr="003E1B5A">
        <w:rPr>
          <w:rFonts w:ascii="Times New Roman" w:eastAsia="Times New Roman" w:hAnsi="Times New Roman" w:cs="Times New Roman"/>
          <w:sz w:val="24"/>
          <w:szCs w:val="24"/>
          <w:lang w:eastAsia="ru-RU"/>
        </w:rPr>
        <w:t>ой</w:t>
      </w:r>
      <w:r w:rsidR="00136AD7" w:rsidRPr="003E1B5A">
        <w:rPr>
          <w:rFonts w:ascii="Times New Roman" w:eastAsia="Times New Roman" w:hAnsi="Times New Roman" w:cs="Times New Roman"/>
          <w:sz w:val="24"/>
          <w:szCs w:val="24"/>
          <w:lang w:eastAsia="ru-RU"/>
        </w:rPr>
        <w:t xml:space="preserve"> плат</w:t>
      </w:r>
      <w:r w:rsidRPr="003E1B5A">
        <w:rPr>
          <w:rFonts w:ascii="Times New Roman" w:eastAsia="Times New Roman" w:hAnsi="Times New Roman" w:cs="Times New Roman"/>
          <w:sz w:val="24"/>
          <w:szCs w:val="24"/>
          <w:lang w:eastAsia="ru-RU"/>
        </w:rPr>
        <w:t>ы</w:t>
      </w:r>
      <w:r w:rsidR="00136AD7" w:rsidRPr="003E1B5A">
        <w:rPr>
          <w:rFonts w:ascii="Times New Roman" w:eastAsia="Times New Roman" w:hAnsi="Times New Roman" w:cs="Times New Roman"/>
          <w:sz w:val="24"/>
          <w:szCs w:val="24"/>
          <w:lang w:eastAsia="ru-RU"/>
        </w:rPr>
        <w:t xml:space="preserve"> одного работника</w:t>
      </w:r>
      <w:r w:rsidRPr="003E1B5A">
        <w:rPr>
          <w:rFonts w:ascii="Times New Roman" w:eastAsia="Times New Roman" w:hAnsi="Times New Roman" w:cs="Times New Roman"/>
          <w:sz w:val="24"/>
          <w:szCs w:val="24"/>
          <w:lang w:eastAsia="ru-RU"/>
        </w:rPr>
        <w:t>,</w:t>
      </w:r>
      <w:r w:rsidR="00136AD7">
        <w:rPr>
          <w:rFonts w:ascii="Times New Roman" w:eastAsia="Times New Roman" w:hAnsi="Times New Roman" w:cs="Times New Roman"/>
          <w:sz w:val="24"/>
          <w:szCs w:val="24"/>
          <w:lang w:eastAsia="ru-RU"/>
        </w:rPr>
        <w:t xml:space="preserve"> </w:t>
      </w:r>
      <w:r w:rsidRPr="00AD30C3">
        <w:rPr>
          <w:rFonts w:ascii="Times New Roman" w:eastAsia="Times New Roman" w:hAnsi="Times New Roman" w:cs="Times New Roman"/>
          <w:sz w:val="24"/>
          <w:szCs w:val="24"/>
          <w:lang w:eastAsia="ru-RU"/>
        </w:rPr>
        <w:t xml:space="preserve">объема промышленного производства и </w:t>
      </w:r>
      <w:r w:rsidRPr="00AD30C3">
        <w:rPr>
          <w:rFonts w:ascii="Times New Roman" w:eastAsia="Times New Roman" w:hAnsi="Times New Roman" w:cs="Times New Roman"/>
          <w:sz w:val="24"/>
          <w:szCs w:val="20"/>
          <w:lang w:eastAsia="ru-RU"/>
        </w:rPr>
        <w:t>индекса промышленного производства, объема</w:t>
      </w:r>
      <w:r w:rsidR="00B55367" w:rsidRPr="00AD30C3">
        <w:rPr>
          <w:rFonts w:ascii="Times New Roman" w:eastAsia="Times New Roman" w:hAnsi="Times New Roman" w:cs="Times New Roman"/>
          <w:sz w:val="24"/>
          <w:szCs w:val="20"/>
          <w:lang w:eastAsia="ru-RU"/>
        </w:rPr>
        <w:t xml:space="preserve"> инвестиций в основной капитал.</w:t>
      </w:r>
      <w:proofErr w:type="gramEnd"/>
    </w:p>
    <w:p w:rsidR="00EE076D" w:rsidRDefault="00EE076D" w:rsidP="00136A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299F" w:rsidRPr="001A299F" w:rsidRDefault="001A299F" w:rsidP="001A299F">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b/>
          <w:sz w:val="24"/>
          <w:szCs w:val="24"/>
          <w:lang w:eastAsia="ru-RU"/>
        </w:rPr>
        <w:t>2</w:t>
      </w:r>
      <w:bookmarkStart w:id="4" w:name="_Toc137011263"/>
      <w:r w:rsidRPr="001A299F">
        <w:rPr>
          <w:rFonts w:ascii="Times New Roman" w:eastAsia="Times New Roman" w:hAnsi="Times New Roman" w:cs="Times New Roman"/>
          <w:b/>
          <w:sz w:val="24"/>
          <w:szCs w:val="24"/>
          <w:lang w:eastAsia="ru-RU"/>
        </w:rPr>
        <w:t>. Исполнение консолидированного бюджета области за 2015 год</w:t>
      </w:r>
      <w:bookmarkEnd w:id="4"/>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Анализ консолидированного бюджета Амурской области проведен на основании данных отчета об исполнении консолидированного бюджета области, представленного одновременно с годовым отчетом об исполнении областного бюджета в соответствии со </w:t>
      </w:r>
      <w:r w:rsidRPr="001A299F">
        <w:rPr>
          <w:rFonts w:ascii="Times New Roman" w:eastAsia="Times New Roman" w:hAnsi="Times New Roman" w:cs="Times New Roman"/>
          <w:sz w:val="24"/>
          <w:szCs w:val="24"/>
          <w:lang w:eastAsia="ru-RU"/>
        </w:rPr>
        <w:br/>
        <w:t>статьей 17 Закона Амурской области от 31.08.2007 № 368-ОЗ «О бюджетном процессе в Амурской области».</w:t>
      </w:r>
    </w:p>
    <w:p w:rsidR="001A299F" w:rsidRPr="007B236A"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A299F">
        <w:rPr>
          <w:rFonts w:ascii="Times New Roman" w:eastAsia="Times New Roman" w:hAnsi="Times New Roman" w:cs="Times New Roman"/>
          <w:sz w:val="24"/>
          <w:szCs w:val="24"/>
          <w:lang w:eastAsia="ru-RU"/>
        </w:rPr>
        <w:t xml:space="preserve">Исполнение консолидированного бюджета Амурской области за 2015 год по доходам составило 52149124,7 </w:t>
      </w:r>
      <w:r w:rsidRPr="001A299F">
        <w:rPr>
          <w:rFonts w:ascii="Times New Roman" w:eastAsia="Times New Roman" w:hAnsi="Times New Roman" w:cs="Times New Roman"/>
          <w:bCs/>
          <w:sz w:val="24"/>
          <w:szCs w:val="24"/>
          <w:lang w:eastAsia="ru-RU"/>
        </w:rPr>
        <w:t>тыс. рублей, или 105,7 процента плановых назначений. П</w:t>
      </w:r>
      <w:r w:rsidRPr="001A299F">
        <w:rPr>
          <w:rFonts w:ascii="Times New Roman" w:eastAsia="Times New Roman" w:hAnsi="Times New Roman" w:cs="Times New Roman"/>
          <w:sz w:val="24"/>
          <w:szCs w:val="24"/>
          <w:lang w:eastAsia="ru-RU"/>
        </w:rPr>
        <w:t xml:space="preserve">о расходам консолидированный бюджет исполнен в объеме 56426568,6 </w:t>
      </w:r>
      <w:r w:rsidRPr="001A299F">
        <w:rPr>
          <w:rFonts w:ascii="Times New Roman" w:eastAsia="Times New Roman" w:hAnsi="Times New Roman" w:cs="Times New Roman"/>
          <w:bCs/>
          <w:sz w:val="24"/>
          <w:szCs w:val="24"/>
          <w:lang w:eastAsia="ru-RU"/>
        </w:rPr>
        <w:t>тыс. рублей, или 92,</w:t>
      </w:r>
      <w:r w:rsidRPr="001A299F">
        <w:rPr>
          <w:rFonts w:ascii="Times New Roman" w:eastAsia="Times New Roman" w:hAnsi="Times New Roman" w:cs="Times New Roman"/>
          <w:sz w:val="24"/>
          <w:szCs w:val="24"/>
          <w:lang w:eastAsia="ru-RU"/>
        </w:rPr>
        <w:t xml:space="preserve">4 процента плановых назначений. В 2015 году консолидированный бюджет исполнен с дефицитом в объеме 4277443,9 тыс. рублей при плановом дефиците бюджета – 6921282,2 тыс. рублей. Результаты исполнения консолидированного бюджета области за последние пять лет </w:t>
      </w:r>
      <w:r w:rsidRPr="001A299F">
        <w:rPr>
          <w:rFonts w:ascii="Times New Roman" w:eastAsia="Times New Roman" w:hAnsi="Times New Roman" w:cs="Times New Roman"/>
          <w:sz w:val="24"/>
          <w:szCs w:val="24"/>
          <w:lang w:eastAsia="ru-RU"/>
        </w:rPr>
        <w:br/>
        <w:t xml:space="preserve">(2011-2015 годы) представлены на </w:t>
      </w:r>
      <w:r w:rsidRPr="007B236A">
        <w:rPr>
          <w:rFonts w:ascii="Times New Roman" w:eastAsia="Times New Roman" w:hAnsi="Times New Roman" w:cs="Times New Roman"/>
          <w:sz w:val="24"/>
          <w:szCs w:val="24"/>
          <w:lang w:eastAsia="ru-RU"/>
        </w:rPr>
        <w:t>рисунке 15.</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299F">
        <w:rPr>
          <w:rFonts w:ascii="Times New Roman" w:eastAsia="Times New Roman" w:hAnsi="Times New Roman" w:cs="Times New Roman"/>
          <w:color w:val="000000"/>
          <w:sz w:val="24"/>
          <w:szCs w:val="24"/>
          <w:lang w:eastAsia="ru-RU"/>
        </w:rPr>
        <w:t>В целом в 2015 году объем поступлений доходов консолидированного бюджета ниже уровня поступлений 2014 года на 1629178,2 тыс. рублей, или 3,0 процента.</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299F">
        <w:rPr>
          <w:rFonts w:ascii="Times New Roman" w:eastAsia="Times New Roman" w:hAnsi="Times New Roman" w:cs="Times New Roman"/>
          <w:color w:val="000000"/>
          <w:sz w:val="24"/>
          <w:szCs w:val="24"/>
          <w:lang w:eastAsia="ru-RU"/>
        </w:rPr>
        <w:t xml:space="preserve">Снижение объема поступлений доходов консолидированного бюджета в 2015 году произошло в основном за счет снижения безвозмездных поступлений, объем поступлений которых в 2015 году ниже объема поступлений 2014 года на 5259742,5 тыс. рублей, или </w:t>
      </w:r>
      <w:r w:rsidRPr="001A299F">
        <w:rPr>
          <w:rFonts w:ascii="Times New Roman" w:eastAsia="Times New Roman" w:hAnsi="Times New Roman" w:cs="Times New Roman"/>
          <w:color w:val="000000"/>
          <w:sz w:val="24"/>
          <w:szCs w:val="24"/>
          <w:lang w:eastAsia="ru-RU"/>
        </w:rPr>
        <w:br/>
        <w:t>31,1 процента.</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Налоговые и неналоговые доходы поступили в 2015 году в консолидированный бюджет области в сумме 40475734,0 тыс. рублей, что на 3630564,3 тыс. рублей, или </w:t>
      </w:r>
      <w:r w:rsidRPr="001A299F">
        <w:rPr>
          <w:rFonts w:ascii="Times New Roman" w:eastAsia="Times New Roman" w:hAnsi="Times New Roman" w:cs="Times New Roman"/>
          <w:sz w:val="24"/>
          <w:szCs w:val="24"/>
          <w:lang w:eastAsia="ru-RU"/>
        </w:rPr>
        <w:br/>
        <w:t xml:space="preserve">9,9 процента выше уровня поступлений 2014 года. Доля налоговых и неналоговых доходов консолидированного бюджета области в 2015 году по сравнению с 2014 годом увеличилась на 9,1 процента и составила 77,6 процента в общем объеме доходов консолидированного бюджета области. Доля безвозмездных поступлений соответственно уменьшилась на </w:t>
      </w:r>
      <w:r w:rsidRPr="001A299F">
        <w:rPr>
          <w:rFonts w:ascii="Times New Roman" w:eastAsia="Times New Roman" w:hAnsi="Times New Roman" w:cs="Times New Roman"/>
          <w:sz w:val="24"/>
          <w:szCs w:val="24"/>
          <w:lang w:eastAsia="ru-RU"/>
        </w:rPr>
        <w:br/>
        <w:t>9,1 процента и составила 22,4 процента.</w:t>
      </w:r>
    </w:p>
    <w:p w:rsidR="001A299F" w:rsidRPr="001A299F" w:rsidRDefault="001A299F" w:rsidP="00EB28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99F">
        <w:rPr>
          <w:rFonts w:ascii="Times New Roman" w:eastAsia="Times New Roman" w:hAnsi="Times New Roman" w:cs="Times New Roman"/>
          <w:b/>
          <w:noProof/>
          <w:sz w:val="20"/>
          <w:szCs w:val="20"/>
          <w:lang w:eastAsia="ru-RU"/>
        </w:rPr>
        <w:lastRenderedPageBreak/>
        <w:drawing>
          <wp:inline distT="0" distB="0" distL="0" distR="0" wp14:anchorId="7B6E66F9" wp14:editId="55716986">
            <wp:extent cx="6134100" cy="29337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A299F" w:rsidRPr="001A299F" w:rsidRDefault="001A299F" w:rsidP="001A299F">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7B236A">
        <w:rPr>
          <w:rFonts w:ascii="Times New Roman" w:eastAsia="Times New Roman" w:hAnsi="Times New Roman" w:cs="Times New Roman"/>
          <w:b/>
          <w:sz w:val="24"/>
          <w:szCs w:val="24"/>
          <w:lang w:eastAsia="ru-RU"/>
        </w:rPr>
        <w:t>Рис. 15</w:t>
      </w:r>
      <w:r w:rsidRPr="007B236A">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b/>
          <w:color w:val="000000"/>
          <w:sz w:val="24"/>
          <w:szCs w:val="24"/>
          <w:lang w:eastAsia="ru-RU"/>
        </w:rPr>
        <w:t>Результаты исполнения консолидированного бюджета Амурской области за 2011-2015 годы, млн. руб.</w:t>
      </w:r>
    </w:p>
    <w:p w:rsidR="00264BFF" w:rsidRDefault="00264BFF" w:rsidP="007B236A">
      <w:pPr>
        <w:spacing w:after="0" w:line="240" w:lineRule="auto"/>
        <w:ind w:firstLine="709"/>
        <w:jc w:val="both"/>
        <w:rPr>
          <w:rFonts w:ascii="Times New Roman" w:eastAsia="Times New Roman" w:hAnsi="Times New Roman" w:cs="Times New Roman"/>
          <w:spacing w:val="6"/>
          <w:sz w:val="24"/>
          <w:szCs w:val="24"/>
          <w:lang w:eastAsia="ru-RU"/>
        </w:rPr>
      </w:pPr>
    </w:p>
    <w:p w:rsidR="007B236A" w:rsidRPr="001A299F" w:rsidRDefault="007B236A" w:rsidP="007B236A">
      <w:pPr>
        <w:spacing w:after="0" w:line="240" w:lineRule="auto"/>
        <w:ind w:firstLine="709"/>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t>Уровень исполнения за 2015 год по налоговым и неналоговым доходам консолидированного бюджета области составляет 99,9 процента плановых назначений.</w:t>
      </w:r>
    </w:p>
    <w:p w:rsidR="00AD2D7C" w:rsidRDefault="00AD2D7C" w:rsidP="001A299F">
      <w:pPr>
        <w:spacing w:after="0" w:line="240" w:lineRule="auto"/>
        <w:ind w:firstLine="709"/>
        <w:jc w:val="both"/>
        <w:rPr>
          <w:rFonts w:ascii="Times New Roman" w:eastAsia="Times New Roman" w:hAnsi="Times New Roman" w:cs="Times New Roman"/>
          <w:spacing w:val="6"/>
          <w:sz w:val="24"/>
          <w:szCs w:val="24"/>
          <w:lang w:eastAsia="ru-RU"/>
        </w:rPr>
      </w:pPr>
    </w:p>
    <w:p w:rsidR="001A299F" w:rsidRPr="001A299F" w:rsidRDefault="001A299F" w:rsidP="001A299F">
      <w:pPr>
        <w:spacing w:after="0" w:line="240" w:lineRule="auto"/>
        <w:ind w:firstLine="709"/>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t>В 2015 году поступления в консолидированный бюджет Амурской области обеспечены, в основном, за счет следующих налогов:</w:t>
      </w:r>
    </w:p>
    <w:p w:rsidR="001A299F" w:rsidRPr="001A299F" w:rsidRDefault="001A299F" w:rsidP="00F60552">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0"/>
          <w:lang w:eastAsia="ru-RU"/>
        </w:rPr>
      </w:pPr>
      <w:r w:rsidRPr="001A299F">
        <w:rPr>
          <w:rFonts w:ascii="Times New Roman" w:eastAsia="Times New Roman" w:hAnsi="Times New Roman" w:cs="Times New Roman"/>
          <w:spacing w:val="6"/>
          <w:sz w:val="24"/>
          <w:szCs w:val="20"/>
          <w:lang w:eastAsia="ru-RU"/>
        </w:rPr>
        <w:t>налога на доходы физических лиц – исполнение составляет 15239418,8 тыс. рублей, или 37,7 процента в объеме поступивших налоговых и неналоговых доходов консолидированного бюджета области. Прирост объема поступлений к уровню прошлого года незначительный и составляет 88102,8 тыс. рублей, или 0,6 процента;</w:t>
      </w:r>
    </w:p>
    <w:p w:rsidR="001A299F" w:rsidRPr="001A299F" w:rsidRDefault="001A299F" w:rsidP="00F60552">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t xml:space="preserve">налога на прибыль организаций – исполнение – 8120813,6 тыс. рублей, </w:t>
      </w:r>
      <w:r w:rsidRPr="001A299F">
        <w:rPr>
          <w:rFonts w:ascii="Times New Roman" w:eastAsia="Times New Roman" w:hAnsi="Times New Roman" w:cs="Times New Roman"/>
          <w:spacing w:val="6"/>
          <w:sz w:val="24"/>
          <w:szCs w:val="24"/>
          <w:lang w:eastAsia="ru-RU"/>
        </w:rPr>
        <w:br/>
        <w:t>или 20,1 процента в объеме поступивших налоговых и неналоговых доходов консолидированного бюджета области. Прирост объема поступлений к уровню прошлого года составляет 888946,2 тыс. рублей, или 12,3 процента;</w:t>
      </w:r>
    </w:p>
    <w:p w:rsidR="001A299F" w:rsidRPr="001A299F" w:rsidRDefault="001A299F" w:rsidP="00F60552">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t xml:space="preserve">налогов на имущество – исполнение – 7920848,1 тыс. рублей, или </w:t>
      </w:r>
      <w:r w:rsidRPr="001A299F">
        <w:rPr>
          <w:rFonts w:ascii="Times New Roman" w:eastAsia="Times New Roman" w:hAnsi="Times New Roman" w:cs="Times New Roman"/>
          <w:spacing w:val="6"/>
          <w:sz w:val="24"/>
          <w:szCs w:val="24"/>
          <w:lang w:eastAsia="ru-RU"/>
        </w:rPr>
        <w:br/>
        <w:t xml:space="preserve">19,6 процента в объеме поступивших налоговых и неналоговых доходов консолидированного бюджета области. Наибольший объем поступлений по данной группе налогов приходится на налог на имущество организаций – 6225342,9 тыс. рублей. Прирост объема поступлений к уровню прошлого года составляет </w:t>
      </w:r>
      <w:r w:rsidRPr="001A299F">
        <w:rPr>
          <w:rFonts w:ascii="Times New Roman" w:eastAsia="Times New Roman" w:hAnsi="Times New Roman" w:cs="Times New Roman"/>
          <w:spacing w:val="6"/>
          <w:sz w:val="24"/>
          <w:szCs w:val="24"/>
          <w:lang w:eastAsia="ru-RU"/>
        </w:rPr>
        <w:br/>
        <w:t>1815751,0 тыс. рублей, или 29,7 процента;</w:t>
      </w:r>
    </w:p>
    <w:p w:rsidR="001A299F" w:rsidRPr="001A299F" w:rsidRDefault="001A299F" w:rsidP="00F60552">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t xml:space="preserve">налогов на совокупный доход (налог, взимаемый в связи с применением упрощенной системы налогообложения, единый налог на вмененный доход для отдельных видов деятельности, единый сельскохозяйственный налог, налог, взимаемый в связи с применением патентной системы налогообложения) – исполнение – </w:t>
      </w:r>
      <w:r w:rsidRPr="001A299F">
        <w:rPr>
          <w:rFonts w:ascii="Times New Roman" w:eastAsia="Times New Roman" w:hAnsi="Times New Roman" w:cs="Times New Roman"/>
          <w:spacing w:val="6"/>
          <w:sz w:val="24"/>
          <w:szCs w:val="24"/>
          <w:lang w:eastAsia="ru-RU"/>
        </w:rPr>
        <w:br/>
        <w:t>2283862,1 тыс. рублей, или 5,6 процента в объеме поступивших налоговых и неналоговых доходов консолидированного бюджета области. Объем поступлений по налогу в 2015 году выше объема поступлений 2014 года - на 167280,8 тыс. рублей, или 7,9 процента;</w:t>
      </w:r>
    </w:p>
    <w:p w:rsidR="001A299F" w:rsidRDefault="001A299F" w:rsidP="00F60552">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t xml:space="preserve">акцизов по подакцизным товарам (продукции), производимым на территории Российской Федерации – исполнение – 1992211,6 тыс. рублей, или 4,9 процента в  объеме поступивших налоговых и неналоговых доходов консолидированного бюджета области. Прирост объема поступлений к уровню прошлого года составляет </w:t>
      </w:r>
      <w:r w:rsidRPr="001A299F">
        <w:rPr>
          <w:rFonts w:ascii="Times New Roman" w:eastAsia="Times New Roman" w:hAnsi="Times New Roman" w:cs="Times New Roman"/>
          <w:spacing w:val="6"/>
          <w:sz w:val="24"/>
          <w:szCs w:val="24"/>
          <w:lang w:eastAsia="ru-RU"/>
        </w:rPr>
        <w:br/>
        <w:t>152061,8 тыс. рублей, или 8,3 процента;</w:t>
      </w:r>
    </w:p>
    <w:p w:rsidR="00264BFF" w:rsidRPr="001A299F" w:rsidRDefault="00264BFF" w:rsidP="00264BFF">
      <w:pPr>
        <w:widowControl w:val="0"/>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spacing w:val="6"/>
          <w:sz w:val="24"/>
          <w:szCs w:val="24"/>
          <w:lang w:eastAsia="ru-RU"/>
        </w:rPr>
      </w:pPr>
    </w:p>
    <w:p w:rsidR="001A299F" w:rsidRPr="001A299F" w:rsidRDefault="001A299F" w:rsidP="00F60552">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0"/>
          <w:lang w:eastAsia="ru-RU"/>
        </w:rPr>
      </w:pPr>
      <w:r w:rsidRPr="001A299F">
        <w:rPr>
          <w:rFonts w:ascii="Times New Roman" w:eastAsia="Times New Roman" w:hAnsi="Times New Roman" w:cs="Times New Roman"/>
          <w:spacing w:val="6"/>
          <w:sz w:val="24"/>
          <w:szCs w:val="20"/>
          <w:lang w:eastAsia="ru-RU"/>
        </w:rPr>
        <w:t>налогов, сборов и регулярных платежей за пользование природными</w:t>
      </w:r>
      <w:r w:rsidRPr="001A299F">
        <w:rPr>
          <w:rFonts w:ascii="Times New Roman" w:eastAsia="Times New Roman" w:hAnsi="Times New Roman" w:cs="Times New Roman"/>
          <w:spacing w:val="6"/>
          <w:sz w:val="24"/>
          <w:szCs w:val="20"/>
          <w:lang w:eastAsia="ru-RU"/>
        </w:rPr>
        <w:br/>
        <w:t>ресурсами – исполнение – 2166286,8 тыс. рублей, или 5,4 процента в объеме поступивших налоговых и неналоговых доходов консолидированного бюджета области. По сравнению с прошлым годом по налогу наблюдается рост объема поступлений на 374745,9 тыс. рублей, или 20,9 процента;</w:t>
      </w:r>
    </w:p>
    <w:p w:rsidR="001A299F" w:rsidRPr="001A299F" w:rsidRDefault="001A299F" w:rsidP="00F60552">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0"/>
          <w:lang w:eastAsia="ru-RU"/>
        </w:rPr>
      </w:pPr>
      <w:r w:rsidRPr="001A299F">
        <w:rPr>
          <w:rFonts w:ascii="Times New Roman" w:eastAsia="Times New Roman" w:hAnsi="Times New Roman" w:cs="Times New Roman"/>
          <w:spacing w:val="6"/>
          <w:sz w:val="24"/>
          <w:szCs w:val="20"/>
          <w:lang w:eastAsia="ru-RU"/>
        </w:rPr>
        <w:t>доходов от использования имущества, находящегося в государственной или муниципальной собственности</w:t>
      </w:r>
      <w:r w:rsidR="007B236A">
        <w:rPr>
          <w:rFonts w:ascii="Times New Roman" w:eastAsia="Times New Roman" w:hAnsi="Times New Roman" w:cs="Times New Roman"/>
          <w:spacing w:val="6"/>
          <w:sz w:val="24"/>
          <w:szCs w:val="20"/>
          <w:lang w:eastAsia="ru-RU"/>
        </w:rPr>
        <w:t>,</w:t>
      </w:r>
      <w:r w:rsidRPr="001A299F">
        <w:rPr>
          <w:rFonts w:ascii="Times New Roman" w:eastAsia="Times New Roman" w:hAnsi="Times New Roman" w:cs="Times New Roman"/>
          <w:spacing w:val="6"/>
          <w:sz w:val="24"/>
          <w:szCs w:val="20"/>
          <w:lang w:eastAsia="ru-RU"/>
        </w:rPr>
        <w:t xml:space="preserve"> исполнение – 1000402,3 тыс. рублей, или 2,5 процента в объеме поступивших налоговых и неналоговых доходов консолидированного бюджета. По сравнению с прошлым годом по доходам от использования имущества наблюдается увеличение объема поступлений на 142859,1 тыс. рублей, или 16,7 процента.</w:t>
      </w:r>
    </w:p>
    <w:p w:rsidR="00AD2D7C" w:rsidRDefault="00AD2D7C" w:rsidP="001A299F">
      <w:pPr>
        <w:spacing w:after="0" w:line="240" w:lineRule="auto"/>
        <w:ind w:firstLine="709"/>
        <w:jc w:val="both"/>
        <w:rPr>
          <w:rFonts w:ascii="Times New Roman" w:eastAsia="Times New Roman" w:hAnsi="Times New Roman" w:cs="Times New Roman"/>
          <w:spacing w:val="6"/>
          <w:sz w:val="24"/>
          <w:szCs w:val="20"/>
          <w:lang w:eastAsia="ru-RU"/>
        </w:rPr>
      </w:pPr>
    </w:p>
    <w:p w:rsidR="001A299F" w:rsidRPr="001A299F" w:rsidRDefault="001A299F" w:rsidP="001A299F">
      <w:pPr>
        <w:spacing w:after="0" w:line="240" w:lineRule="auto"/>
        <w:ind w:firstLine="709"/>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spacing w:val="6"/>
          <w:sz w:val="24"/>
          <w:szCs w:val="20"/>
          <w:lang w:eastAsia="ru-RU"/>
        </w:rPr>
        <w:t xml:space="preserve">Объем безвозмездных поступлений в консолидированный бюджет области в </w:t>
      </w:r>
      <w:r w:rsidR="007B236A">
        <w:rPr>
          <w:rFonts w:ascii="Times New Roman" w:eastAsia="Times New Roman" w:hAnsi="Times New Roman" w:cs="Times New Roman"/>
          <w:spacing w:val="6"/>
          <w:sz w:val="24"/>
          <w:szCs w:val="20"/>
          <w:lang w:eastAsia="ru-RU"/>
        </w:rPr>
        <w:br/>
      </w:r>
      <w:r w:rsidRPr="001A299F">
        <w:rPr>
          <w:rFonts w:ascii="Times New Roman" w:eastAsia="Times New Roman" w:hAnsi="Times New Roman" w:cs="Times New Roman"/>
          <w:spacing w:val="6"/>
          <w:sz w:val="24"/>
          <w:szCs w:val="20"/>
          <w:lang w:eastAsia="ru-RU"/>
        </w:rPr>
        <w:t xml:space="preserve">2015 году </w:t>
      </w:r>
      <w:r w:rsidR="007B236A">
        <w:rPr>
          <w:rFonts w:ascii="Times New Roman" w:eastAsia="Times New Roman" w:hAnsi="Times New Roman" w:cs="Times New Roman"/>
          <w:spacing w:val="6"/>
          <w:sz w:val="24"/>
          <w:szCs w:val="20"/>
          <w:lang w:eastAsia="ru-RU"/>
        </w:rPr>
        <w:t xml:space="preserve">- </w:t>
      </w:r>
      <w:r w:rsidRPr="001A299F">
        <w:rPr>
          <w:rFonts w:ascii="Times New Roman" w:eastAsia="Times New Roman" w:hAnsi="Times New Roman" w:cs="Times New Roman"/>
          <w:spacing w:val="6"/>
          <w:sz w:val="24"/>
          <w:szCs w:val="20"/>
          <w:lang w:eastAsia="ru-RU"/>
        </w:rPr>
        <w:t>11673390,7 тыс. рублей</w:t>
      </w:r>
      <w:r w:rsidR="007B236A">
        <w:rPr>
          <w:rFonts w:ascii="Times New Roman" w:eastAsia="Times New Roman" w:hAnsi="Times New Roman" w:cs="Times New Roman"/>
          <w:spacing w:val="6"/>
          <w:sz w:val="24"/>
          <w:szCs w:val="20"/>
          <w:lang w:eastAsia="ru-RU"/>
        </w:rPr>
        <w:t>,</w:t>
      </w:r>
      <w:r w:rsidRPr="001A299F">
        <w:rPr>
          <w:rFonts w:ascii="Times New Roman" w:eastAsia="Times New Roman" w:hAnsi="Times New Roman" w:cs="Times New Roman"/>
          <w:spacing w:val="6"/>
          <w:sz w:val="24"/>
          <w:szCs w:val="20"/>
          <w:lang w:eastAsia="ru-RU"/>
        </w:rPr>
        <w:t xml:space="preserve"> при плановых назначениях 88230</w:t>
      </w:r>
      <w:r w:rsidR="00F24E67">
        <w:rPr>
          <w:rFonts w:ascii="Times New Roman" w:eastAsia="Times New Roman" w:hAnsi="Times New Roman" w:cs="Times New Roman"/>
          <w:spacing w:val="6"/>
          <w:sz w:val="24"/>
          <w:szCs w:val="20"/>
          <w:lang w:eastAsia="ru-RU"/>
        </w:rPr>
        <w:t>87,5</w:t>
      </w:r>
      <w:r w:rsidRPr="001A299F">
        <w:rPr>
          <w:rFonts w:ascii="Times New Roman" w:eastAsia="Times New Roman" w:hAnsi="Times New Roman" w:cs="Times New Roman"/>
          <w:spacing w:val="6"/>
          <w:sz w:val="24"/>
          <w:szCs w:val="20"/>
          <w:lang w:eastAsia="ru-RU"/>
        </w:rPr>
        <w:t xml:space="preserve"> тыс. рублей.</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Расходы консолидированного бюджета в 2015 году по сравнению </w:t>
      </w:r>
      <w:r w:rsidRPr="001A299F">
        <w:rPr>
          <w:rFonts w:ascii="Times New Roman" w:eastAsia="Times New Roman" w:hAnsi="Times New Roman" w:cs="Times New Roman"/>
          <w:sz w:val="24"/>
          <w:szCs w:val="24"/>
          <w:lang w:eastAsia="ru-RU"/>
        </w:rPr>
        <w:br/>
        <w:t>с 2014 годом снизились на 13,8 процента и составили 56426568,6 тыс. рублей. Уровень исполнения по расходам консолидированного бюджета составил 92,4 процента плановых назначений. Выше среднесложившегося уровня исполнены расходы по следующим разделам бюджетной классификации расходов:</w:t>
      </w:r>
    </w:p>
    <w:p w:rsidR="001A299F" w:rsidRPr="001A299F" w:rsidRDefault="001A299F" w:rsidP="00AD2D7C">
      <w:pPr>
        <w:widowControl w:val="0"/>
        <w:numPr>
          <w:ilvl w:val="0"/>
          <w:numId w:val="6"/>
        </w:numPr>
        <w:autoSpaceDE w:val="0"/>
        <w:autoSpaceDN w:val="0"/>
        <w:adjustRightInd w:val="0"/>
        <w:spacing w:after="0" w:line="288" w:lineRule="auto"/>
        <w:ind w:left="709" w:hanging="349"/>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обслуживание государственного и муниципального долга – 2077570,8 тыс. рублей, или 99,7 процента;</w:t>
      </w:r>
    </w:p>
    <w:p w:rsidR="001A299F" w:rsidRPr="001A299F" w:rsidRDefault="001A299F" w:rsidP="00AD2D7C">
      <w:pPr>
        <w:widowControl w:val="0"/>
        <w:numPr>
          <w:ilvl w:val="0"/>
          <w:numId w:val="6"/>
        </w:numPr>
        <w:autoSpaceDE w:val="0"/>
        <w:autoSpaceDN w:val="0"/>
        <w:adjustRightInd w:val="0"/>
        <w:spacing w:after="0" w:line="288"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здравоохранение – 7292900,6 тыс. рублей, или 99,1 процента;</w:t>
      </w:r>
    </w:p>
    <w:p w:rsidR="001A299F" w:rsidRPr="001A299F" w:rsidRDefault="001A299F" w:rsidP="00AD2D7C">
      <w:pPr>
        <w:widowControl w:val="0"/>
        <w:numPr>
          <w:ilvl w:val="0"/>
          <w:numId w:val="6"/>
        </w:numPr>
        <w:autoSpaceDE w:val="0"/>
        <w:autoSpaceDN w:val="0"/>
        <w:adjustRightInd w:val="0"/>
        <w:spacing w:after="0" w:line="288"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средства массовой информации – 109193,7 тыс. рублей, или 98,9 процента;</w:t>
      </w:r>
    </w:p>
    <w:p w:rsidR="001A299F" w:rsidRPr="001A299F" w:rsidRDefault="001A299F" w:rsidP="00AD2D7C">
      <w:pPr>
        <w:widowControl w:val="0"/>
        <w:numPr>
          <w:ilvl w:val="0"/>
          <w:numId w:val="6"/>
        </w:numPr>
        <w:autoSpaceDE w:val="0"/>
        <w:autoSpaceDN w:val="0"/>
        <w:adjustRightInd w:val="0"/>
        <w:spacing w:after="0" w:line="288"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социальная политика – 1083138</w:t>
      </w:r>
      <w:r w:rsidR="00F24E67">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w:t>
      </w:r>
      <w:r w:rsidR="00F24E67">
        <w:rPr>
          <w:rFonts w:ascii="Times New Roman" w:eastAsia="Times New Roman" w:hAnsi="Times New Roman" w:cs="Times New Roman"/>
          <w:sz w:val="24"/>
          <w:szCs w:val="24"/>
          <w:lang w:eastAsia="ru-RU"/>
        </w:rPr>
        <w:t>8</w:t>
      </w:r>
      <w:r w:rsidRPr="001A299F">
        <w:rPr>
          <w:rFonts w:ascii="Times New Roman" w:eastAsia="Times New Roman" w:hAnsi="Times New Roman" w:cs="Times New Roman"/>
          <w:sz w:val="24"/>
          <w:szCs w:val="24"/>
          <w:lang w:eastAsia="ru-RU"/>
        </w:rPr>
        <w:t xml:space="preserve"> тыс. рублей, или 97,9 процента; </w:t>
      </w:r>
    </w:p>
    <w:p w:rsidR="001A299F" w:rsidRPr="001A299F" w:rsidRDefault="001A299F" w:rsidP="00AD2D7C">
      <w:pPr>
        <w:widowControl w:val="0"/>
        <w:numPr>
          <w:ilvl w:val="0"/>
          <w:numId w:val="6"/>
        </w:numPr>
        <w:autoSpaceDE w:val="0"/>
        <w:autoSpaceDN w:val="0"/>
        <w:adjustRightInd w:val="0"/>
        <w:spacing w:after="0" w:line="288"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охрана окружающей среды – 61228,2 тыс. рублей, или 97,4 процента;</w:t>
      </w:r>
    </w:p>
    <w:p w:rsidR="001A299F" w:rsidRPr="001A299F" w:rsidRDefault="001A299F" w:rsidP="00AD2D7C">
      <w:pPr>
        <w:widowControl w:val="0"/>
        <w:numPr>
          <w:ilvl w:val="0"/>
          <w:numId w:val="6"/>
        </w:numPr>
        <w:autoSpaceDE w:val="0"/>
        <w:autoSpaceDN w:val="0"/>
        <w:adjustRightInd w:val="0"/>
        <w:spacing w:after="0" w:line="288"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образование – 13071131,7 тыс. рублей, или 96,9 процента;</w:t>
      </w:r>
    </w:p>
    <w:p w:rsidR="001A299F" w:rsidRPr="001A299F" w:rsidRDefault="001A299F" w:rsidP="00AD2D7C">
      <w:pPr>
        <w:widowControl w:val="0"/>
        <w:numPr>
          <w:ilvl w:val="0"/>
          <w:numId w:val="6"/>
        </w:numPr>
        <w:autoSpaceDE w:val="0"/>
        <w:autoSpaceDN w:val="0"/>
        <w:adjustRightInd w:val="0"/>
        <w:spacing w:after="0" w:line="288" w:lineRule="auto"/>
        <w:ind w:left="709" w:hanging="349"/>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национальная безопасность и правоохранительная деятельность – 1035824,7 тыс. рублей, или 96,8 процента;</w:t>
      </w:r>
    </w:p>
    <w:p w:rsidR="001A299F" w:rsidRPr="001A299F" w:rsidRDefault="001A299F" w:rsidP="00AD2D7C">
      <w:pPr>
        <w:widowControl w:val="0"/>
        <w:numPr>
          <w:ilvl w:val="0"/>
          <w:numId w:val="6"/>
        </w:numPr>
        <w:autoSpaceDE w:val="0"/>
        <w:autoSpaceDN w:val="0"/>
        <w:adjustRightInd w:val="0"/>
        <w:spacing w:after="0" w:line="288"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общегосударствен</w:t>
      </w:r>
      <w:r w:rsidR="00F24E67">
        <w:rPr>
          <w:rFonts w:ascii="Times New Roman" w:eastAsia="Times New Roman" w:hAnsi="Times New Roman" w:cs="Times New Roman"/>
          <w:sz w:val="24"/>
          <w:szCs w:val="24"/>
          <w:lang w:eastAsia="ru-RU"/>
        </w:rPr>
        <w:t>ные вопросы – 4401092,1</w:t>
      </w:r>
      <w:r w:rsidRPr="001A299F">
        <w:rPr>
          <w:rFonts w:ascii="Times New Roman" w:eastAsia="Times New Roman" w:hAnsi="Times New Roman" w:cs="Times New Roman"/>
          <w:sz w:val="24"/>
          <w:szCs w:val="24"/>
          <w:lang w:eastAsia="ru-RU"/>
        </w:rPr>
        <w:t xml:space="preserve"> тыс. рублей, или 95,7 процента;</w:t>
      </w:r>
    </w:p>
    <w:p w:rsidR="001A299F" w:rsidRPr="001A299F" w:rsidRDefault="001A299F" w:rsidP="00AD2D7C">
      <w:pPr>
        <w:widowControl w:val="0"/>
        <w:numPr>
          <w:ilvl w:val="0"/>
          <w:numId w:val="6"/>
        </w:numPr>
        <w:autoSpaceDE w:val="0"/>
        <w:autoSpaceDN w:val="0"/>
        <w:adjustRightInd w:val="0"/>
        <w:spacing w:after="0" w:line="288"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культура и кинематография – 1572872,0 тыс. рублей, или 95,5 процента;</w:t>
      </w:r>
    </w:p>
    <w:p w:rsidR="001A299F" w:rsidRPr="001A299F" w:rsidRDefault="001A299F" w:rsidP="00AD2D7C">
      <w:pPr>
        <w:widowControl w:val="0"/>
        <w:numPr>
          <w:ilvl w:val="0"/>
          <w:numId w:val="6"/>
        </w:numPr>
        <w:autoSpaceDE w:val="0"/>
        <w:autoSpaceDN w:val="0"/>
        <w:adjustRightInd w:val="0"/>
        <w:spacing w:after="0" w:line="288"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национальная экономика – 9926229,2 тыс. рублей, или 94,5 процента;</w:t>
      </w:r>
    </w:p>
    <w:p w:rsidR="001A299F" w:rsidRPr="001A299F" w:rsidRDefault="001A299F" w:rsidP="00AD2D7C">
      <w:pPr>
        <w:widowControl w:val="0"/>
        <w:numPr>
          <w:ilvl w:val="0"/>
          <w:numId w:val="6"/>
        </w:numPr>
        <w:autoSpaceDE w:val="0"/>
        <w:autoSpaceDN w:val="0"/>
        <w:adjustRightInd w:val="0"/>
        <w:spacing w:after="0" w:line="288"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национальная оборона – 33457,8 </w:t>
      </w:r>
      <w:r w:rsidR="00AD2D7C">
        <w:rPr>
          <w:rFonts w:ascii="Times New Roman" w:eastAsia="Times New Roman" w:hAnsi="Times New Roman" w:cs="Times New Roman"/>
          <w:sz w:val="24"/>
          <w:szCs w:val="24"/>
          <w:lang w:eastAsia="ru-RU"/>
        </w:rPr>
        <w:t>тыс. рублей, или 92,9 процента;</w:t>
      </w:r>
    </w:p>
    <w:p w:rsidR="001A299F" w:rsidRPr="001A299F" w:rsidRDefault="001A299F" w:rsidP="00AD2D7C">
      <w:pPr>
        <w:widowControl w:val="0"/>
        <w:numPr>
          <w:ilvl w:val="0"/>
          <w:numId w:val="6"/>
        </w:numPr>
        <w:autoSpaceDE w:val="0"/>
        <w:autoSpaceDN w:val="0"/>
        <w:adjustRightInd w:val="0"/>
        <w:spacing w:after="0" w:line="288"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физическая культура и спорт – 502746,1 тыс. рублей, или 92,5 процента.</w:t>
      </w:r>
    </w:p>
    <w:p w:rsidR="007B236A" w:rsidRDefault="007B236A" w:rsidP="007B236A">
      <w:pPr>
        <w:spacing w:after="0" w:line="240" w:lineRule="auto"/>
        <w:ind w:firstLine="709"/>
        <w:jc w:val="both"/>
        <w:rPr>
          <w:rFonts w:ascii="Times New Roman" w:hAnsi="Times New Roman" w:cs="Times New Roman"/>
          <w:sz w:val="24"/>
          <w:szCs w:val="24"/>
        </w:rPr>
      </w:pPr>
      <w:r w:rsidRPr="007B236A">
        <w:rPr>
          <w:rFonts w:ascii="Times New Roman" w:hAnsi="Times New Roman" w:cs="Times New Roman"/>
          <w:sz w:val="24"/>
          <w:szCs w:val="24"/>
        </w:rPr>
        <w:t>Наименьший процент исполнения сложился по расходам на жилищно-коммунальное хозяйство – 65,0 процентов, при плановых назначениях в сумме 8476106,9 тыс. рублей исполнение составило - 5510</w:t>
      </w:r>
      <w:r w:rsidR="00F24E67">
        <w:rPr>
          <w:rFonts w:ascii="Times New Roman" w:hAnsi="Times New Roman" w:cs="Times New Roman"/>
          <w:sz w:val="24"/>
          <w:szCs w:val="24"/>
        </w:rPr>
        <w:t>940,7</w:t>
      </w:r>
      <w:r w:rsidRPr="007B236A">
        <w:rPr>
          <w:rFonts w:ascii="Times New Roman" w:hAnsi="Times New Roman" w:cs="Times New Roman"/>
          <w:sz w:val="24"/>
          <w:szCs w:val="24"/>
        </w:rPr>
        <w:t xml:space="preserve"> тыс. рублей.</w:t>
      </w:r>
    </w:p>
    <w:p w:rsidR="00AD2D7C" w:rsidRDefault="00AD2D7C" w:rsidP="007B23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B236A" w:rsidRPr="007B236A" w:rsidRDefault="007B236A" w:rsidP="007B23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Структура расходов консолидированного бюджета области за 2015 год представлена </w:t>
      </w:r>
      <w:r w:rsidRPr="007B236A">
        <w:rPr>
          <w:rFonts w:ascii="Times New Roman" w:eastAsia="Times New Roman" w:hAnsi="Times New Roman" w:cs="Times New Roman"/>
          <w:sz w:val="24"/>
          <w:szCs w:val="24"/>
          <w:lang w:eastAsia="ru-RU"/>
        </w:rPr>
        <w:t>на рисунке 16.</w:t>
      </w:r>
    </w:p>
    <w:p w:rsidR="007B236A" w:rsidRPr="001A299F" w:rsidRDefault="007B236A" w:rsidP="007B236A">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В структуре расходов консолидированного бюджета Амурской области наибольшую долю составляют социально значимые расходы: образование – 23,2 процента, социальная политика – 19,2 процента, здравоохранение – 12,9 процента в общем объеме расходов.</w:t>
      </w:r>
    </w:p>
    <w:p w:rsidR="007B236A" w:rsidRPr="001A299F" w:rsidRDefault="007B236A" w:rsidP="007B236A">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A299F">
        <w:rPr>
          <w:rFonts w:ascii="Times New Roman" w:eastAsia="Times New Roman" w:hAnsi="Times New Roman" w:cs="Times New Roman"/>
          <w:sz w:val="24"/>
          <w:szCs w:val="24"/>
          <w:lang w:eastAsia="ru-RU"/>
        </w:rPr>
        <w:t xml:space="preserve">Кроме того, значительный удельный вес в общем объеме расходов занимают расходы на национальную экономику – 17,6 процента и жилищно-коммунальное хозяйство - </w:t>
      </w:r>
      <w:r w:rsidRPr="001A299F">
        <w:rPr>
          <w:rFonts w:ascii="Times New Roman" w:eastAsia="Times New Roman" w:hAnsi="Times New Roman" w:cs="Times New Roman"/>
          <w:sz w:val="24"/>
          <w:szCs w:val="24"/>
          <w:lang w:eastAsia="ru-RU"/>
        </w:rPr>
        <w:br/>
        <w:t>9,8 процента</w:t>
      </w:r>
      <w:r w:rsidRPr="001A299F">
        <w:rPr>
          <w:rFonts w:ascii="Times New Roman" w:eastAsia="Times New Roman" w:hAnsi="Times New Roman" w:cs="Times New Roman"/>
          <w:color w:val="000000" w:themeColor="text1"/>
          <w:sz w:val="24"/>
          <w:szCs w:val="24"/>
          <w:lang w:eastAsia="ru-RU"/>
        </w:rPr>
        <w:t>.</w:t>
      </w:r>
    </w:p>
    <w:p w:rsidR="00AD2D7C" w:rsidRDefault="00AD2D7C" w:rsidP="007B236A">
      <w:pPr>
        <w:spacing w:after="0" w:line="240" w:lineRule="auto"/>
        <w:ind w:firstLine="720"/>
        <w:jc w:val="both"/>
        <w:rPr>
          <w:rFonts w:ascii="Times New Roman" w:eastAsia="Times New Roman" w:hAnsi="Times New Roman" w:cs="Times New Roman"/>
          <w:sz w:val="24"/>
          <w:szCs w:val="20"/>
          <w:lang w:eastAsia="ru-RU"/>
        </w:rPr>
      </w:pPr>
    </w:p>
    <w:p w:rsidR="007B236A" w:rsidRPr="001A299F" w:rsidRDefault="007B236A" w:rsidP="007B236A">
      <w:pPr>
        <w:spacing w:after="0" w:line="240" w:lineRule="auto"/>
        <w:ind w:firstLine="720"/>
        <w:jc w:val="both"/>
        <w:rPr>
          <w:rFonts w:ascii="Times New Roman" w:eastAsia="Times New Roman" w:hAnsi="Times New Roman" w:cs="Times New Roman"/>
          <w:sz w:val="24"/>
          <w:szCs w:val="20"/>
          <w:lang w:eastAsia="ru-RU"/>
        </w:rPr>
      </w:pPr>
      <w:r w:rsidRPr="001A299F">
        <w:rPr>
          <w:rFonts w:ascii="Times New Roman" w:eastAsia="Times New Roman" w:hAnsi="Times New Roman" w:cs="Times New Roman"/>
          <w:sz w:val="24"/>
          <w:szCs w:val="20"/>
          <w:lang w:eastAsia="ru-RU"/>
        </w:rPr>
        <w:t>По итогам 2015 года консолидированный бюджет области исполнен с дефицитом в объеме 4277443,9 тыс. рублей при планируемом дефиците в сумме 6921282,2 тыс. рублей.</w:t>
      </w:r>
    </w:p>
    <w:p w:rsidR="001A299F" w:rsidRPr="001A299F" w:rsidRDefault="001A299F" w:rsidP="001A299F">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1A299F" w:rsidRPr="001A299F" w:rsidRDefault="001A299F" w:rsidP="001A299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noProof/>
          <w:color w:val="FFC000"/>
          <w:sz w:val="20"/>
          <w:szCs w:val="20"/>
          <w:lang w:eastAsia="ru-RU"/>
        </w:rPr>
        <w:lastRenderedPageBreak/>
        <w:drawing>
          <wp:inline distT="0" distB="0" distL="0" distR="0" wp14:anchorId="2CAB4017" wp14:editId="40C66FA6">
            <wp:extent cx="6384898" cy="4349363"/>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7B236A">
        <w:rPr>
          <w:rFonts w:ascii="Times New Roman" w:eastAsia="Times New Roman" w:hAnsi="Times New Roman" w:cs="Times New Roman"/>
          <w:b/>
          <w:sz w:val="24"/>
          <w:szCs w:val="24"/>
          <w:lang w:eastAsia="ru-RU"/>
        </w:rPr>
        <w:t xml:space="preserve">Рис. 16 </w:t>
      </w:r>
      <w:r w:rsidRPr="001A299F">
        <w:rPr>
          <w:rFonts w:ascii="Times New Roman" w:eastAsia="Times New Roman" w:hAnsi="Times New Roman" w:cs="Times New Roman"/>
          <w:b/>
          <w:sz w:val="24"/>
          <w:szCs w:val="24"/>
          <w:lang w:eastAsia="ru-RU"/>
        </w:rPr>
        <w:t>- Структура расходов консолидированного бюджета области за 2015 год</w:t>
      </w:r>
    </w:p>
    <w:p w:rsidR="00264BFF" w:rsidRDefault="00264BFF" w:rsidP="00264BFF">
      <w:pPr>
        <w:spacing w:after="0" w:line="240" w:lineRule="auto"/>
        <w:ind w:firstLine="720"/>
        <w:jc w:val="both"/>
        <w:rPr>
          <w:rFonts w:ascii="Times New Roman" w:eastAsia="Times New Roman" w:hAnsi="Times New Roman" w:cs="Times New Roman"/>
          <w:sz w:val="24"/>
          <w:szCs w:val="20"/>
          <w:lang w:eastAsia="ru-RU"/>
        </w:rPr>
      </w:pPr>
    </w:p>
    <w:p w:rsidR="00264BFF" w:rsidRPr="00E65FE4" w:rsidRDefault="00264BFF" w:rsidP="00264BFF">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0"/>
          <w:lang w:eastAsia="ru-RU"/>
        </w:rPr>
        <w:t xml:space="preserve">Исполнение консолидированного бюджета по доходам сложилось выше запланированного уровня, по расходам - ниже запланированного, что связано с наличием остатков средств на счетах бюджета, а также недопоступлением отдельных видов налогов. </w:t>
      </w:r>
      <w:r w:rsidRPr="001A299F">
        <w:rPr>
          <w:rFonts w:ascii="Times New Roman" w:eastAsia="Times New Roman" w:hAnsi="Times New Roman" w:cs="Times New Roman"/>
          <w:sz w:val="24"/>
          <w:szCs w:val="24"/>
          <w:lang w:eastAsia="ru-RU"/>
        </w:rPr>
        <w:t xml:space="preserve">Данные о дефиците (профиците) консолидированного бюджета в динамике за </w:t>
      </w:r>
      <w:r w:rsidRPr="001A299F">
        <w:rPr>
          <w:rFonts w:ascii="Times New Roman" w:eastAsia="Times New Roman" w:hAnsi="Times New Roman" w:cs="Times New Roman"/>
          <w:sz w:val="24"/>
          <w:szCs w:val="24"/>
          <w:lang w:eastAsia="ru-RU"/>
        </w:rPr>
        <w:br/>
        <w:t xml:space="preserve">2010-2015 годы представлены </w:t>
      </w:r>
      <w:r w:rsidRPr="00E65FE4">
        <w:rPr>
          <w:rFonts w:ascii="Times New Roman" w:eastAsia="Times New Roman" w:hAnsi="Times New Roman" w:cs="Times New Roman"/>
          <w:sz w:val="24"/>
          <w:szCs w:val="24"/>
          <w:lang w:eastAsia="ru-RU"/>
        </w:rPr>
        <w:t>на рисунке 17.</w:t>
      </w:r>
    </w:p>
    <w:p w:rsidR="00264BFF" w:rsidRPr="001A299F" w:rsidRDefault="00264BFF" w:rsidP="00264BFF">
      <w:pPr>
        <w:spacing w:after="0" w:line="240" w:lineRule="auto"/>
        <w:ind w:firstLine="720"/>
        <w:jc w:val="both"/>
        <w:rPr>
          <w:rFonts w:ascii="Times New Roman" w:eastAsia="Times New Roman" w:hAnsi="Times New Roman" w:cs="Times New Roman"/>
          <w:sz w:val="24"/>
          <w:szCs w:val="24"/>
          <w:lang w:eastAsia="ru-RU"/>
        </w:rPr>
      </w:pPr>
    </w:p>
    <w:p w:rsidR="001A299F" w:rsidRPr="001A299F" w:rsidRDefault="001A299F" w:rsidP="001A29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299F">
        <w:rPr>
          <w:rFonts w:ascii="Times New Roman" w:eastAsia="Times New Roman" w:hAnsi="Times New Roman" w:cs="Times New Roman"/>
          <w:noProof/>
          <w:sz w:val="20"/>
          <w:szCs w:val="20"/>
          <w:lang w:eastAsia="ru-RU"/>
        </w:rPr>
        <w:drawing>
          <wp:inline distT="0" distB="0" distL="0" distR="0" wp14:anchorId="21D527F6" wp14:editId="096ACA02">
            <wp:extent cx="6067425" cy="29337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A299F" w:rsidRPr="001A299F" w:rsidRDefault="001A299F" w:rsidP="001A299F">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264BFF">
        <w:rPr>
          <w:rFonts w:ascii="Times New Roman" w:eastAsia="Times New Roman" w:hAnsi="Times New Roman" w:cs="Times New Roman"/>
          <w:b/>
          <w:sz w:val="24"/>
          <w:szCs w:val="24"/>
          <w:lang w:eastAsia="ru-RU"/>
        </w:rPr>
        <w:t xml:space="preserve">Рис. 17 </w:t>
      </w:r>
      <w:r w:rsidRPr="001A299F">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b/>
          <w:sz w:val="24"/>
          <w:szCs w:val="24"/>
          <w:lang w:eastAsia="ru-RU"/>
        </w:rPr>
        <w:t>Динамика исполнения консолидированного бюджета (дефицит, профицит) за 2010-2015 годы, млн. рублей</w:t>
      </w:r>
    </w:p>
    <w:p w:rsidR="00264BFF" w:rsidRDefault="00264BFF" w:rsidP="00264BFF">
      <w:pPr>
        <w:spacing w:after="0" w:line="240" w:lineRule="auto"/>
        <w:ind w:firstLine="709"/>
        <w:jc w:val="both"/>
        <w:rPr>
          <w:rFonts w:ascii="Times New Roman" w:eastAsia="Times New Roman" w:hAnsi="Times New Roman" w:cs="Times New Roman"/>
          <w:sz w:val="24"/>
          <w:szCs w:val="24"/>
          <w:lang w:eastAsia="ru-RU"/>
        </w:rPr>
      </w:pPr>
    </w:p>
    <w:p w:rsidR="00264BFF" w:rsidRDefault="00264BFF" w:rsidP="00264BFF">
      <w:pPr>
        <w:spacing w:after="0" w:line="240" w:lineRule="auto"/>
        <w:ind w:firstLine="709"/>
        <w:jc w:val="both"/>
        <w:rPr>
          <w:rFonts w:ascii="Times New Roman" w:eastAsia="Times New Roman" w:hAnsi="Times New Roman" w:cs="Times New Roman"/>
          <w:sz w:val="24"/>
          <w:szCs w:val="24"/>
          <w:lang w:eastAsia="ru-RU"/>
        </w:rPr>
      </w:pPr>
    </w:p>
    <w:p w:rsidR="00264BFF" w:rsidRPr="001A299F" w:rsidRDefault="00264BFF" w:rsidP="00C9757A">
      <w:pPr>
        <w:spacing w:after="0" w:line="288"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lastRenderedPageBreak/>
        <w:t>Анализ исполнения консолидированного бюджета показывает, что в 2015 году, как и в предыдущие пять лет (2010–2014), наблюдалось значительное отклонение фактического исполнения доходов и расходов от их прогнозных значений, что свидетельствует о недостаточной точности</w:t>
      </w:r>
      <w:r w:rsidR="009244A4">
        <w:rPr>
          <w:rFonts w:ascii="Times New Roman" w:eastAsia="Times New Roman" w:hAnsi="Times New Roman" w:cs="Times New Roman"/>
          <w:sz w:val="24"/>
          <w:szCs w:val="24"/>
          <w:lang w:eastAsia="ru-RU"/>
        </w:rPr>
        <w:t xml:space="preserve"> планирования</w:t>
      </w:r>
      <w:r w:rsidRPr="001A299F">
        <w:rPr>
          <w:rFonts w:ascii="Times New Roman" w:eastAsia="Times New Roman" w:hAnsi="Times New Roman" w:cs="Times New Roman"/>
          <w:sz w:val="24"/>
          <w:szCs w:val="24"/>
          <w:lang w:eastAsia="ru-RU"/>
        </w:rPr>
        <w:t xml:space="preserve"> при формировании областного бюджета и бюджетов муниципальных образований области.</w:t>
      </w:r>
    </w:p>
    <w:p w:rsidR="00264BFF" w:rsidRDefault="00264BFF" w:rsidP="001A299F">
      <w:pPr>
        <w:spacing w:after="0" w:line="240" w:lineRule="auto"/>
        <w:ind w:firstLine="709"/>
        <w:jc w:val="center"/>
        <w:rPr>
          <w:rFonts w:ascii="Times New Roman" w:eastAsia="Times New Roman" w:hAnsi="Times New Roman" w:cs="Times New Roman"/>
          <w:b/>
          <w:sz w:val="24"/>
          <w:szCs w:val="24"/>
          <w:lang w:eastAsia="ru-RU"/>
        </w:rPr>
      </w:pPr>
    </w:p>
    <w:p w:rsidR="001A299F" w:rsidRPr="001A299F" w:rsidRDefault="001A299F" w:rsidP="001A299F">
      <w:pPr>
        <w:spacing w:after="0" w:line="240" w:lineRule="auto"/>
        <w:ind w:firstLine="709"/>
        <w:jc w:val="center"/>
        <w:rPr>
          <w:rFonts w:ascii="Times New Roman" w:eastAsia="Times New Roman" w:hAnsi="Times New Roman" w:cs="Times New Roman"/>
          <w:sz w:val="24"/>
          <w:szCs w:val="24"/>
          <w:lang w:eastAsia="ru-RU"/>
        </w:rPr>
      </w:pPr>
      <w:r w:rsidRPr="001A299F">
        <w:rPr>
          <w:rFonts w:ascii="Times New Roman" w:eastAsia="Times New Roman" w:hAnsi="Times New Roman" w:cs="Times New Roman"/>
          <w:b/>
          <w:sz w:val="24"/>
          <w:szCs w:val="24"/>
          <w:lang w:eastAsia="ru-RU"/>
        </w:rPr>
        <w:t>3. Исполнение областного бюджета за 2015 год по доходам</w:t>
      </w:r>
    </w:p>
    <w:p w:rsidR="001A299F" w:rsidRPr="001A299F" w:rsidRDefault="001A299F" w:rsidP="00C9757A">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Законом Амурской области от 10.12.2014 № 458-ОЗ «Об областном бюджете на </w:t>
      </w:r>
      <w:r w:rsidRPr="001A299F">
        <w:rPr>
          <w:rFonts w:ascii="Times New Roman" w:eastAsia="Times New Roman" w:hAnsi="Times New Roman" w:cs="Times New Roman"/>
          <w:sz w:val="24"/>
          <w:szCs w:val="24"/>
          <w:lang w:eastAsia="ru-RU"/>
        </w:rPr>
        <w:br/>
        <w:t>2015 год и плановый период 2016 и 2017 годов» первоначальные назначения по доходам утверждены в сумме 37941184,3 тыс. рублей. В процессе исполнения областного бюджета в 2015 году в закон об областном бюджете на 2015 год и плановый период 2016 и 2017 годов ежемесячно законами Амурской области вносились изменения. С учетом внесенных изменений уточненные плановые назначения по доходам областного бюджета на 2015 год составили 40958826,0 тыс. рублей с увеличением по сравнению с первоначальными назначениями в целом на 3017641,7 тыс. рублей, в том числе объем увеличения безвозмездных поступлений составил 2130616,4 тыс. рублей, налоговых и неналоговых доходов – 887025,3 тыс. рублей.</w:t>
      </w:r>
    </w:p>
    <w:p w:rsidR="00C9757A" w:rsidRDefault="00C9757A" w:rsidP="00C9757A">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p>
    <w:p w:rsidR="001A299F" w:rsidRPr="001A299F" w:rsidRDefault="001A299F" w:rsidP="00C9757A">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Общий объем плановых назначений по доходам, отраженный в «Отчете об исполнении консолидированного бюджета субъекта Российской Федерации и бюджета территориального государственного внебюджетного фонда» (ф.0503317) составил 40958826,0 тыс. рублей, что соответствует общему объему плановых назначений, утвержденному законом области об областном бюджете на 2015 год и плановый период </w:t>
      </w:r>
      <w:r w:rsidRPr="001A299F">
        <w:rPr>
          <w:rFonts w:ascii="Times New Roman" w:eastAsia="Times New Roman" w:hAnsi="Times New Roman" w:cs="Times New Roman"/>
          <w:sz w:val="24"/>
          <w:szCs w:val="24"/>
          <w:lang w:eastAsia="ru-RU"/>
        </w:rPr>
        <w:br/>
        <w:t>2016 и 2017 годов.</w:t>
      </w:r>
    </w:p>
    <w:p w:rsidR="001A299F" w:rsidRPr="001A299F" w:rsidRDefault="001A299F" w:rsidP="00C9757A">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Исполнение областного бюджета за 2015 год по доходам составляет 44035453,8 тыс. рублей, или 107,5 процента к годовым плановым назначениям.</w:t>
      </w:r>
    </w:p>
    <w:p w:rsidR="00C9757A" w:rsidRDefault="00C9757A" w:rsidP="00C9757A">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p>
    <w:p w:rsidR="001A299F" w:rsidRPr="001A299F" w:rsidRDefault="001A299F" w:rsidP="00C9757A">
      <w:pPr>
        <w:widowControl w:val="0"/>
        <w:autoSpaceDE w:val="0"/>
        <w:autoSpaceDN w:val="0"/>
        <w:adjustRightInd w:val="0"/>
        <w:spacing w:after="0" w:line="288" w:lineRule="auto"/>
        <w:ind w:firstLine="709"/>
        <w:jc w:val="both"/>
        <w:rPr>
          <w:rFonts w:ascii="Times New Roman" w:hAnsi="Times New Roman" w:cs="Times New Roman"/>
          <w:color w:val="000000"/>
          <w:sz w:val="24"/>
          <w:szCs w:val="24"/>
        </w:rPr>
      </w:pPr>
      <w:r w:rsidRPr="001A299F">
        <w:rPr>
          <w:rFonts w:ascii="Times New Roman" w:eastAsia="Times New Roman" w:hAnsi="Times New Roman" w:cs="Times New Roman"/>
          <w:sz w:val="24"/>
          <w:szCs w:val="24"/>
          <w:lang w:eastAsia="ru-RU"/>
        </w:rPr>
        <w:t xml:space="preserve">На протяжении семи лет (2009-2015 годы) наблюдается увеличение поступлений  как общего объема доходов областного бюджета (с 34347776,0 тыс. рублей в 2009 году до 44035453,8 тыс. рублей в 2015 году), так и налоговых и неналоговых доходов областного бюджета (с 17608843,0 тыс. рублей в 2009 году до 31969601,3 тыс. рублей в 2015 году). Наибольший объем поступлений доходов областного бюджета приходится на 2013 год – 66775121,4 тыс. рублей, за счет безвозмездных поступлений (40234090,3 тыс. рублей) – средства федерального бюджета на ликвидацию последствий крупномасштабного наводнения в Амурской области. В 2015 году по сравнению с 2014 годом наблюдается снижение общего объема поступлений доходов областного бюджета на </w:t>
      </w:r>
      <w:r w:rsidRPr="001A299F">
        <w:rPr>
          <w:rFonts w:ascii="Times New Roman" w:hAnsi="Times New Roman" w:cs="Times New Roman"/>
          <w:color w:val="000000"/>
          <w:sz w:val="24"/>
          <w:szCs w:val="24"/>
        </w:rPr>
        <w:t xml:space="preserve">1952387,0 тыс. рублей, или 4,3 процента, в том числе безвозмездных поступлений на 5140710,1 тыс. рублей, или 29,9 процента. По налоговым и неналоговым доходам областного бюджета в 2015 году наблюдается увеличение объема поступлений по сравнению с 2014 годом на </w:t>
      </w:r>
      <w:r w:rsidRPr="001A299F">
        <w:rPr>
          <w:rFonts w:ascii="Times New Roman" w:hAnsi="Times New Roman" w:cs="Times New Roman"/>
          <w:color w:val="000000"/>
          <w:sz w:val="24"/>
          <w:szCs w:val="24"/>
        </w:rPr>
        <w:br/>
        <w:t>3188323,1 тыс. рублей, или 11,1 процента.</w:t>
      </w:r>
    </w:p>
    <w:p w:rsidR="00C9757A" w:rsidRDefault="00C9757A" w:rsidP="001A299F">
      <w:pPr>
        <w:widowControl w:val="0"/>
        <w:autoSpaceDE w:val="0"/>
        <w:autoSpaceDN w:val="0"/>
        <w:adjustRightInd w:val="0"/>
        <w:spacing w:after="0"/>
        <w:ind w:firstLine="709"/>
        <w:jc w:val="both"/>
        <w:rPr>
          <w:rFonts w:ascii="Times New Roman" w:hAnsi="Times New Roman" w:cs="Times New Roman"/>
          <w:color w:val="000000"/>
          <w:sz w:val="24"/>
          <w:szCs w:val="24"/>
        </w:rPr>
      </w:pPr>
    </w:p>
    <w:p w:rsidR="001A299F" w:rsidRPr="00264BFF" w:rsidRDefault="001A299F" w:rsidP="001A299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A299F">
        <w:rPr>
          <w:rFonts w:ascii="Times New Roman" w:hAnsi="Times New Roman" w:cs="Times New Roman"/>
          <w:color w:val="000000"/>
          <w:sz w:val="24"/>
          <w:szCs w:val="24"/>
        </w:rPr>
        <w:t>Д</w:t>
      </w:r>
      <w:r w:rsidRPr="001A299F">
        <w:rPr>
          <w:rFonts w:ascii="Times New Roman" w:eastAsia="Times New Roman" w:hAnsi="Times New Roman" w:cs="Times New Roman"/>
          <w:color w:val="000000"/>
          <w:sz w:val="24"/>
          <w:szCs w:val="24"/>
          <w:lang w:eastAsia="ru-RU"/>
        </w:rPr>
        <w:t xml:space="preserve">инамика поступления доходов областного бюджета представлена диаграммой на </w:t>
      </w:r>
      <w:r w:rsidRPr="00264BFF">
        <w:rPr>
          <w:rFonts w:ascii="Times New Roman" w:eastAsia="Times New Roman" w:hAnsi="Times New Roman" w:cs="Times New Roman"/>
          <w:sz w:val="24"/>
          <w:szCs w:val="24"/>
          <w:lang w:eastAsia="ru-RU"/>
        </w:rPr>
        <w:t>рисунке 18.</w:t>
      </w:r>
    </w:p>
    <w:p w:rsidR="001A299F" w:rsidRPr="001A299F" w:rsidRDefault="001A299F" w:rsidP="00FA4E3B">
      <w:pPr>
        <w:spacing w:after="0" w:line="240" w:lineRule="auto"/>
        <w:jc w:val="both"/>
        <w:rPr>
          <w:rFonts w:ascii="Times New Roman" w:hAnsi="Times New Roman" w:cs="Times New Roman"/>
          <w:sz w:val="24"/>
          <w:szCs w:val="24"/>
        </w:rPr>
      </w:pPr>
      <w:r w:rsidRPr="001A299F">
        <w:rPr>
          <w:rFonts w:ascii="Times New Roman" w:eastAsia="Times New Roman" w:hAnsi="Times New Roman" w:cs="Times New Roman"/>
          <w:noProof/>
          <w:color w:val="DBE5F1"/>
          <w:sz w:val="24"/>
          <w:szCs w:val="24"/>
          <w:lang w:eastAsia="ru-RU"/>
        </w:rPr>
        <w:lastRenderedPageBreak/>
        <w:drawing>
          <wp:inline distT="0" distB="0" distL="0" distR="0" wp14:anchorId="2164EB5E" wp14:editId="37A63A9C">
            <wp:extent cx="6115050" cy="420052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A299F" w:rsidRPr="001A299F" w:rsidRDefault="001A299F" w:rsidP="001A299F">
      <w:pPr>
        <w:spacing w:after="0" w:line="240" w:lineRule="auto"/>
        <w:ind w:firstLine="720"/>
        <w:jc w:val="center"/>
        <w:rPr>
          <w:rFonts w:ascii="Times New Roman" w:hAnsi="Times New Roman" w:cs="Times New Roman"/>
          <w:b/>
          <w:sz w:val="24"/>
          <w:szCs w:val="24"/>
        </w:rPr>
      </w:pPr>
      <w:r w:rsidRPr="00264BFF">
        <w:rPr>
          <w:rFonts w:ascii="Times New Roman" w:hAnsi="Times New Roman" w:cs="Times New Roman"/>
          <w:b/>
          <w:sz w:val="24"/>
          <w:szCs w:val="24"/>
        </w:rPr>
        <w:t xml:space="preserve">Рис. 18 </w:t>
      </w:r>
      <w:r w:rsidRPr="001A299F">
        <w:rPr>
          <w:rFonts w:ascii="Times New Roman" w:hAnsi="Times New Roman" w:cs="Times New Roman"/>
          <w:b/>
          <w:sz w:val="24"/>
          <w:szCs w:val="24"/>
        </w:rPr>
        <w:t xml:space="preserve">-Динамика поступления доходов областного бюджета за 2009-2015 годы, </w:t>
      </w:r>
      <w:r w:rsidRPr="001A299F">
        <w:rPr>
          <w:rFonts w:ascii="Times New Roman" w:hAnsi="Times New Roman" w:cs="Times New Roman"/>
          <w:b/>
          <w:sz w:val="24"/>
          <w:szCs w:val="24"/>
        </w:rPr>
        <w:br/>
        <w:t>млн. рублей</w:t>
      </w:r>
    </w:p>
    <w:p w:rsidR="001A299F" w:rsidRPr="001A299F" w:rsidRDefault="001A299F" w:rsidP="001A299F">
      <w:pPr>
        <w:spacing w:after="0" w:line="240" w:lineRule="auto"/>
        <w:ind w:firstLine="709"/>
        <w:jc w:val="both"/>
        <w:rPr>
          <w:rFonts w:ascii="Times New Roman" w:hAnsi="Times New Roman" w:cs="Times New Roman"/>
          <w:sz w:val="24"/>
          <w:szCs w:val="24"/>
        </w:rPr>
      </w:pP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Анализ исполнения областного бюджета по доходам за 2015 год проведен на основании информации о бюджетных назначениях по доходам на 2015 год по кодам доходов бюджетной классификации, представленной министерством финансов Амурской области (письмо от 15.04.2016 № 04-п-05/2494), отчета об исполнении консолидированного бюджета субъекта Российской Федерации и бюджета территориального государственного внебюджетного фонда (ф.0503317), приложения № 1 к законопроекту «Об исполнении областного бюджета за 2015 год».</w:t>
      </w:r>
    </w:p>
    <w:p w:rsidR="001A299F" w:rsidRPr="00264BF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Анализ исполнения областного бюджета за 2015 год по доходам представлен в</w:t>
      </w:r>
      <w:r w:rsidRPr="001A299F">
        <w:rPr>
          <w:rFonts w:ascii="Times New Roman" w:eastAsia="Times New Roman" w:hAnsi="Times New Roman" w:cs="Times New Roman"/>
          <w:sz w:val="24"/>
          <w:szCs w:val="24"/>
          <w:lang w:eastAsia="ru-RU"/>
        </w:rPr>
        <w:br/>
      </w:r>
      <w:r w:rsidRPr="00264BFF">
        <w:rPr>
          <w:rFonts w:ascii="Times New Roman" w:eastAsia="Times New Roman" w:hAnsi="Times New Roman" w:cs="Times New Roman"/>
          <w:sz w:val="24"/>
          <w:szCs w:val="24"/>
          <w:lang w:eastAsia="ru-RU"/>
        </w:rPr>
        <w:t>таблице 1.</w:t>
      </w:r>
    </w:p>
    <w:p w:rsidR="001A299F" w:rsidRPr="00264BFF" w:rsidRDefault="001A299F" w:rsidP="001A299F">
      <w:pPr>
        <w:widowControl w:val="0"/>
        <w:spacing w:after="0" w:line="240" w:lineRule="auto"/>
        <w:ind w:firstLine="709"/>
        <w:jc w:val="right"/>
        <w:rPr>
          <w:rFonts w:ascii="Times New Roman" w:eastAsia="Times New Roman" w:hAnsi="Times New Roman" w:cs="Times New Roman"/>
          <w:sz w:val="24"/>
          <w:szCs w:val="24"/>
          <w:lang w:eastAsia="ru-RU"/>
        </w:rPr>
      </w:pPr>
      <w:r w:rsidRPr="00264BFF">
        <w:rPr>
          <w:rFonts w:ascii="Times New Roman" w:eastAsia="Times New Roman" w:hAnsi="Times New Roman" w:cs="Times New Roman"/>
          <w:sz w:val="24"/>
          <w:szCs w:val="24"/>
          <w:lang w:eastAsia="ru-RU"/>
        </w:rPr>
        <w:t>Таблица 1</w:t>
      </w:r>
    </w:p>
    <w:p w:rsidR="001A299F" w:rsidRPr="001A299F" w:rsidRDefault="001A299F" w:rsidP="001A299F">
      <w:pPr>
        <w:widowControl w:val="0"/>
        <w:spacing w:after="0" w:line="240" w:lineRule="auto"/>
        <w:ind w:firstLine="709"/>
        <w:jc w:val="center"/>
        <w:rPr>
          <w:rFonts w:ascii="Times New Roman" w:eastAsia="Times New Roman" w:hAnsi="Times New Roman" w:cs="Times New Roman"/>
          <w:b/>
          <w:bCs/>
          <w:sz w:val="24"/>
          <w:szCs w:val="24"/>
          <w:lang w:eastAsia="ru-RU"/>
        </w:rPr>
      </w:pPr>
      <w:r w:rsidRPr="001A299F">
        <w:rPr>
          <w:rFonts w:ascii="Times New Roman" w:eastAsia="Times New Roman" w:hAnsi="Times New Roman" w:cs="Times New Roman"/>
          <w:b/>
          <w:bCs/>
          <w:sz w:val="24"/>
          <w:szCs w:val="24"/>
          <w:lang w:eastAsia="ru-RU"/>
        </w:rPr>
        <w:t>Исполнение областного бюджета по доходам в 2015 году</w:t>
      </w:r>
    </w:p>
    <w:p w:rsidR="001A299F" w:rsidRPr="001A299F" w:rsidRDefault="001A299F" w:rsidP="001A299F">
      <w:pPr>
        <w:widowControl w:val="0"/>
        <w:spacing w:before="120" w:after="0" w:line="240" w:lineRule="auto"/>
        <w:ind w:firstLine="709"/>
        <w:jc w:val="right"/>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тыс. рублей</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8"/>
        <w:gridCol w:w="1177"/>
        <w:gridCol w:w="1285"/>
        <w:gridCol w:w="1159"/>
        <w:gridCol w:w="1436"/>
        <w:gridCol w:w="1177"/>
      </w:tblGrid>
      <w:tr w:rsidR="001A299F" w:rsidRPr="001A299F" w:rsidTr="001A299F">
        <w:trPr>
          <w:trHeight w:val="315"/>
          <w:tblHeader/>
        </w:trPr>
        <w:tc>
          <w:tcPr>
            <w:tcW w:w="3558" w:type="dxa"/>
            <w:shd w:val="clear" w:color="auto" w:fill="auto"/>
            <w:tcMar>
              <w:top w:w="15" w:type="dxa"/>
              <w:left w:w="15" w:type="dxa"/>
              <w:bottom w:w="0" w:type="dxa"/>
              <w:right w:w="15" w:type="dxa"/>
            </w:tcMar>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Наименование показателя</w:t>
            </w:r>
          </w:p>
        </w:tc>
        <w:tc>
          <w:tcPr>
            <w:tcW w:w="1177" w:type="dxa"/>
            <w:shd w:val="clear" w:color="auto" w:fill="auto"/>
            <w:tcMar>
              <w:top w:w="15" w:type="dxa"/>
              <w:left w:w="15" w:type="dxa"/>
              <w:bottom w:w="0" w:type="dxa"/>
              <w:right w:w="15" w:type="dxa"/>
            </w:tcMar>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Исполнено за 2014 год</w:t>
            </w:r>
          </w:p>
        </w:tc>
        <w:tc>
          <w:tcPr>
            <w:tcW w:w="1285" w:type="dxa"/>
            <w:shd w:val="clear" w:color="auto" w:fill="auto"/>
            <w:tcMar>
              <w:top w:w="15" w:type="dxa"/>
              <w:left w:w="15" w:type="dxa"/>
              <w:bottom w:w="0" w:type="dxa"/>
              <w:right w:w="15" w:type="dxa"/>
            </w:tcMar>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 xml:space="preserve">Уточненные плановые назначения на 2015 год </w:t>
            </w:r>
          </w:p>
        </w:tc>
        <w:tc>
          <w:tcPr>
            <w:tcW w:w="1159" w:type="dxa"/>
            <w:shd w:val="clear" w:color="auto" w:fill="auto"/>
            <w:tcMar>
              <w:top w:w="15" w:type="dxa"/>
              <w:left w:w="15" w:type="dxa"/>
              <w:bottom w:w="0" w:type="dxa"/>
              <w:right w:w="15" w:type="dxa"/>
            </w:tcMar>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Исполнено за 2015 год</w:t>
            </w:r>
          </w:p>
        </w:tc>
        <w:tc>
          <w:tcPr>
            <w:tcW w:w="1436" w:type="dxa"/>
            <w:shd w:val="clear" w:color="auto" w:fill="auto"/>
            <w:tcMar>
              <w:top w:w="15" w:type="dxa"/>
              <w:left w:w="15" w:type="dxa"/>
              <w:bottom w:w="0" w:type="dxa"/>
              <w:right w:w="15" w:type="dxa"/>
            </w:tcMar>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Уровень исполнения,</w:t>
            </w:r>
          </w:p>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w:t>
            </w:r>
          </w:p>
        </w:tc>
        <w:tc>
          <w:tcPr>
            <w:tcW w:w="1177" w:type="dxa"/>
            <w:shd w:val="clear" w:color="auto" w:fill="auto"/>
            <w:tcMar>
              <w:top w:w="15" w:type="dxa"/>
              <w:left w:w="15" w:type="dxa"/>
              <w:bottom w:w="0" w:type="dxa"/>
              <w:right w:w="15" w:type="dxa"/>
            </w:tcMar>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Удельный вес в общем объеме,</w:t>
            </w:r>
          </w:p>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w:t>
            </w:r>
          </w:p>
        </w:tc>
      </w:tr>
      <w:tr w:rsidR="001A299F" w:rsidRPr="001A299F" w:rsidTr="001A299F">
        <w:trPr>
          <w:trHeight w:val="166"/>
          <w:tblHeader/>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1</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2</w:t>
            </w:r>
          </w:p>
        </w:tc>
        <w:tc>
          <w:tcPr>
            <w:tcW w:w="1285"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3</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4</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5</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6</w:t>
            </w:r>
          </w:p>
        </w:tc>
      </w:tr>
      <w:tr w:rsidR="001A299F" w:rsidRPr="001A299F" w:rsidTr="001A299F">
        <w:trPr>
          <w:trHeight w:val="315"/>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Arial Unicode MS" w:hAnsi="Times New Roman" w:cs="Times New Roman"/>
                <w:b/>
                <w:bCs/>
                <w:color w:val="000000"/>
                <w:sz w:val="20"/>
                <w:szCs w:val="20"/>
                <w:lang w:eastAsia="ru-RU"/>
              </w:rPr>
              <w:t xml:space="preserve">Налоговые и неналоговые доходы </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28781278,2</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bCs/>
              </w:rPr>
            </w:pPr>
            <w:r w:rsidRPr="001A299F">
              <w:rPr>
                <w:rFonts w:ascii="Times New Roman" w:eastAsia="Arial Unicode MS" w:hAnsi="Times New Roman" w:cs="Times New Roman"/>
                <w:b/>
                <w:bCs/>
              </w:rPr>
              <w:t>31794826,4</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31969601,3</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ind w:left="81" w:right="405"/>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100,5</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72,6</w:t>
            </w:r>
          </w:p>
        </w:tc>
      </w:tr>
      <w:tr w:rsidR="001A299F" w:rsidRPr="001A299F" w:rsidTr="001A299F">
        <w:trPr>
          <w:trHeight w:val="255"/>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 xml:space="preserve">Налоги на прибыль, доходы </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17743800,3</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bCs/>
              </w:rPr>
            </w:pPr>
            <w:r w:rsidRPr="001A299F">
              <w:rPr>
                <w:rFonts w:ascii="Times New Roman" w:eastAsia="Arial Unicode MS" w:hAnsi="Times New Roman" w:cs="Times New Roman"/>
                <w:b/>
                <w:bCs/>
              </w:rPr>
              <w:t>18901935,5</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18738358,6</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ind w:left="-339"/>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99,1</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42,6</w:t>
            </w:r>
          </w:p>
        </w:tc>
      </w:tr>
      <w:tr w:rsidR="001A299F" w:rsidRPr="001A299F" w:rsidTr="001A299F">
        <w:trPr>
          <w:trHeight w:val="275"/>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Налог на прибыль организаций</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7231867,4</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rPr>
            </w:pPr>
            <w:r w:rsidRPr="001A299F">
              <w:rPr>
                <w:rFonts w:ascii="Times New Roman" w:eastAsia="Arial Unicode MS" w:hAnsi="Times New Roman" w:cs="Times New Roman"/>
              </w:rPr>
              <w:t>8080804,0</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8120813,6</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ind w:left="21" w:right="305"/>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100,5</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18,5</w:t>
            </w:r>
          </w:p>
        </w:tc>
      </w:tr>
      <w:tr w:rsidR="001A299F" w:rsidRPr="001A299F" w:rsidTr="001A299F">
        <w:trPr>
          <w:trHeight w:val="255"/>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Налог на доходы физических лиц</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10511932,9</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rPr>
            </w:pPr>
            <w:r w:rsidRPr="001A299F">
              <w:rPr>
                <w:rFonts w:ascii="Times New Roman" w:eastAsia="Arial Unicode MS" w:hAnsi="Times New Roman" w:cs="Times New Roman"/>
              </w:rPr>
              <w:t>10821131,5</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10617545,0</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ind w:right="305"/>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98,1</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24,1</w:t>
            </w:r>
          </w:p>
        </w:tc>
      </w:tr>
      <w:tr w:rsidR="001A299F" w:rsidRPr="001A299F" w:rsidTr="001A299F">
        <w:trPr>
          <w:trHeight w:val="765"/>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1655128,8</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bCs/>
              </w:rPr>
            </w:pPr>
            <w:r w:rsidRPr="001A299F">
              <w:rPr>
                <w:rFonts w:ascii="Times New Roman" w:eastAsia="Arial Unicode MS" w:hAnsi="Times New Roman" w:cs="Times New Roman"/>
                <w:b/>
                <w:bCs/>
              </w:rPr>
              <w:t>1576962,1</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1793559,0</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ind w:right="305"/>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113,7</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4,1</w:t>
            </w:r>
          </w:p>
        </w:tc>
      </w:tr>
      <w:tr w:rsidR="001A299F" w:rsidRPr="001A299F" w:rsidTr="001A299F">
        <w:trPr>
          <w:trHeight w:val="606"/>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lastRenderedPageBreak/>
              <w:t>Акцизы по подакцизным товарам (продукции), производимым на территории Российской Федерации</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1655128,8</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rPr>
            </w:pPr>
            <w:r w:rsidRPr="001A299F">
              <w:rPr>
                <w:rFonts w:ascii="Times New Roman" w:eastAsia="Arial Unicode MS" w:hAnsi="Times New Roman" w:cs="Times New Roman"/>
              </w:rPr>
              <w:t>1576962,1</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1793559,0</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ind w:right="125"/>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113,7</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4,1</w:t>
            </w:r>
          </w:p>
        </w:tc>
      </w:tr>
      <w:tr w:rsidR="001A299F" w:rsidRPr="001A299F" w:rsidTr="001A299F">
        <w:trPr>
          <w:trHeight w:val="255"/>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Налоги на совокупный доход</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1314754,5</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bCs/>
              </w:rPr>
            </w:pPr>
            <w:r w:rsidRPr="001A299F">
              <w:rPr>
                <w:rFonts w:ascii="Times New Roman" w:eastAsia="Arial Unicode MS" w:hAnsi="Times New Roman" w:cs="Times New Roman"/>
                <w:b/>
                <w:bCs/>
              </w:rPr>
              <w:t>1373486,0</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1370332,0</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ind w:right="125"/>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99,8</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3,1</w:t>
            </w:r>
          </w:p>
        </w:tc>
      </w:tr>
      <w:tr w:rsidR="001A299F" w:rsidRPr="001A299F" w:rsidTr="001A299F">
        <w:trPr>
          <w:trHeight w:val="255"/>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1A299F">
              <w:rPr>
                <w:rFonts w:ascii="Times New Roman" w:eastAsia="Times New Roman" w:hAnsi="Times New Roman" w:cs="Times New Roman"/>
                <w:bCs/>
                <w:color w:val="000000"/>
                <w:sz w:val="20"/>
                <w:szCs w:val="20"/>
                <w:lang w:eastAsia="ru-RU"/>
              </w:rPr>
              <w:t>Налог, взимаемый в связи с применением упрощенной системы налогообложения</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A299F">
              <w:rPr>
                <w:rFonts w:ascii="Times New Roman" w:eastAsia="Times New Roman" w:hAnsi="Times New Roman" w:cs="Times New Roman"/>
                <w:bCs/>
                <w:lang w:eastAsia="ru-RU"/>
              </w:rPr>
              <w:t>1314616,9</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hAnsi="Times New Roman" w:cs="Times New Roman"/>
                <w:bCs/>
              </w:rPr>
            </w:pPr>
            <w:r w:rsidRPr="001A299F">
              <w:rPr>
                <w:rFonts w:ascii="Times New Roman" w:hAnsi="Times New Roman" w:cs="Times New Roman"/>
                <w:bCs/>
              </w:rPr>
              <w:t>1373486,0</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A299F">
              <w:rPr>
                <w:rFonts w:ascii="Times New Roman" w:eastAsia="Times New Roman" w:hAnsi="Times New Roman" w:cs="Times New Roman"/>
                <w:bCs/>
                <w:lang w:eastAsia="ru-RU"/>
              </w:rPr>
              <w:t>1370100,8</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A299F">
              <w:rPr>
                <w:rFonts w:ascii="Times New Roman" w:eastAsia="Times New Roman" w:hAnsi="Times New Roman" w:cs="Times New Roman"/>
                <w:bCs/>
                <w:lang w:eastAsia="ru-RU"/>
              </w:rPr>
              <w:t>99,8</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A299F">
              <w:rPr>
                <w:rFonts w:ascii="Times New Roman" w:eastAsia="Times New Roman" w:hAnsi="Times New Roman" w:cs="Times New Roman"/>
                <w:bCs/>
                <w:lang w:eastAsia="ru-RU"/>
              </w:rPr>
              <w:t>3,1</w:t>
            </w:r>
          </w:p>
        </w:tc>
      </w:tr>
      <w:tr w:rsidR="001A299F" w:rsidRPr="001A299F" w:rsidTr="001A299F">
        <w:trPr>
          <w:trHeight w:val="255"/>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1A299F">
              <w:rPr>
                <w:rFonts w:ascii="Times New Roman" w:eastAsia="Times New Roman" w:hAnsi="Times New Roman" w:cs="Times New Roman"/>
                <w:bCs/>
                <w:color w:val="000000"/>
                <w:sz w:val="20"/>
                <w:szCs w:val="20"/>
                <w:lang w:eastAsia="ru-RU"/>
              </w:rPr>
              <w:t>Единый сельскохозяйственный налог</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Cs/>
                <w:lang w:eastAsia="ru-RU"/>
              </w:rPr>
            </w:pPr>
            <w:r w:rsidRPr="001A299F">
              <w:rPr>
                <w:rFonts w:ascii="Times New Roman" w:eastAsia="Arial Unicode MS" w:hAnsi="Times New Roman" w:cs="Times New Roman"/>
                <w:bCs/>
                <w:lang w:eastAsia="ru-RU"/>
              </w:rPr>
              <w:t>137,6</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Cs/>
              </w:rPr>
            </w:pPr>
            <w:r w:rsidRPr="001A299F">
              <w:rPr>
                <w:rFonts w:ascii="Times New Roman" w:eastAsia="Arial Unicode MS" w:hAnsi="Times New Roman" w:cs="Times New Roman"/>
                <w:bCs/>
              </w:rPr>
              <w:t>-</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Cs/>
                <w:lang w:eastAsia="ru-RU"/>
              </w:rPr>
            </w:pPr>
            <w:r w:rsidRPr="001A299F">
              <w:rPr>
                <w:rFonts w:ascii="Times New Roman" w:eastAsia="Arial Unicode MS" w:hAnsi="Times New Roman" w:cs="Times New Roman"/>
                <w:bCs/>
                <w:lang w:eastAsia="ru-RU"/>
              </w:rPr>
              <w:t>231,2</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Cs/>
                <w:lang w:eastAsia="ru-RU"/>
              </w:rPr>
            </w:pPr>
            <w:r w:rsidRPr="001A299F">
              <w:rPr>
                <w:rFonts w:ascii="Times New Roman" w:eastAsia="Arial Unicode MS" w:hAnsi="Times New Roman" w:cs="Times New Roman"/>
                <w:bCs/>
                <w:lang w:eastAsia="ru-RU"/>
              </w:rPr>
              <w:t>-</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Cs/>
                <w:lang w:eastAsia="ru-RU"/>
              </w:rPr>
            </w:pPr>
            <w:r w:rsidRPr="001A299F">
              <w:rPr>
                <w:rFonts w:ascii="Times New Roman" w:eastAsia="Arial Unicode MS" w:hAnsi="Times New Roman" w:cs="Times New Roman"/>
                <w:bCs/>
                <w:lang w:eastAsia="ru-RU"/>
              </w:rPr>
              <w:t>-</w:t>
            </w:r>
          </w:p>
        </w:tc>
      </w:tr>
      <w:tr w:rsidR="001A299F" w:rsidRPr="001A299F" w:rsidTr="001A299F">
        <w:trPr>
          <w:trHeight w:val="255"/>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Налоги на имущество</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5434902,7</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bCs/>
              </w:rPr>
            </w:pPr>
            <w:r w:rsidRPr="001A299F">
              <w:rPr>
                <w:rFonts w:ascii="Times New Roman" w:eastAsia="Arial Unicode MS" w:hAnsi="Times New Roman" w:cs="Times New Roman"/>
                <w:b/>
                <w:bCs/>
              </w:rPr>
              <w:t>6988410,7</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7029289,0</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100,6</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15,9</w:t>
            </w:r>
          </w:p>
        </w:tc>
      </w:tr>
      <w:tr w:rsidR="001A299F" w:rsidRPr="001A299F" w:rsidTr="001A299F">
        <w:trPr>
          <w:trHeight w:val="185"/>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Налог на имущество организаций</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4720998,5</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rPr>
            </w:pPr>
            <w:r w:rsidRPr="001A299F">
              <w:rPr>
                <w:rFonts w:ascii="Times New Roman" w:eastAsia="Arial Unicode MS" w:hAnsi="Times New Roman" w:cs="Times New Roman"/>
              </w:rPr>
              <w:t>6206621,7</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6225342,9</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100,3</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14,1</w:t>
            </w:r>
          </w:p>
        </w:tc>
      </w:tr>
      <w:tr w:rsidR="001A299F" w:rsidRPr="001A299F" w:rsidTr="001A299F">
        <w:trPr>
          <w:trHeight w:val="278"/>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r w:rsidRPr="001A299F">
              <w:rPr>
                <w:rFonts w:ascii="Times New Roman" w:eastAsia="Times New Roman" w:hAnsi="Times New Roman" w:cs="Times New Roman"/>
                <w:color w:val="000000"/>
                <w:sz w:val="20"/>
                <w:szCs w:val="20"/>
                <w:lang w:eastAsia="ru-RU"/>
              </w:rPr>
              <w:t>Транспортный налог</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712909,2</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rPr>
            </w:pPr>
            <w:r w:rsidRPr="001A299F">
              <w:rPr>
                <w:rFonts w:ascii="Times New Roman" w:eastAsia="Arial Unicode MS" w:hAnsi="Times New Roman" w:cs="Times New Roman"/>
              </w:rPr>
              <w:t>781789,0</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803744,0</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102,8</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1,8</w:t>
            </w:r>
          </w:p>
        </w:tc>
      </w:tr>
      <w:tr w:rsidR="001A299F" w:rsidRPr="001A299F" w:rsidTr="001A299F">
        <w:trPr>
          <w:trHeight w:val="165"/>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Налог на игорный бизнес</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995,0</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rPr>
            </w:pPr>
            <w:r w:rsidRPr="001A299F">
              <w:rPr>
                <w:rFonts w:ascii="Times New Roman" w:eastAsia="Arial Unicode MS" w:hAnsi="Times New Roman" w:cs="Times New Roman"/>
              </w:rPr>
              <w:t>-</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202,1</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w:t>
            </w:r>
          </w:p>
        </w:tc>
      </w:tr>
      <w:tr w:rsidR="001A299F" w:rsidRPr="001A299F" w:rsidTr="001A299F">
        <w:trPr>
          <w:trHeight w:val="164"/>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Arial Unicode MS" w:hAnsi="Times New Roman" w:cs="Times New Roman"/>
                <w:b/>
                <w:bCs/>
                <w:color w:val="000000"/>
                <w:sz w:val="20"/>
                <w:szCs w:val="20"/>
                <w:lang w:eastAsia="ru-RU"/>
              </w:rPr>
              <w:t>Налоги, сборы и регулярные платежи за пользование природными ресурсами</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1791540,9</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bCs/>
              </w:rPr>
            </w:pPr>
            <w:r w:rsidRPr="001A299F">
              <w:rPr>
                <w:rFonts w:ascii="Times New Roman" w:eastAsia="Arial Unicode MS" w:hAnsi="Times New Roman" w:cs="Times New Roman"/>
                <w:b/>
                <w:bCs/>
              </w:rPr>
              <w:t>2142964,0</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2166286,8</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101,1</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4,9</w:t>
            </w:r>
          </w:p>
        </w:tc>
      </w:tr>
      <w:tr w:rsidR="001A299F" w:rsidRPr="001A299F" w:rsidTr="001A299F">
        <w:trPr>
          <w:trHeight w:val="321"/>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Налог на добычу полезных ископаемых</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1A299F">
              <w:rPr>
                <w:rFonts w:ascii="Times New Roman" w:eastAsia="Times New Roman" w:hAnsi="Times New Roman" w:cs="Times New Roman"/>
                <w:lang w:eastAsia="ru-RU"/>
              </w:rPr>
              <w:t>1784929,0</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hAnsi="Times New Roman" w:cs="Times New Roman"/>
              </w:rPr>
            </w:pPr>
            <w:r w:rsidRPr="001A299F">
              <w:rPr>
                <w:rFonts w:ascii="Times New Roman" w:hAnsi="Times New Roman" w:cs="Times New Roman"/>
              </w:rPr>
              <w:t>2136328,0</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1A299F">
              <w:rPr>
                <w:rFonts w:ascii="Times New Roman" w:eastAsia="Times New Roman" w:hAnsi="Times New Roman" w:cs="Times New Roman"/>
                <w:lang w:eastAsia="ru-RU"/>
              </w:rPr>
              <w:t>2159195,3</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99F">
              <w:rPr>
                <w:rFonts w:ascii="Times New Roman" w:eastAsia="Times New Roman" w:hAnsi="Times New Roman" w:cs="Times New Roman"/>
                <w:lang w:eastAsia="ru-RU"/>
              </w:rPr>
              <w:t>101,1</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4,9</w:t>
            </w:r>
          </w:p>
        </w:tc>
      </w:tr>
      <w:tr w:rsidR="001A299F" w:rsidRPr="001A299F" w:rsidTr="001A299F">
        <w:trPr>
          <w:trHeight w:val="513"/>
        </w:trPr>
        <w:tc>
          <w:tcPr>
            <w:tcW w:w="3558" w:type="dxa"/>
            <w:tcBorders>
              <w:bottom w:val="single" w:sz="4" w:space="0" w:color="auto"/>
            </w:tcBorders>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Сбор за пользование объектами животного мира и за пользование объектами водных биологических ресурсов</w:t>
            </w:r>
          </w:p>
        </w:tc>
        <w:tc>
          <w:tcPr>
            <w:tcW w:w="1177" w:type="dxa"/>
            <w:tcBorders>
              <w:bottom w:val="single" w:sz="4" w:space="0" w:color="auto"/>
            </w:tcBorders>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6611,9</w:t>
            </w:r>
          </w:p>
        </w:tc>
        <w:tc>
          <w:tcPr>
            <w:tcW w:w="1285" w:type="dxa"/>
            <w:tcBorders>
              <w:bottom w:val="single" w:sz="4" w:space="0" w:color="auto"/>
            </w:tcBorders>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rPr>
            </w:pPr>
            <w:r w:rsidRPr="001A299F">
              <w:rPr>
                <w:rFonts w:ascii="Times New Roman" w:eastAsia="Arial Unicode MS" w:hAnsi="Times New Roman" w:cs="Times New Roman"/>
              </w:rPr>
              <w:t>6636,0</w:t>
            </w:r>
          </w:p>
        </w:tc>
        <w:tc>
          <w:tcPr>
            <w:tcW w:w="1159" w:type="dxa"/>
            <w:tcBorders>
              <w:bottom w:val="single" w:sz="4" w:space="0" w:color="auto"/>
            </w:tcBorders>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7091,5</w:t>
            </w:r>
          </w:p>
        </w:tc>
        <w:tc>
          <w:tcPr>
            <w:tcW w:w="1436" w:type="dxa"/>
            <w:tcBorders>
              <w:bottom w:val="single" w:sz="4" w:space="0" w:color="auto"/>
            </w:tcBorders>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106,9</w:t>
            </w:r>
          </w:p>
        </w:tc>
        <w:tc>
          <w:tcPr>
            <w:tcW w:w="1177" w:type="dxa"/>
            <w:tcBorders>
              <w:bottom w:val="single" w:sz="4" w:space="0" w:color="auto"/>
            </w:tcBorders>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lang w:eastAsia="ru-RU"/>
              </w:rPr>
            </w:pPr>
            <w:r w:rsidRPr="001A299F">
              <w:rPr>
                <w:rFonts w:ascii="Times New Roman" w:eastAsia="Arial Unicode MS" w:hAnsi="Times New Roman" w:cs="Times New Roman"/>
                <w:lang w:eastAsia="ru-RU"/>
              </w:rPr>
              <w:t>-</w:t>
            </w:r>
          </w:p>
        </w:tc>
      </w:tr>
      <w:tr w:rsidR="001A299F" w:rsidRPr="001A299F" w:rsidTr="001A299F">
        <w:trPr>
          <w:trHeight w:val="200"/>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Государственная пошлина</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29159,1</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bCs/>
              </w:rPr>
            </w:pPr>
            <w:r w:rsidRPr="001A299F">
              <w:rPr>
                <w:rFonts w:ascii="Times New Roman" w:eastAsia="Arial Unicode MS" w:hAnsi="Times New Roman" w:cs="Times New Roman"/>
                <w:b/>
                <w:bCs/>
              </w:rPr>
              <w:t>96869,0</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108016,0</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111,5</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0,3</w:t>
            </w:r>
          </w:p>
        </w:tc>
      </w:tr>
      <w:tr w:rsidR="001A299F" w:rsidRPr="001A299F" w:rsidTr="001A299F">
        <w:trPr>
          <w:trHeight w:val="510"/>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Задолженность и перерасчеты по отмененным налогам, сборам и иным обязательным платежам</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53,3</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bCs/>
              </w:rPr>
            </w:pPr>
            <w:r w:rsidRPr="001A299F">
              <w:rPr>
                <w:rFonts w:ascii="Times New Roman" w:eastAsia="Arial Unicode MS" w:hAnsi="Times New Roman" w:cs="Times New Roman"/>
                <w:b/>
                <w:bCs/>
              </w:rPr>
              <w:t>-</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5,1</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w:t>
            </w:r>
          </w:p>
        </w:tc>
      </w:tr>
      <w:tr w:rsidR="001A299F" w:rsidRPr="001A299F" w:rsidTr="001A299F">
        <w:trPr>
          <w:trHeight w:val="315"/>
        </w:trPr>
        <w:tc>
          <w:tcPr>
            <w:tcW w:w="3558" w:type="dxa"/>
            <w:shd w:val="clear" w:color="auto" w:fill="auto"/>
            <w:tcMar>
              <w:top w:w="15" w:type="dxa"/>
              <w:left w:w="15" w:type="dxa"/>
              <w:bottom w:w="0" w:type="dxa"/>
              <w:right w:w="15" w:type="dxa"/>
            </w:tcMar>
            <w:vAlign w:val="bottom"/>
          </w:tcPr>
          <w:p w:rsidR="001A299F" w:rsidRPr="001A299F" w:rsidRDefault="001A299F" w:rsidP="001A299F">
            <w:pPr>
              <w:tabs>
                <w:tab w:val="left" w:pos="708"/>
                <w:tab w:val="center" w:pos="4677"/>
                <w:tab w:val="right" w:pos="9355"/>
              </w:tabs>
              <w:spacing w:after="0" w:line="240" w:lineRule="auto"/>
              <w:rPr>
                <w:rFonts w:ascii="Times New Roman" w:eastAsia="Times New Roman" w:hAnsi="Times New Roman" w:cs="Times New Roman"/>
                <w:b/>
                <w:color w:val="000000"/>
                <w:sz w:val="20"/>
                <w:szCs w:val="20"/>
                <w:lang w:eastAsia="ru-RU"/>
              </w:rPr>
            </w:pPr>
            <w:r w:rsidRPr="001A299F">
              <w:rPr>
                <w:rFonts w:ascii="Times New Roman" w:eastAsia="Times New Roman" w:hAnsi="Times New Roman" w:cs="Times New Roman"/>
                <w:b/>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73677,4</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rPr>
            </w:pPr>
            <w:r w:rsidRPr="001A299F">
              <w:rPr>
                <w:rFonts w:ascii="Times New Roman" w:eastAsia="Arial Unicode MS" w:hAnsi="Times New Roman" w:cs="Times New Roman"/>
                <w:b/>
              </w:rPr>
              <w:t>100294,7</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106716,4</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106,4</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0,2</w:t>
            </w:r>
          </w:p>
        </w:tc>
      </w:tr>
      <w:tr w:rsidR="001A299F" w:rsidRPr="001A299F" w:rsidTr="001A299F">
        <w:trPr>
          <w:trHeight w:val="510"/>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1A299F">
              <w:rPr>
                <w:rFonts w:ascii="Times New Roman" w:eastAsia="Times New Roman" w:hAnsi="Times New Roman" w:cs="Times New Roman"/>
                <w:b/>
                <w:color w:val="000000"/>
                <w:sz w:val="20"/>
                <w:szCs w:val="20"/>
                <w:lang w:eastAsia="ru-RU"/>
              </w:rPr>
              <w:t>Платежи при пользовании природными ресурсами</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222004,9</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rPr>
            </w:pPr>
            <w:r w:rsidRPr="001A299F">
              <w:rPr>
                <w:rFonts w:ascii="Times New Roman" w:eastAsia="Arial Unicode MS" w:hAnsi="Times New Roman" w:cs="Times New Roman"/>
                <w:b/>
              </w:rPr>
              <w:t>171606,0</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181416,5</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105,7</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0,4</w:t>
            </w:r>
          </w:p>
        </w:tc>
      </w:tr>
      <w:tr w:rsidR="001A299F" w:rsidRPr="001A299F" w:rsidTr="001A299F">
        <w:trPr>
          <w:trHeight w:val="510"/>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1A299F">
              <w:rPr>
                <w:rFonts w:ascii="Times New Roman" w:eastAsia="Times New Roman" w:hAnsi="Times New Roman" w:cs="Times New Roman"/>
                <w:b/>
                <w:color w:val="000000"/>
                <w:sz w:val="20"/>
                <w:szCs w:val="20"/>
                <w:lang w:eastAsia="ru-RU"/>
              </w:rPr>
              <w:t>Доходы от оказания платных услуг (работ) и компенсации затрат государства</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92875,6</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rPr>
            </w:pPr>
            <w:r w:rsidRPr="001A299F">
              <w:rPr>
                <w:rFonts w:ascii="Times New Roman" w:eastAsia="Arial Unicode MS" w:hAnsi="Times New Roman" w:cs="Times New Roman"/>
                <w:b/>
              </w:rPr>
              <w:t>86580,3</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95130,6</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109,9</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0,2</w:t>
            </w:r>
          </w:p>
        </w:tc>
      </w:tr>
      <w:tr w:rsidR="001A299F" w:rsidRPr="001A299F" w:rsidTr="001A299F">
        <w:trPr>
          <w:trHeight w:val="510"/>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1A299F">
              <w:rPr>
                <w:rFonts w:ascii="Times New Roman" w:eastAsia="Times New Roman" w:hAnsi="Times New Roman" w:cs="Times New Roman"/>
                <w:b/>
                <w:color w:val="000000"/>
                <w:sz w:val="20"/>
                <w:szCs w:val="20"/>
                <w:lang w:eastAsia="ru-RU"/>
              </w:rPr>
              <w:t>Доходы от продажи материальных и нематериальных активов</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57767,9</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rPr>
            </w:pPr>
            <w:r w:rsidRPr="001A299F">
              <w:rPr>
                <w:rFonts w:ascii="Times New Roman" w:eastAsia="Arial Unicode MS" w:hAnsi="Times New Roman" w:cs="Times New Roman"/>
                <w:b/>
              </w:rPr>
              <w:t>64715,3</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68208,1</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105,4</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0,2</w:t>
            </w:r>
          </w:p>
        </w:tc>
      </w:tr>
      <w:tr w:rsidR="001A299F" w:rsidRPr="001A299F" w:rsidTr="001A299F">
        <w:trPr>
          <w:trHeight w:val="243"/>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Arial Unicode MS" w:hAnsi="Times New Roman" w:cs="Times New Roman"/>
                <w:b/>
                <w:color w:val="000000"/>
                <w:sz w:val="20"/>
                <w:szCs w:val="20"/>
                <w:lang w:eastAsia="ru-RU"/>
              </w:rPr>
            </w:pPr>
            <w:r w:rsidRPr="001A299F">
              <w:rPr>
                <w:rFonts w:ascii="Times New Roman" w:eastAsia="Times New Roman" w:hAnsi="Times New Roman" w:cs="Times New Roman"/>
                <w:b/>
                <w:color w:val="000000"/>
                <w:sz w:val="20"/>
                <w:szCs w:val="20"/>
                <w:lang w:eastAsia="ru-RU"/>
              </w:rPr>
              <w:t>Административные платежи и сборы</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573,2</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rPr>
            </w:pPr>
            <w:r w:rsidRPr="001A299F">
              <w:rPr>
                <w:rFonts w:ascii="Times New Roman" w:eastAsia="Arial Unicode MS" w:hAnsi="Times New Roman" w:cs="Times New Roman"/>
                <w:b/>
              </w:rPr>
              <w:t>3434,1</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4000,4</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116,5</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1A299F">
              <w:rPr>
                <w:rFonts w:ascii="Times New Roman" w:eastAsia="Arial Unicode MS" w:hAnsi="Times New Roman" w:cs="Times New Roman"/>
                <w:b/>
                <w:lang w:eastAsia="ru-RU"/>
              </w:rPr>
              <w:t>-</w:t>
            </w:r>
          </w:p>
        </w:tc>
      </w:tr>
      <w:tr w:rsidR="001A299F" w:rsidRPr="001A299F" w:rsidTr="001A299F">
        <w:trPr>
          <w:trHeight w:val="63"/>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Штрафы, санкции, возмещение ущерба</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364020,2</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bCs/>
              </w:rPr>
            </w:pPr>
            <w:r w:rsidRPr="001A299F">
              <w:rPr>
                <w:rFonts w:ascii="Times New Roman" w:eastAsia="Arial Unicode MS" w:hAnsi="Times New Roman" w:cs="Times New Roman"/>
                <w:b/>
                <w:bCs/>
              </w:rPr>
              <w:t>287566,7</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309420,1</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107,6</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0,7</w:t>
            </w:r>
          </w:p>
        </w:tc>
      </w:tr>
      <w:tr w:rsidR="001A299F" w:rsidRPr="001A299F" w:rsidTr="001A299F">
        <w:trPr>
          <w:trHeight w:val="63"/>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Прочие неналоговые доходы</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1019,4</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bCs/>
              </w:rPr>
            </w:pPr>
            <w:r w:rsidRPr="001A299F">
              <w:rPr>
                <w:rFonts w:ascii="Times New Roman" w:eastAsia="Arial Unicode MS" w:hAnsi="Times New Roman" w:cs="Times New Roman"/>
                <w:b/>
                <w:bCs/>
              </w:rPr>
              <w:t>2,0</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-1137,3</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w:t>
            </w:r>
          </w:p>
        </w:tc>
      </w:tr>
      <w:tr w:rsidR="001A299F" w:rsidRPr="001A299F" w:rsidTr="001A299F">
        <w:trPr>
          <w:trHeight w:val="350"/>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Безвозмездные поступления</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17206562,6</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bCs/>
              </w:rPr>
            </w:pPr>
            <w:r w:rsidRPr="001A299F">
              <w:rPr>
                <w:rFonts w:ascii="Times New Roman" w:eastAsia="Arial Unicode MS" w:hAnsi="Times New Roman" w:cs="Times New Roman"/>
                <w:b/>
                <w:bCs/>
              </w:rPr>
              <w:t>9163999,6</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12065852,5</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131,7</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27,4</w:t>
            </w:r>
          </w:p>
        </w:tc>
      </w:tr>
      <w:tr w:rsidR="001A299F" w:rsidRPr="001A299F" w:rsidTr="001A299F">
        <w:trPr>
          <w:trHeight w:val="255"/>
        </w:trPr>
        <w:tc>
          <w:tcPr>
            <w:tcW w:w="3558"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rPr>
                <w:rFonts w:ascii="Times New Roman" w:eastAsia="Arial Unicode MS" w:hAnsi="Times New Roman" w:cs="Times New Roman"/>
                <w:b/>
                <w:bCs/>
                <w:color w:val="000000"/>
                <w:lang w:eastAsia="ru-RU"/>
              </w:rPr>
            </w:pPr>
            <w:r w:rsidRPr="001A299F">
              <w:rPr>
                <w:rFonts w:ascii="Times New Roman" w:eastAsia="Times New Roman" w:hAnsi="Times New Roman" w:cs="Times New Roman"/>
                <w:b/>
                <w:bCs/>
                <w:color w:val="000000"/>
                <w:lang w:eastAsia="ru-RU"/>
              </w:rPr>
              <w:t>ИТОГО ДОХОДОВ</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45987840,8</w:t>
            </w:r>
          </w:p>
        </w:tc>
        <w:tc>
          <w:tcPr>
            <w:tcW w:w="1285" w:type="dxa"/>
            <w:shd w:val="clear" w:color="auto" w:fill="auto"/>
            <w:tcMar>
              <w:top w:w="15" w:type="dxa"/>
              <w:left w:w="15" w:type="dxa"/>
              <w:bottom w:w="0" w:type="dxa"/>
              <w:right w:w="15" w:type="dxa"/>
            </w:tcMar>
            <w:vAlign w:val="bottom"/>
          </w:tcPr>
          <w:p w:rsidR="001A299F" w:rsidRPr="001A299F" w:rsidRDefault="001A299F" w:rsidP="001A299F">
            <w:pPr>
              <w:spacing w:after="0" w:line="240" w:lineRule="auto"/>
              <w:jc w:val="center"/>
              <w:rPr>
                <w:rFonts w:ascii="Times New Roman" w:eastAsia="Arial Unicode MS" w:hAnsi="Times New Roman" w:cs="Times New Roman"/>
                <w:b/>
                <w:bCs/>
              </w:rPr>
            </w:pPr>
            <w:r w:rsidRPr="001A299F">
              <w:rPr>
                <w:rFonts w:ascii="Times New Roman" w:eastAsia="Arial Unicode MS" w:hAnsi="Times New Roman" w:cs="Times New Roman"/>
                <w:b/>
                <w:bCs/>
              </w:rPr>
              <w:t>40958826,0</w:t>
            </w:r>
          </w:p>
        </w:tc>
        <w:tc>
          <w:tcPr>
            <w:tcW w:w="1159"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44035453,8</w:t>
            </w:r>
          </w:p>
        </w:tc>
        <w:tc>
          <w:tcPr>
            <w:tcW w:w="1436"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107,5</w:t>
            </w:r>
          </w:p>
        </w:tc>
        <w:tc>
          <w:tcPr>
            <w:tcW w:w="1177" w:type="dxa"/>
            <w:shd w:val="clear" w:color="auto" w:fill="auto"/>
            <w:tcMar>
              <w:top w:w="15" w:type="dxa"/>
              <w:left w:w="15" w:type="dxa"/>
              <w:bottom w:w="0" w:type="dxa"/>
              <w:right w:w="15" w:type="dxa"/>
            </w:tcMar>
            <w:vAlign w:val="bottom"/>
          </w:tcPr>
          <w:p w:rsidR="001A299F" w:rsidRPr="001A299F" w:rsidRDefault="001A299F" w:rsidP="001A299F">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sidRPr="001A299F">
              <w:rPr>
                <w:rFonts w:ascii="Times New Roman" w:eastAsia="Arial Unicode MS" w:hAnsi="Times New Roman" w:cs="Times New Roman"/>
                <w:b/>
                <w:bCs/>
                <w:lang w:eastAsia="ru-RU"/>
              </w:rPr>
              <w:t>100,0</w:t>
            </w:r>
          </w:p>
        </w:tc>
      </w:tr>
    </w:tbl>
    <w:p w:rsidR="00264BFF" w:rsidRDefault="00264BFF" w:rsidP="001A299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Удельный вес налоговых и неналоговых доходов областного бюджета в общем объеме поступивших в 2015 году доходов, составляет 72,6 процента, в том числе наибольший удельный вес в общем объеме поступивших доходов составляет налог на доходы физических лиц – 24,1 процента, налог на прибыль организаций – 18,5 процента, налог на имущество организаций – 14,1 процента, налог на добычу полезных ископаемых – 4,9 процента, акцизы по подакцизным товарам (продукции), производимым на территории Российской Федерации – 4,1 процента. Безвозмездные поступления в структуре доходов областного бюджета за 2015 год составляют 27,4 процента.</w:t>
      </w:r>
    </w:p>
    <w:p w:rsidR="00264BFF" w:rsidRDefault="00264BFF" w:rsidP="001A29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A299F" w:rsidRPr="00264BF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color w:val="000000"/>
          <w:sz w:val="24"/>
          <w:szCs w:val="24"/>
          <w:lang w:eastAsia="ru-RU"/>
        </w:rPr>
        <w:lastRenderedPageBreak/>
        <w:t xml:space="preserve">Структура поступлений доходов областного бюджета представлена </w:t>
      </w:r>
      <w:r w:rsidRPr="001A299F">
        <w:rPr>
          <w:rFonts w:ascii="Times New Roman" w:eastAsia="Times New Roman" w:hAnsi="Times New Roman" w:cs="Times New Roman"/>
          <w:sz w:val="24"/>
          <w:szCs w:val="24"/>
          <w:lang w:eastAsia="ru-RU"/>
        </w:rPr>
        <w:t xml:space="preserve">диаграммой на </w:t>
      </w:r>
      <w:r w:rsidRPr="00264BFF">
        <w:rPr>
          <w:rFonts w:ascii="Times New Roman" w:eastAsia="Times New Roman" w:hAnsi="Times New Roman" w:cs="Times New Roman"/>
          <w:sz w:val="24"/>
          <w:szCs w:val="24"/>
          <w:lang w:eastAsia="ru-RU"/>
        </w:rPr>
        <w:t>рисунке 19.</w:t>
      </w:r>
    </w:p>
    <w:p w:rsidR="001A299F" w:rsidRPr="00264BFF" w:rsidRDefault="001A299F" w:rsidP="001A299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A299F" w:rsidRPr="001A299F" w:rsidRDefault="001A299F" w:rsidP="001A299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noProof/>
          <w:sz w:val="24"/>
          <w:szCs w:val="24"/>
          <w:lang w:eastAsia="ru-RU"/>
        </w:rPr>
        <w:drawing>
          <wp:inline distT="0" distB="0" distL="0" distR="0" wp14:anchorId="324049AB" wp14:editId="6756EEEC">
            <wp:extent cx="5971430" cy="3460802"/>
            <wp:effectExtent l="0" t="0" r="0" b="0"/>
            <wp:docPr id="18"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264BFF">
        <w:rPr>
          <w:rFonts w:ascii="Times New Roman" w:eastAsia="Times New Roman" w:hAnsi="Times New Roman" w:cs="Times New Roman"/>
          <w:b/>
          <w:sz w:val="24"/>
          <w:szCs w:val="24"/>
          <w:lang w:eastAsia="ru-RU"/>
        </w:rPr>
        <w:t xml:space="preserve">Рис. 19– </w:t>
      </w:r>
      <w:r w:rsidRPr="001A299F">
        <w:rPr>
          <w:rFonts w:ascii="Times New Roman" w:eastAsia="Times New Roman" w:hAnsi="Times New Roman" w:cs="Times New Roman"/>
          <w:b/>
          <w:sz w:val="24"/>
          <w:szCs w:val="24"/>
          <w:lang w:eastAsia="ru-RU"/>
        </w:rPr>
        <w:t>Структура доходов областного бюджета, поступивших в 2015 году, в процентах</w:t>
      </w:r>
    </w:p>
    <w:p w:rsidR="001A299F" w:rsidRPr="001A299F" w:rsidRDefault="001A299F" w:rsidP="001A299F">
      <w:pPr>
        <w:spacing w:after="0" w:line="240" w:lineRule="auto"/>
        <w:ind w:firstLine="720"/>
        <w:jc w:val="both"/>
        <w:rPr>
          <w:rFonts w:ascii="Times New Roman" w:hAnsi="Times New Roman" w:cs="Times New Roman"/>
          <w:sz w:val="24"/>
          <w:szCs w:val="24"/>
        </w:rPr>
      </w:pPr>
    </w:p>
    <w:p w:rsidR="001A299F" w:rsidRPr="001A299F"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 xml:space="preserve">В 2015 году в областной бюджет поступило налоговых доходов на сумму </w:t>
      </w:r>
      <w:r w:rsidRPr="001A299F">
        <w:rPr>
          <w:rFonts w:ascii="Times New Roman" w:hAnsi="Times New Roman" w:cs="Times New Roman"/>
          <w:sz w:val="24"/>
          <w:szCs w:val="24"/>
        </w:rPr>
        <w:br/>
        <w:t>31205846,5 тыс. рублей, или 100,4 процента к объему запланированных назначений.</w:t>
      </w:r>
    </w:p>
    <w:p w:rsidR="001A299F" w:rsidRPr="001A299F"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Недовыполнение плановых назначений 2015 года сложилось по налогу на доходы физических лиц, налогу, взимаемому в связи с применением упро</w:t>
      </w:r>
      <w:r w:rsidR="004C228A">
        <w:rPr>
          <w:rFonts w:ascii="Times New Roman" w:hAnsi="Times New Roman" w:cs="Times New Roman"/>
          <w:sz w:val="24"/>
          <w:szCs w:val="24"/>
        </w:rPr>
        <w:t>щенной системы налогообложения.</w:t>
      </w:r>
    </w:p>
    <w:p w:rsidR="001A299F" w:rsidRPr="001A299F"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 xml:space="preserve">Поступление налога на прибыль организаций в 2015 году составило 8120813,6 тыс. рублей, или 100,5 процента плановых назначений. </w:t>
      </w:r>
      <w:r w:rsidRPr="001A299F">
        <w:rPr>
          <w:rFonts w:ascii="Times New Roman" w:eastAsia="Times New Roman" w:hAnsi="Times New Roman" w:cs="Times New Roman"/>
          <w:sz w:val="24"/>
          <w:szCs w:val="24"/>
          <w:lang w:eastAsia="ru-RU"/>
        </w:rPr>
        <w:t xml:space="preserve">В доходах областного бюджета на </w:t>
      </w:r>
      <w:r w:rsidRPr="001A299F">
        <w:rPr>
          <w:rFonts w:ascii="Times New Roman" w:eastAsia="Times New Roman" w:hAnsi="Times New Roman" w:cs="Times New Roman"/>
          <w:sz w:val="24"/>
          <w:szCs w:val="24"/>
          <w:lang w:eastAsia="ru-RU"/>
        </w:rPr>
        <w:br/>
        <w:t>2015 год первоначально плановые назначения по налогу на прибыль организаций предусмотрены в сумме 8647305,0 тыс. рублей. Уточненные плановые назначения по налогу на прибыль организаций составляют 8080804,0 тыс. рублей, что на 566501,0 тыс. рублей меньше перв</w:t>
      </w:r>
      <w:r w:rsidR="004C228A">
        <w:rPr>
          <w:rFonts w:ascii="Times New Roman" w:eastAsia="Times New Roman" w:hAnsi="Times New Roman" w:cs="Times New Roman"/>
          <w:sz w:val="24"/>
          <w:szCs w:val="24"/>
          <w:lang w:eastAsia="ru-RU"/>
        </w:rPr>
        <w:t>оначальных плановых назначений.</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Увеличение объема поступлений по налогу на прибыль организаций в 2015 году по сравнению с 2014 годом составляет 888946,2 тыс. рублей, или 12,3 процента.</w:t>
      </w:r>
    </w:p>
    <w:p w:rsidR="001A299F" w:rsidRPr="001A299F"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 xml:space="preserve">Налог на доходы физических лиц поступил в областной бюджет в объеме </w:t>
      </w:r>
      <w:r w:rsidRPr="001A299F">
        <w:rPr>
          <w:rFonts w:ascii="Times New Roman" w:hAnsi="Times New Roman" w:cs="Times New Roman"/>
          <w:sz w:val="24"/>
          <w:szCs w:val="24"/>
        </w:rPr>
        <w:br/>
        <w:t>10617545,0 тыс. рублей, или 98,1 процента плановых назначений. Согласно пояснительной записке к законопроекту неисполнение  плановых назначений по налогу в 2015 году связано с сокращением численности работающих и реально</w:t>
      </w:r>
      <w:r w:rsidR="004C228A">
        <w:rPr>
          <w:rFonts w:ascii="Times New Roman" w:hAnsi="Times New Roman" w:cs="Times New Roman"/>
          <w:sz w:val="24"/>
          <w:szCs w:val="24"/>
        </w:rPr>
        <w:t>й</w:t>
      </w:r>
      <w:r w:rsidRPr="001A299F">
        <w:rPr>
          <w:rFonts w:ascii="Times New Roman" w:hAnsi="Times New Roman" w:cs="Times New Roman"/>
          <w:sz w:val="24"/>
          <w:szCs w:val="24"/>
        </w:rPr>
        <w:t xml:space="preserve"> начисленной заработной платы работников предприятий и организаций.</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Прирост поступлений отчетного периода по сравнению с предшествующим отчетным периодом незначительный и составляет 105612,1 тыс. рублей, или 1,0 процент.</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В течение 2015 года в плановые назначения по налогу на доходы физических лиц вносились изменения. Уточненные плановые назначения на 2015 год по налогу составляют 10821131,5 тыс. рублей, что меньше первоначальных плановых назначений на 286884,0 тыс. рублей, или 2,6 процента.</w:t>
      </w:r>
    </w:p>
    <w:p w:rsidR="001A299F" w:rsidRPr="001A299F" w:rsidRDefault="001A299F" w:rsidP="001A29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Поступление за 2015 год акцизов по подакцизным товарам (продукции), производимым на территории Российской Федерации в областной бюджет составляет </w:t>
      </w:r>
      <w:r w:rsidRPr="001A299F">
        <w:rPr>
          <w:rFonts w:ascii="Times New Roman" w:hAnsi="Times New Roman" w:cs="Times New Roman"/>
          <w:sz w:val="24"/>
          <w:szCs w:val="24"/>
        </w:rPr>
        <w:br/>
        <w:t>1793559,0 тыс. рублей, или 113,</w:t>
      </w:r>
      <w:r w:rsidR="004C228A">
        <w:rPr>
          <w:rFonts w:ascii="Times New Roman" w:hAnsi="Times New Roman" w:cs="Times New Roman"/>
          <w:sz w:val="24"/>
          <w:szCs w:val="24"/>
        </w:rPr>
        <w:t>7 процента плановых назначений.</w:t>
      </w:r>
    </w:p>
    <w:p w:rsidR="00264BFF" w:rsidRDefault="00264BF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lastRenderedPageBreak/>
        <w:t xml:space="preserve">Уточненные плановые показатели по данной группе налогов составляют 1576962,1 тыс. рублей, что больше первоначальных плановых назначений на 11889,1 тыс. рублей, или </w:t>
      </w:r>
      <w:r w:rsidRPr="001A299F">
        <w:rPr>
          <w:rFonts w:ascii="Times New Roman" w:eastAsia="Times New Roman" w:hAnsi="Times New Roman" w:cs="Times New Roman"/>
          <w:sz w:val="24"/>
          <w:szCs w:val="24"/>
          <w:lang w:eastAsia="ru-RU"/>
        </w:rPr>
        <w:br/>
        <w:t>0,8 процента. По сравнению с предшествующим отчетным периодом наблюдается увеличение поступлений отчетного периода на 138430,2 тыс. рублей, или 8,4 процента.</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Наибольший объем поступлений - 68,5 процента в общем объеме поступлений по акцизам составляют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1A299F">
        <w:rPr>
          <w:rFonts w:ascii="Times New Roman" w:eastAsia="Times New Roman" w:hAnsi="Times New Roman" w:cs="Times New Roman"/>
          <w:sz w:val="24"/>
          <w:szCs w:val="24"/>
          <w:lang w:eastAsia="ru-RU"/>
        </w:rPr>
        <w:br/>
        <w:t>бюджеты – 1227892,8 тыс. рублей, или 117,9 процента плановых назначений.</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Удельный вес доходов от уплаты акцизов на дизельное топливо,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1A299F">
        <w:rPr>
          <w:rFonts w:ascii="Times New Roman" w:eastAsia="Times New Roman" w:hAnsi="Times New Roman" w:cs="Times New Roman"/>
          <w:sz w:val="24"/>
          <w:szCs w:val="24"/>
          <w:lang w:eastAsia="ru-RU"/>
        </w:rPr>
        <w:br/>
        <w:t>бюджеты в общем объеме поступлений по акцизам составляет 34,7 процента. Исполнение по указанному виду доходов за 2015 год составляет 623257,7 тыс. рублей, или 121,9 процента плановых назначений.</w:t>
      </w:r>
    </w:p>
    <w:p w:rsidR="001A299F" w:rsidRPr="001A299F" w:rsidRDefault="001A299F" w:rsidP="001A299F">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Исполнение по доходам от уплаты акцизов на моторные масла для дизельных и (или) карбюраторных (инжекторных) двигателей, подлежащим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2015 год составляет 16884,5 тыс. рублей при плановых назначениях 13124,0 тыс. рублей, или 128,7 процента плановых назначений.</w:t>
      </w:r>
    </w:p>
    <w:p w:rsidR="001A299F" w:rsidRPr="001A299F" w:rsidRDefault="001A299F" w:rsidP="001A299F">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Поступления по акцизам на пиво, производимое на территории Российской Федерации за 2015 год, составляют 6963,5 тыс. рублей, при плановых назначениях в объеме 5847,0 тыс. рублей, или 11</w:t>
      </w:r>
      <w:r w:rsidR="00F24E67">
        <w:rPr>
          <w:rFonts w:ascii="Times New Roman" w:eastAsia="Times New Roman" w:hAnsi="Times New Roman" w:cs="Times New Roman"/>
          <w:sz w:val="24"/>
          <w:szCs w:val="24"/>
          <w:lang w:eastAsia="ru-RU"/>
        </w:rPr>
        <w:t>9,1</w:t>
      </w:r>
      <w:r w:rsidRPr="001A299F">
        <w:rPr>
          <w:rFonts w:ascii="Times New Roman" w:eastAsia="Times New Roman" w:hAnsi="Times New Roman" w:cs="Times New Roman"/>
          <w:sz w:val="24"/>
          <w:szCs w:val="24"/>
          <w:lang w:eastAsia="ru-RU"/>
        </w:rPr>
        <w:t xml:space="preserve"> процента  плановых назначений.</w:t>
      </w:r>
    </w:p>
    <w:p w:rsidR="001A299F" w:rsidRPr="001A299F" w:rsidRDefault="001A299F" w:rsidP="001A299F">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Объем поступлений налога, взимаемого в связи с применением упрощенной системы налогообложения, за отчетный период составил 1370100,8 тыс. рублей, или 99,8 процента плановых назначений, что выше объема поступлений 2014 года на </w:t>
      </w:r>
      <w:r w:rsidRPr="001A299F">
        <w:rPr>
          <w:rFonts w:ascii="Times New Roman" w:eastAsia="Times New Roman" w:hAnsi="Times New Roman" w:cs="Times New Roman"/>
          <w:sz w:val="24"/>
          <w:szCs w:val="24"/>
          <w:lang w:eastAsia="ru-RU"/>
        </w:rPr>
        <w:br/>
        <w:t>55483,9 тыс. рублей, или 4,2 процента. Недовыполнение плановых назначений 2015 года согласно пояснительной записке к законопроекту связано с сокращением количества субъектов малого предпринимательства.</w:t>
      </w:r>
    </w:p>
    <w:p w:rsidR="001A299F" w:rsidRPr="001A299F" w:rsidRDefault="001A299F" w:rsidP="001A299F">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Уточненные плановые назначения на 2015 год по налогу составляют 1373486,0 тыс. рублей, что на 15000,0 тыс. рублей, или 1,1 процента меньше первоначальных плановых назначений.</w:t>
      </w:r>
    </w:p>
    <w:p w:rsidR="001A299F" w:rsidRPr="001A299F" w:rsidRDefault="001A299F" w:rsidP="001A299F">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Налог на имущество организаций при уточненных плановых назначениях в размере 6206621,7 тыс. рублей, что больше первоначальных плановых назначений на 948483,7 тыс. рублей, поступил в областной бюджет в сумме 6225342,9 тыс. рублей, уровень исполнения - 100,3 процента плановых назначений. По сравнению с 2014 годом прирост поступлений по налогу в 2015 году составляет 1504344,4 тыс. рублей, или 31,9 процента, что связано, согласно пояснительной записке к законопроекту, с частичной отменой федеральных льгот по налогу.</w:t>
      </w:r>
    </w:p>
    <w:p w:rsidR="001A299F" w:rsidRPr="001A299F" w:rsidRDefault="001A299F" w:rsidP="001A299F">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Плановые назначения по транспортному налогу установлены в сумме 781789,0 тыс. рублей, исполнение составило 803744,0 тыс. рублей, или 102,8 процента плановых назначений. Наибольший объем поступлений приходится на транспортный налог с физических лиц – 646109,2 тыс. рублей. Объем поступлений по транспортному налогу с организаций составляет 157634,8 тыс. рублей.</w:t>
      </w:r>
    </w:p>
    <w:p w:rsidR="001A299F" w:rsidRPr="001A299F" w:rsidRDefault="001A299F" w:rsidP="001A299F">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В течение 2015 года в плановые назначения по транспортному налогу изменения не вносились.</w:t>
      </w:r>
    </w:p>
    <w:p w:rsidR="001A299F" w:rsidRPr="001A299F" w:rsidRDefault="004C228A" w:rsidP="001A299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w:t>
      </w:r>
      <w:r w:rsidR="001A299F" w:rsidRPr="001A299F">
        <w:rPr>
          <w:rFonts w:ascii="Times New Roman" w:eastAsia="Times New Roman" w:hAnsi="Times New Roman" w:cs="Times New Roman"/>
          <w:sz w:val="24"/>
          <w:szCs w:val="24"/>
          <w:lang w:eastAsia="ru-RU"/>
        </w:rPr>
        <w:t>ост объема поступлений по сравнению с 2014 годом составляет 90834,8 тыс. рублей, или 12,7 процента.</w:t>
      </w:r>
    </w:p>
    <w:p w:rsidR="001A299F" w:rsidRPr="001A299F"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 xml:space="preserve">Налог на игорный бизнес поступил в областной бюджет в 2015 году в </w:t>
      </w:r>
      <w:r w:rsidRPr="001A299F">
        <w:rPr>
          <w:rFonts w:ascii="Times New Roman" w:hAnsi="Times New Roman" w:cs="Times New Roman"/>
          <w:sz w:val="24"/>
          <w:szCs w:val="24"/>
        </w:rPr>
        <w:br/>
        <w:t>объеме 202,1 тыс. рублей.</w:t>
      </w:r>
    </w:p>
    <w:p w:rsidR="001A299F" w:rsidRPr="001A299F" w:rsidRDefault="001A299F" w:rsidP="001A299F">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Налог на добычу полезных ископаемых при уточненных плановых назначениях в сумме 2136328,0  тыс. рублей, поступил в доход областного бюджета в сумме 2159195,3 тыс. </w:t>
      </w:r>
      <w:r w:rsidRPr="001A299F">
        <w:rPr>
          <w:rFonts w:ascii="Times New Roman" w:eastAsia="Times New Roman" w:hAnsi="Times New Roman" w:cs="Times New Roman"/>
          <w:sz w:val="24"/>
          <w:szCs w:val="24"/>
          <w:lang w:eastAsia="ru-RU"/>
        </w:rPr>
        <w:lastRenderedPageBreak/>
        <w:t xml:space="preserve">рублей, или 101,1 процента плановых назначений, что выше уровня поступлений 2014 года на 374266,3 тыс. рублей, или 21,0 процент (в связи с увеличением цены на золото). В плановые назначения по налогу в течение 2015 года вносились изменения. Уточненные плановые назначения по сравнению с первоначальными плановыми назначениями по налогу увеличены на 480984,0 </w:t>
      </w:r>
      <w:r w:rsidR="004C228A">
        <w:rPr>
          <w:rFonts w:ascii="Times New Roman" w:eastAsia="Times New Roman" w:hAnsi="Times New Roman" w:cs="Times New Roman"/>
          <w:sz w:val="24"/>
          <w:szCs w:val="24"/>
          <w:lang w:eastAsia="ru-RU"/>
        </w:rPr>
        <w:t>тыс. рублей, или 29,1 процента.</w:t>
      </w:r>
    </w:p>
    <w:p w:rsidR="001A299F" w:rsidRPr="001A299F" w:rsidRDefault="001A299F" w:rsidP="001A299F">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Государственная пошлина поступила в областной бюджет в 2015 году в сумме 108016,0 тыс. рублей при плановых назначениях 96869,0 тыс. рублей, или 111,5 процента плановых назначений, что выше уровня 2014 года на 78856,9 тыс. рублей, или в 3,7 раза. В плановые назначения по поступлениям государственной пошлины в течение </w:t>
      </w:r>
      <w:r w:rsidRPr="001A299F">
        <w:rPr>
          <w:rFonts w:ascii="Times New Roman" w:eastAsia="Times New Roman" w:hAnsi="Times New Roman" w:cs="Times New Roman"/>
          <w:sz w:val="24"/>
          <w:szCs w:val="24"/>
          <w:lang w:eastAsia="ru-RU"/>
        </w:rPr>
        <w:br/>
        <w:t>2015 года вносились изменения. Уточненные плановые назначения по сравнению с первоначальными плановыми назначениями по государственной пошлине увеличены на 68787</w:t>
      </w:r>
      <w:r w:rsidR="004C228A">
        <w:rPr>
          <w:rFonts w:ascii="Times New Roman" w:eastAsia="Times New Roman" w:hAnsi="Times New Roman" w:cs="Times New Roman"/>
          <w:sz w:val="24"/>
          <w:szCs w:val="24"/>
          <w:lang w:eastAsia="ru-RU"/>
        </w:rPr>
        <w:t>,0 тыс. рублей, или в 3,4 раза.</w:t>
      </w:r>
    </w:p>
    <w:p w:rsidR="001A299F" w:rsidRPr="001A299F" w:rsidRDefault="001A299F" w:rsidP="001A299F">
      <w:pPr>
        <w:tabs>
          <w:tab w:val="left" w:pos="2700"/>
        </w:tabs>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 xml:space="preserve">В 2015 году в областной бюджет поступали платежи в счет погашения задолженности по отмененным налогам, сборам и иным обязательным платежам  в сумме 5,1 тыс. рублей, в том числе наибольший объем составили поступления по налогам на имущество – 2,5 тыс. рублей, налогу с владельцев транспортных средств и налогу на приобретение автотранспортных средств – 1,1 тыс. рублей, налогу на пользователей автомобильных </w:t>
      </w:r>
      <w:r w:rsidRPr="001A299F">
        <w:rPr>
          <w:rFonts w:ascii="Times New Roman" w:hAnsi="Times New Roman" w:cs="Times New Roman"/>
          <w:sz w:val="24"/>
          <w:szCs w:val="24"/>
        </w:rPr>
        <w:br/>
        <w:t>дорог – 0,9 тыс. рублей.</w:t>
      </w:r>
    </w:p>
    <w:p w:rsidR="001A299F" w:rsidRPr="00264BFF" w:rsidRDefault="001A299F" w:rsidP="001A299F">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 протяжении последних пяти лет (2011-2015 годы) наблюдается тенденция устойчивого роста объема поступлений в доход областного бюджета основных налоговых доходов. Однако по отдельным налоговым доходам областного бюджета в 2013-2014 годах наблюдается снижение объема поступлений по сравнению с предыдущими отчетными годами. В 2015 году по сравнению с 2014 годом по всем налоговым доходам областного бюджета наблюдается рост объема поступлений. Динамика объема поступлений основных налоговых доходов областного бюджета за 2011-2015 годы представлена в диаграмме на </w:t>
      </w:r>
      <w:r w:rsidRPr="00264BFF">
        <w:rPr>
          <w:rFonts w:ascii="Times New Roman" w:eastAsia="Times New Roman" w:hAnsi="Times New Roman" w:cs="Times New Roman"/>
          <w:sz w:val="24"/>
          <w:szCs w:val="24"/>
          <w:lang w:eastAsia="ru-RU"/>
        </w:rPr>
        <w:t>рисунке 20.</w:t>
      </w:r>
    </w:p>
    <w:p w:rsidR="001A299F" w:rsidRPr="001A299F" w:rsidRDefault="001A299F" w:rsidP="001A29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noProof/>
          <w:color w:val="DBE5F1"/>
          <w:sz w:val="24"/>
          <w:szCs w:val="24"/>
          <w:lang w:eastAsia="ru-RU"/>
        </w:rPr>
        <w:drawing>
          <wp:inline distT="0" distB="0" distL="0" distR="0" wp14:anchorId="5AF86657" wp14:editId="067AF1BF">
            <wp:extent cx="6134100" cy="421005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A299F" w:rsidRPr="001A299F" w:rsidRDefault="001A299F" w:rsidP="001A299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264BFF">
        <w:rPr>
          <w:rFonts w:ascii="Times New Roman" w:eastAsia="Times New Roman" w:hAnsi="Times New Roman" w:cs="Times New Roman"/>
          <w:b/>
          <w:sz w:val="24"/>
          <w:szCs w:val="24"/>
          <w:lang w:eastAsia="ru-RU"/>
        </w:rPr>
        <w:t>Рис. 20</w:t>
      </w:r>
      <w:r w:rsidRPr="00264BFF">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b/>
          <w:sz w:val="24"/>
          <w:szCs w:val="24"/>
          <w:lang w:eastAsia="ru-RU"/>
        </w:rPr>
        <w:t>Динамика объема поступлений основных налоговых доходов областного бюджета за 2011-2015 годы, млн. рублей</w:t>
      </w:r>
    </w:p>
    <w:p w:rsidR="001A299F" w:rsidRPr="001A299F" w:rsidRDefault="001A299F" w:rsidP="001A299F">
      <w:pPr>
        <w:spacing w:after="0" w:line="240" w:lineRule="auto"/>
        <w:ind w:firstLine="720"/>
        <w:jc w:val="both"/>
        <w:rPr>
          <w:rFonts w:ascii="Times New Roman" w:hAnsi="Times New Roman" w:cs="Times New Roman"/>
          <w:sz w:val="24"/>
          <w:szCs w:val="24"/>
        </w:rPr>
      </w:pPr>
    </w:p>
    <w:p w:rsidR="001A299F" w:rsidRPr="001A299F" w:rsidRDefault="001A299F" w:rsidP="001A299F">
      <w:pPr>
        <w:tabs>
          <w:tab w:val="left" w:pos="2700"/>
        </w:tabs>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lastRenderedPageBreak/>
        <w:t xml:space="preserve">Неналоговые доходы поступили за 2015 год в сумме 763754,8 тыс. рублей, при утвержденных бюджетных назначениях 714199,1 тыс. рублей, или 106,9 процента плановых назначений. Плановые назначения по неналоговым доходам перевыполнены  по всей группе платежей, в том числе по доходам от использования имущества исполнение составило </w:t>
      </w:r>
      <w:r w:rsidRPr="001A299F">
        <w:rPr>
          <w:rFonts w:ascii="Times New Roman" w:hAnsi="Times New Roman" w:cs="Times New Roman"/>
          <w:sz w:val="24"/>
          <w:szCs w:val="24"/>
        </w:rPr>
        <w:br/>
        <w:t xml:space="preserve">106,4 процента плановых назначений, платежам при пользовании природными ресурсами - 105,7 процента, доходам от оказания платных услуг (работ) и компенсации затрат государства – 109,9 процента, доходам от продажи материальных и нематериальных </w:t>
      </w:r>
      <w:r w:rsidRPr="001A299F">
        <w:rPr>
          <w:rFonts w:ascii="Times New Roman" w:hAnsi="Times New Roman" w:cs="Times New Roman"/>
          <w:sz w:val="24"/>
          <w:szCs w:val="24"/>
        </w:rPr>
        <w:br/>
        <w:t>активов – 105,4 процента, административным платежам и сборам – 116,5 процента, штрафам, санкциям, возмещению ущерба – 107,6 процента.</w:t>
      </w:r>
    </w:p>
    <w:p w:rsidR="001A299F" w:rsidRPr="001A299F"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Структура неналоговых доходов областного бюджета за 2015 год характеризуется высокой долей штрафов, санкций, возмещения ущерба – 40,5 процента в общем объеме поступивших неналоговых доходов, платежей при пользовании природными ресурсами – 23,8 процента, а также доходов от использования имущества, находящегося в государственной собственности – 13,9 процента, доходов от оказания платных услуг (работ) и компенсации затрат государства – 12,4  процента.</w:t>
      </w:r>
    </w:p>
    <w:p w:rsidR="001A299F" w:rsidRPr="00264BFF" w:rsidRDefault="001A299F" w:rsidP="001A299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Структура неналоговых доходов, поступивших в областной бюджет в 2015 году, представлена диаграммой на </w:t>
      </w:r>
      <w:r w:rsidRPr="00264BFF">
        <w:rPr>
          <w:rFonts w:ascii="Times New Roman" w:eastAsia="Times New Roman" w:hAnsi="Times New Roman" w:cs="Times New Roman"/>
          <w:sz w:val="24"/>
          <w:szCs w:val="24"/>
          <w:lang w:eastAsia="ru-RU"/>
        </w:rPr>
        <w:t>рисунке 21.</w:t>
      </w:r>
    </w:p>
    <w:p w:rsidR="001A299F" w:rsidRPr="001A299F" w:rsidRDefault="001A299F" w:rsidP="001A299F">
      <w:pPr>
        <w:tabs>
          <w:tab w:val="left" w:pos="2700"/>
        </w:tabs>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 xml:space="preserve">Платежи по штрафам, санкциям, возмещению ущерба поступили в областной бюджет в 2015 году в объеме 309420,1 тыс. рублей, при плановых назначениях </w:t>
      </w:r>
      <w:r w:rsidRPr="001A299F">
        <w:rPr>
          <w:rFonts w:ascii="Times New Roman" w:hAnsi="Times New Roman" w:cs="Times New Roman"/>
          <w:sz w:val="24"/>
          <w:szCs w:val="24"/>
        </w:rPr>
        <w:br/>
        <w:t>287566,7 тыс. рублей. Наибольший объем поступлений составляют денежные взыскания (штрафы) за правонарушения в области дорожного движения – 277014,4 тыс. рублей, при плановых назначениях 264758,0 тыс. рублей, или 104,6 процента плановых назначений.</w:t>
      </w:r>
    </w:p>
    <w:p w:rsidR="001A299F" w:rsidRPr="0073338B" w:rsidRDefault="001A299F" w:rsidP="001A299F">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Уточненные плановые назначения по штрафам, санкциям, возмещению ущерба увеличены по сравнению с первоначальными плановыми назначениями на 81337,4 тыс. рублей, или 39,4 процента. По сравнению с 2014 годом объем поступлений в 2015 году ниже на 54600,1 т</w:t>
      </w:r>
      <w:r w:rsidR="0073338B">
        <w:rPr>
          <w:rFonts w:ascii="Times New Roman" w:eastAsia="Times New Roman" w:hAnsi="Times New Roman" w:cs="Times New Roman"/>
          <w:sz w:val="24"/>
          <w:szCs w:val="24"/>
          <w:lang w:eastAsia="ru-RU"/>
        </w:rPr>
        <w:t>ыс. рублей, или 15,0 процентов.</w:t>
      </w:r>
    </w:p>
    <w:p w:rsidR="001A299F" w:rsidRPr="001A299F" w:rsidRDefault="001A299F" w:rsidP="001A299F">
      <w:pPr>
        <w:tabs>
          <w:tab w:val="left" w:pos="2700"/>
        </w:tabs>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noProof/>
          <w:sz w:val="24"/>
          <w:szCs w:val="24"/>
          <w:lang w:eastAsia="ru-RU"/>
        </w:rPr>
        <w:drawing>
          <wp:inline distT="0" distB="0" distL="0" distR="0" wp14:anchorId="07EF9CF6" wp14:editId="0E654889">
            <wp:extent cx="5857875" cy="42862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A299F" w:rsidRPr="001A299F" w:rsidRDefault="001A299F" w:rsidP="001A299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A299F" w:rsidRPr="001A299F" w:rsidRDefault="001A299F" w:rsidP="001A299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4BFF">
        <w:rPr>
          <w:rFonts w:ascii="Times New Roman" w:eastAsia="Times New Roman" w:hAnsi="Times New Roman" w:cs="Times New Roman"/>
          <w:b/>
          <w:sz w:val="24"/>
          <w:szCs w:val="24"/>
          <w:lang w:eastAsia="ru-RU"/>
        </w:rPr>
        <w:t xml:space="preserve">Рис. 21– </w:t>
      </w:r>
      <w:r w:rsidRPr="001A299F">
        <w:rPr>
          <w:rFonts w:ascii="Times New Roman" w:eastAsia="Times New Roman" w:hAnsi="Times New Roman" w:cs="Times New Roman"/>
          <w:b/>
          <w:sz w:val="24"/>
          <w:szCs w:val="24"/>
          <w:lang w:eastAsia="ru-RU"/>
        </w:rPr>
        <w:t xml:space="preserve">Структура неналоговых доходов областного бюджета, поступивших в </w:t>
      </w:r>
      <w:r w:rsidRPr="001A299F">
        <w:rPr>
          <w:rFonts w:ascii="Times New Roman" w:eastAsia="Times New Roman" w:hAnsi="Times New Roman" w:cs="Times New Roman"/>
          <w:b/>
          <w:sz w:val="24"/>
          <w:szCs w:val="24"/>
          <w:lang w:eastAsia="ru-RU"/>
        </w:rPr>
        <w:br/>
        <w:t>2015 году, в процентах</w:t>
      </w:r>
    </w:p>
    <w:p w:rsidR="001A299F" w:rsidRPr="001A299F" w:rsidRDefault="001A299F" w:rsidP="001A299F">
      <w:pPr>
        <w:tabs>
          <w:tab w:val="left" w:pos="2700"/>
        </w:tabs>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lastRenderedPageBreak/>
        <w:t xml:space="preserve">Платежи при пользовании природными ресурсами за 2015 год исполнены в </w:t>
      </w:r>
      <w:r w:rsidRPr="001A299F">
        <w:rPr>
          <w:rFonts w:ascii="Times New Roman" w:hAnsi="Times New Roman" w:cs="Times New Roman"/>
          <w:sz w:val="24"/>
          <w:szCs w:val="24"/>
        </w:rPr>
        <w:br/>
        <w:t xml:space="preserve">объеме 181416,5 тыс. рублей, при плановых назначениях 171606,0 тыс. рублей, или </w:t>
      </w:r>
      <w:r w:rsidRPr="001A299F">
        <w:rPr>
          <w:rFonts w:ascii="Times New Roman" w:hAnsi="Times New Roman" w:cs="Times New Roman"/>
          <w:sz w:val="24"/>
          <w:szCs w:val="24"/>
        </w:rPr>
        <w:br/>
        <w:t>105,7 процента плановых назначений. Наибольший объем составили поступления платы за использование лесов – 98409,4 тыс. рублей, или 105,0 процентов плановых назначений (плановые назначения – 93717,0 тыс. рублей), платы за негативное воздействие на окружающую среду – 45943,4 тыс. рублей, при плановых назначениях – 44316,0 тыс. рублей, или 103,7 процента плановых назначений, платежей при пользовании недрами – 37063,7 тыс. рублей, при плановых назначениях 33573,0 тыс. рублей, или 110,4 процента.</w:t>
      </w:r>
    </w:p>
    <w:p w:rsidR="001A299F" w:rsidRPr="001A299F" w:rsidRDefault="001A299F" w:rsidP="001A299F">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 xml:space="preserve">По сравнению с поступлениями 2014 года в 2015 году по платежам при пользовании природными ресурсами наблюдается снижение объема поступлений на 40588,4 тыс. рублей, или 18,3 процента. </w:t>
      </w:r>
      <w:r w:rsidRPr="001A299F">
        <w:rPr>
          <w:rFonts w:ascii="Times New Roman" w:eastAsia="Times New Roman" w:hAnsi="Times New Roman" w:cs="Times New Roman"/>
          <w:sz w:val="24"/>
          <w:szCs w:val="24"/>
          <w:lang w:eastAsia="ru-RU"/>
        </w:rPr>
        <w:t>Уточненные плановые назначения по платежам увеличены по сравнению с первоначальными плановыми назначениями на 21898,0 тыс. рублей, или 14,6 процента.</w:t>
      </w:r>
    </w:p>
    <w:p w:rsidR="008C38C7" w:rsidRDefault="001A299F" w:rsidP="001A299F">
      <w:pPr>
        <w:spacing w:after="0" w:line="240" w:lineRule="auto"/>
        <w:ind w:firstLine="720"/>
        <w:jc w:val="both"/>
        <w:rPr>
          <w:rFonts w:ascii="Times New Roman" w:eastAsia="Times New Roman" w:hAnsi="Times New Roman" w:cs="Times New Roman"/>
          <w:sz w:val="24"/>
          <w:szCs w:val="24"/>
          <w:lang w:eastAsia="ru-RU"/>
        </w:rPr>
      </w:pPr>
      <w:r w:rsidRPr="008B3789">
        <w:rPr>
          <w:rFonts w:ascii="Times New Roman" w:hAnsi="Times New Roman" w:cs="Times New Roman"/>
          <w:sz w:val="24"/>
          <w:szCs w:val="24"/>
        </w:rPr>
        <w:t>Доходы от использования</w:t>
      </w:r>
      <w:r w:rsidRPr="001A299F">
        <w:rPr>
          <w:rFonts w:ascii="Times New Roman" w:hAnsi="Times New Roman" w:cs="Times New Roman"/>
          <w:sz w:val="24"/>
          <w:szCs w:val="24"/>
        </w:rPr>
        <w:t xml:space="preserve"> имущества, находящегося в государственной собственности, исполнены за 2015 год в сумме 106716,4 тыс. рублей при плановых назначениях 100294,7 тыс. рублей, или 106,4 процента плановых назначений. По сравнению с поступлениями 2014 года в 2015 году наблюдается увеличение  объема поступлений на 33039,0 тыс. рублей, или 44,8 процента. </w:t>
      </w:r>
      <w:r w:rsidRPr="001A299F">
        <w:rPr>
          <w:rFonts w:ascii="Times New Roman" w:eastAsia="Times New Roman" w:hAnsi="Times New Roman" w:cs="Times New Roman"/>
          <w:sz w:val="24"/>
          <w:szCs w:val="24"/>
          <w:lang w:eastAsia="ru-RU"/>
        </w:rPr>
        <w:t xml:space="preserve">Уточненные плановые назначения увеличены по сравнению с первоначальными плановыми назначениями на 48727,8 тыс. рублей, или в </w:t>
      </w:r>
      <w:r w:rsidRPr="001A299F">
        <w:rPr>
          <w:rFonts w:ascii="Times New Roman" w:eastAsia="Times New Roman" w:hAnsi="Times New Roman" w:cs="Times New Roman"/>
          <w:sz w:val="24"/>
          <w:szCs w:val="24"/>
          <w:lang w:eastAsia="ru-RU"/>
        </w:rPr>
        <w:br/>
        <w:t xml:space="preserve">1,9 раза. </w:t>
      </w:r>
      <w:r w:rsidR="008C38C7">
        <w:rPr>
          <w:rFonts w:ascii="Times New Roman" w:eastAsia="Times New Roman" w:hAnsi="Times New Roman" w:cs="Times New Roman"/>
          <w:sz w:val="24"/>
          <w:szCs w:val="24"/>
          <w:lang w:eastAsia="ru-RU"/>
        </w:rPr>
        <w:t xml:space="preserve">В разрезе отдельных видов исполнение по доходам </w:t>
      </w:r>
      <w:r w:rsidR="008C38C7" w:rsidRPr="001A299F">
        <w:rPr>
          <w:rFonts w:ascii="Times New Roman" w:hAnsi="Times New Roman" w:cs="Times New Roman"/>
          <w:sz w:val="24"/>
          <w:szCs w:val="24"/>
        </w:rPr>
        <w:t>от использования имущества, находящегося в государственной собственности,</w:t>
      </w:r>
      <w:r w:rsidR="008C38C7">
        <w:rPr>
          <w:rFonts w:ascii="Times New Roman" w:hAnsi="Times New Roman" w:cs="Times New Roman"/>
          <w:sz w:val="24"/>
          <w:szCs w:val="24"/>
        </w:rPr>
        <w:t xml:space="preserve"> составило:</w:t>
      </w:r>
    </w:p>
    <w:p w:rsidR="008C38C7" w:rsidRPr="008C38C7" w:rsidRDefault="008C38C7" w:rsidP="008C38C7">
      <w:pPr>
        <w:pStyle w:val="ad"/>
        <w:ind w:firstLine="709"/>
        <w:rPr>
          <w:b w:val="0"/>
        </w:rPr>
      </w:pPr>
      <w:r w:rsidRPr="008C38C7">
        <w:rPr>
          <w:b w:val="0"/>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составили 5274,9 тыс. рублей, при бюджетных назначениях 5274,9 тыс. рублей. В 2015 году в собственности Амурской области находились акции (доли) 12 хозяйственных обществ. </w:t>
      </w:r>
      <w:r w:rsidRPr="008C38C7">
        <w:rPr>
          <w:b w:val="0"/>
        </w:rPr>
        <w:t xml:space="preserve">По итогам работы за 2014 год 6 хозяйственных обществ получили прибыль, из них общими собраниями акционеров </w:t>
      </w:r>
      <w:r w:rsidR="008B3789">
        <w:rPr>
          <w:b w:val="0"/>
        </w:rPr>
        <w:t>шести</w:t>
      </w:r>
      <w:r w:rsidRPr="008C38C7">
        <w:rPr>
          <w:b w:val="0"/>
        </w:rPr>
        <w:t xml:space="preserve"> обществ приняты решения о выплате дивидендов (ОАО «Амурский крестьянский центр» - 4,9 тыс. рублей, ОАО «Амурское ипотечное агентство» - 2440,0 тыс. рублей, «Агентство кредитных гарантий АПК» - 610,0 тыс. рублей, ОАО «Мазановское дорожное управление» - 2020,0 тыс. рублей, ОАО «Михайловское дорожное управление» - 160,0 тыс. рублей, ОАО «Ромненское дорожное управление» - 40,0 тыс. рублей);</w:t>
      </w:r>
    </w:p>
    <w:p w:rsidR="008C38C7" w:rsidRPr="008C38C7" w:rsidRDefault="008C38C7" w:rsidP="008C38C7">
      <w:pPr>
        <w:spacing w:after="0" w:line="240" w:lineRule="auto"/>
        <w:ind w:firstLine="709"/>
        <w:jc w:val="both"/>
        <w:rPr>
          <w:rFonts w:ascii="Times New Roman" w:hAnsi="Times New Roman" w:cs="Times New Roman"/>
          <w:sz w:val="24"/>
          <w:szCs w:val="24"/>
        </w:rPr>
      </w:pPr>
      <w:r w:rsidRPr="008C38C7">
        <w:rPr>
          <w:rFonts w:ascii="Times New Roman" w:hAnsi="Times New Roman" w:cs="Times New Roman"/>
          <w:sz w:val="24"/>
          <w:szCs w:val="24"/>
        </w:rPr>
        <w:t>-проценты, полученные от предоставления бюджетных кредитов внутри страны, составили 5572,8 тыс. рублей, при утвержденных назначениях 5387,5 тыс. рублей (проценты, полученные от предоставления бюджетных кредитов ГУП Амурской области «Агро» на кредитование сезонных затрат в сельском хозяйстве в сумме 2183,7 тыс. рублей, проценты, полученные от предоставления из областного бюджета бюджетам муниципальных районов, городских округов бюджетных кредитов для частичного покрытия дефицитов бюджетов муниципальных образований области в сумме 3389,1 тыс. рублей);</w:t>
      </w:r>
    </w:p>
    <w:p w:rsidR="008C38C7" w:rsidRPr="008C38C7" w:rsidRDefault="008C38C7" w:rsidP="008C38C7">
      <w:pPr>
        <w:spacing w:after="0" w:line="240" w:lineRule="auto"/>
        <w:ind w:firstLine="709"/>
        <w:jc w:val="both"/>
        <w:rPr>
          <w:rFonts w:ascii="Times New Roman" w:hAnsi="Times New Roman" w:cs="Times New Roman"/>
          <w:bCs/>
          <w:iCs/>
          <w:sz w:val="24"/>
          <w:szCs w:val="24"/>
        </w:rPr>
      </w:pPr>
      <w:r w:rsidRPr="008C38C7">
        <w:rPr>
          <w:rFonts w:ascii="Times New Roman" w:hAnsi="Times New Roman" w:cs="Times New Roman"/>
          <w:sz w:val="24"/>
          <w:szCs w:val="24"/>
        </w:rPr>
        <w:t>-</w:t>
      </w:r>
      <w:r w:rsidRPr="008C38C7">
        <w:rPr>
          <w:rFonts w:ascii="Times New Roman" w:hAnsi="Times New Roman" w:cs="Times New Roman"/>
          <w:bCs/>
          <w:iCs/>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8C38C7">
        <w:rPr>
          <w:rFonts w:ascii="Times New Roman" w:hAnsi="Times New Roman" w:cs="Times New Roman"/>
          <w:sz w:val="24"/>
          <w:szCs w:val="24"/>
        </w:rPr>
        <w:t xml:space="preserve">составили </w:t>
      </w:r>
      <w:r w:rsidRPr="008C38C7">
        <w:rPr>
          <w:rFonts w:ascii="Times New Roman" w:hAnsi="Times New Roman" w:cs="Times New Roman"/>
          <w:sz w:val="24"/>
          <w:szCs w:val="24"/>
        </w:rPr>
        <w:br/>
        <w:t>90613,2 тыс. рублей, при утвержденных бюджетных назначениях 84377,2 тыс. рублей. Доля указанных доходов в доходах от использования имущества, находящегося в государственной и муниципальной собственности, составила 84,9 процента;</w:t>
      </w:r>
    </w:p>
    <w:p w:rsidR="008C38C7" w:rsidRPr="008C38C7" w:rsidRDefault="008C38C7" w:rsidP="008C38C7">
      <w:pPr>
        <w:spacing w:after="0" w:line="240" w:lineRule="auto"/>
        <w:ind w:firstLine="709"/>
        <w:jc w:val="both"/>
        <w:rPr>
          <w:rFonts w:ascii="Times New Roman" w:hAnsi="Times New Roman" w:cs="Times New Roman"/>
          <w:sz w:val="24"/>
          <w:szCs w:val="24"/>
        </w:rPr>
      </w:pPr>
      <w:r w:rsidRPr="008C38C7">
        <w:rPr>
          <w:rFonts w:ascii="Times New Roman" w:hAnsi="Times New Roman" w:cs="Times New Roman"/>
          <w:bCs/>
          <w:iCs/>
          <w:sz w:val="24"/>
          <w:szCs w:val="24"/>
        </w:rPr>
        <w:t xml:space="preserve">-платежи от государственных и муниципальных унитарных предприятий, </w:t>
      </w:r>
      <w:r w:rsidRPr="008C38C7">
        <w:rPr>
          <w:rFonts w:ascii="Times New Roman" w:hAnsi="Times New Roman" w:cs="Times New Roman"/>
          <w:sz w:val="24"/>
          <w:szCs w:val="24"/>
        </w:rPr>
        <w:t>составили 5180,3 тыс. рублей, при утвержденных бюджетных назначениях 5180,0 тыс. рублей (ГУП Амурской области «Аэропорт Благовещенск» - 1000,0 тыс. рублей, ГУП Амурской области «Улгэн» - 16,3 тыс. рублей, ГУП Амурской области «Реабилитационно–технический центр по обслуживанию инвалидов» - 4000,0 тыс. рублей, казенное предприятие Амурской области «Амурский комбинат» - 164,0 тыс. рублей);</w:t>
      </w:r>
    </w:p>
    <w:p w:rsidR="008C38C7" w:rsidRPr="008C38C7" w:rsidRDefault="008C38C7" w:rsidP="008C38C7">
      <w:pPr>
        <w:spacing w:after="0" w:line="240" w:lineRule="auto"/>
        <w:ind w:firstLine="709"/>
        <w:jc w:val="both"/>
        <w:rPr>
          <w:rFonts w:ascii="Times New Roman" w:hAnsi="Times New Roman" w:cs="Times New Roman"/>
          <w:bCs/>
          <w:iCs/>
          <w:sz w:val="24"/>
          <w:szCs w:val="24"/>
        </w:rPr>
      </w:pPr>
      <w:r w:rsidRPr="008C38C7">
        <w:rPr>
          <w:rFonts w:ascii="Times New Roman" w:hAnsi="Times New Roman" w:cs="Times New Roman"/>
          <w:bCs/>
          <w:iCs/>
          <w:sz w:val="24"/>
          <w:szCs w:val="24"/>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w:t>
      </w:r>
      <w:r w:rsidRPr="008C38C7">
        <w:rPr>
          <w:rFonts w:ascii="Times New Roman" w:hAnsi="Times New Roman" w:cs="Times New Roman"/>
          <w:bCs/>
          <w:iCs/>
          <w:sz w:val="24"/>
          <w:szCs w:val="24"/>
        </w:rPr>
        <w:lastRenderedPageBreak/>
        <w:t xml:space="preserve">учреждений, а также имущества государственных и муниципальных унитарных предприятий, в том числе казенных), </w:t>
      </w:r>
      <w:r w:rsidRPr="008C38C7">
        <w:rPr>
          <w:rFonts w:ascii="Times New Roman" w:hAnsi="Times New Roman" w:cs="Times New Roman"/>
          <w:sz w:val="24"/>
          <w:szCs w:val="24"/>
        </w:rPr>
        <w:t>составили 75,2 тыс. рублей, при утвержденных бюджетных назначениях 75,2 тыс. рублей.</w:t>
      </w:r>
    </w:p>
    <w:p w:rsidR="008C38C7" w:rsidRPr="008C38C7" w:rsidRDefault="008C38C7" w:rsidP="008C38C7">
      <w:pPr>
        <w:spacing w:after="0" w:line="240" w:lineRule="auto"/>
        <w:ind w:firstLine="709"/>
        <w:jc w:val="both"/>
        <w:rPr>
          <w:rFonts w:ascii="Times New Roman" w:hAnsi="Times New Roman" w:cs="Times New Roman"/>
          <w:sz w:val="24"/>
          <w:szCs w:val="24"/>
        </w:rPr>
      </w:pPr>
      <w:r w:rsidRPr="008C38C7">
        <w:rPr>
          <w:rFonts w:ascii="Times New Roman" w:hAnsi="Times New Roman" w:cs="Times New Roman"/>
          <w:sz w:val="24"/>
          <w:szCs w:val="24"/>
        </w:rPr>
        <w:t>Удельный вес доходов от использования имущества, находящегося в государственной и муниципальной собственности, в налоговых и неналоговых доходах областного бюджета в 2015 году составил 0,3 процента.</w:t>
      </w:r>
    </w:p>
    <w:p w:rsidR="001A299F" w:rsidRPr="001A299F" w:rsidRDefault="001A299F" w:rsidP="001A299F">
      <w:pPr>
        <w:tabs>
          <w:tab w:val="left" w:pos="2700"/>
        </w:tabs>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 xml:space="preserve">Исполнение за 2015 год по доходам от оказания платных услуг (работ) и компенсации затрат государства составляет 95130,6 тыс. рублей при плановых назначениях 86580,3 тыс. рублей, или 109,9 процента плановых назначений, что выше объема поступлений 2014 года - на 2255,0 тыс. рублей, или 2,4 процента. Наибольший объем составили  поступления доходов от компенсации затрат государства - 80373,9 тыс. рублей при плановых назначениях </w:t>
      </w:r>
      <w:r w:rsidRPr="001A299F">
        <w:rPr>
          <w:rFonts w:ascii="Times New Roman" w:hAnsi="Times New Roman" w:cs="Times New Roman"/>
          <w:sz w:val="24"/>
          <w:szCs w:val="24"/>
        </w:rPr>
        <w:br/>
        <w:t xml:space="preserve">74259,5 тыс. рублей, или 108,2 процента плановых назначений. Исполнение по доходам от оказания платных услуг (работ) составляет  14756,7 тыс. рублей при плановых назначениях 12320,8 тыс. рублей или 119,8 процента плановых назначений. </w:t>
      </w:r>
      <w:r w:rsidRPr="001A299F">
        <w:rPr>
          <w:rFonts w:ascii="Times New Roman" w:eastAsia="Times New Roman" w:hAnsi="Times New Roman" w:cs="Times New Roman"/>
          <w:sz w:val="24"/>
          <w:szCs w:val="24"/>
          <w:lang w:eastAsia="ru-RU"/>
        </w:rPr>
        <w:t xml:space="preserve">Уточненные плановые назначения по </w:t>
      </w:r>
      <w:r w:rsidRPr="001A299F">
        <w:rPr>
          <w:rFonts w:ascii="Times New Roman" w:hAnsi="Times New Roman" w:cs="Times New Roman"/>
          <w:sz w:val="24"/>
          <w:szCs w:val="24"/>
        </w:rPr>
        <w:t>доходам от оказания платных услуг (работ) и компенсации затрат государства</w:t>
      </w:r>
      <w:r w:rsidRPr="001A299F">
        <w:rPr>
          <w:rFonts w:ascii="Times New Roman" w:eastAsia="Times New Roman" w:hAnsi="Times New Roman" w:cs="Times New Roman"/>
          <w:sz w:val="24"/>
          <w:szCs w:val="24"/>
          <w:lang w:eastAsia="ru-RU"/>
        </w:rPr>
        <w:t xml:space="preserve"> увеличены по сравнению с первоначальными плановыми назначениями на 26003,0 тыс. рублей, или 42,9 процента.</w:t>
      </w:r>
    </w:p>
    <w:p w:rsidR="001840BC" w:rsidRDefault="001A299F" w:rsidP="001840BC">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Доходы от продажи материальных и нематериальных активов </w:t>
      </w:r>
      <w:r w:rsidRPr="001840BC">
        <w:rPr>
          <w:rFonts w:ascii="Times New Roman" w:hAnsi="Times New Roman" w:cs="Times New Roman"/>
          <w:sz w:val="24"/>
          <w:szCs w:val="24"/>
        </w:rPr>
        <w:t>поступили в областной бюджет в 2015 году в объеме 68208,1 тыс. рублей при плановых назначениях 64715,3 тыс. рублей, в том числе доходы от реализации имущества, находящегося в государственной собственности, поступили в областной бюджет в объеме 53271,3 тыс. рублей</w:t>
      </w:r>
      <w:r w:rsidR="001840BC" w:rsidRPr="001840BC">
        <w:rPr>
          <w:rFonts w:ascii="Times New Roman" w:hAnsi="Times New Roman" w:cs="Times New Roman"/>
          <w:sz w:val="24"/>
          <w:szCs w:val="24"/>
        </w:rPr>
        <w:t xml:space="preserve"> (доходы от реализации основных средств в сумме 53200,2 тыс. рублей, доходы от реализации материальных запасов в сумме 71,1 тыс. рублей)</w:t>
      </w:r>
      <w:r w:rsidRPr="001840BC">
        <w:rPr>
          <w:rFonts w:ascii="Times New Roman" w:hAnsi="Times New Roman" w:cs="Times New Roman"/>
          <w:sz w:val="24"/>
          <w:szCs w:val="24"/>
        </w:rPr>
        <w:t xml:space="preserve"> при плановых назначениях 49883,3 тыс. рублей, доходы от продажи земельных участков, находящихся в государственной собственности – 14936,8 тыс. рублей при плановых назначениях 14832,0 тыс. рублей.</w:t>
      </w:r>
    </w:p>
    <w:p w:rsidR="001840BC" w:rsidRPr="001840BC" w:rsidRDefault="001840BC" w:rsidP="001840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40BC">
        <w:rPr>
          <w:rFonts w:ascii="Times New Roman" w:eastAsia="Times New Roman" w:hAnsi="Times New Roman" w:cs="Times New Roman"/>
          <w:sz w:val="24"/>
          <w:szCs w:val="24"/>
          <w:lang w:eastAsia="ru-RU"/>
        </w:rPr>
        <w:t xml:space="preserve">Доходы от реализации имущества, находящегося в государственной собственности, поступили в областной бюджет в объеме 53200,2 тыс. рублей в результате реализации основных средств (объектов недвижимого имущества) государственными бюджетными и автономными учреждениями Амурской области. </w:t>
      </w:r>
      <w:r>
        <w:rPr>
          <w:rFonts w:ascii="Times New Roman" w:eastAsia="Times New Roman" w:hAnsi="Times New Roman" w:cs="Times New Roman"/>
          <w:sz w:val="24"/>
          <w:szCs w:val="24"/>
          <w:lang w:eastAsia="ru-RU"/>
        </w:rPr>
        <w:t>Контрольно-счетная палата области обращает внимание, что п</w:t>
      </w:r>
      <w:r w:rsidRPr="001840BC">
        <w:rPr>
          <w:rFonts w:ascii="Times New Roman" w:eastAsia="Times New Roman" w:hAnsi="Times New Roman" w:cs="Times New Roman"/>
          <w:sz w:val="24"/>
          <w:szCs w:val="24"/>
          <w:lang w:eastAsia="ru-RU"/>
        </w:rPr>
        <w:t xml:space="preserve">ри реализации государственного имущества государственные бюджетные и автономные учреждения являются налогоплательщиками налога на прибыль организаций с обязанностью уплаты налога на прибыль. В соответствии с требованиями статьи 284 Налогового кодекса Российской Федерации налоговая ставка установлена в размере 20 процентов, при этом сумма налога, исчисленная по налоговой ставке в размере </w:t>
      </w:r>
      <w:r>
        <w:rPr>
          <w:rFonts w:ascii="Times New Roman" w:eastAsia="Times New Roman" w:hAnsi="Times New Roman" w:cs="Times New Roman"/>
          <w:sz w:val="24"/>
          <w:szCs w:val="24"/>
          <w:lang w:eastAsia="ru-RU"/>
        </w:rPr>
        <w:br/>
      </w:r>
      <w:r w:rsidRPr="001840BC">
        <w:rPr>
          <w:rFonts w:ascii="Times New Roman" w:eastAsia="Times New Roman" w:hAnsi="Times New Roman" w:cs="Times New Roman"/>
          <w:sz w:val="24"/>
          <w:szCs w:val="24"/>
          <w:lang w:eastAsia="ru-RU"/>
        </w:rPr>
        <w:t>2 процентов, зачисляется в федеральный бюджет, сумма налога, исчисленная по налоговой ставке в размере 18 процентов, зачисляется в бюджеты субъектов Российской Федерации.</w:t>
      </w:r>
    </w:p>
    <w:p w:rsidR="001840BC" w:rsidRPr="001840BC" w:rsidRDefault="001840BC" w:rsidP="001840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40BC">
        <w:rPr>
          <w:rFonts w:ascii="Times New Roman" w:eastAsia="Times New Roman" w:hAnsi="Times New Roman" w:cs="Times New Roman"/>
          <w:sz w:val="24"/>
          <w:szCs w:val="24"/>
          <w:lang w:eastAsia="ru-RU"/>
        </w:rPr>
        <w:t xml:space="preserve">Соответственно, при реализации </w:t>
      </w:r>
      <w:r>
        <w:rPr>
          <w:rFonts w:ascii="Times New Roman" w:eastAsia="Times New Roman" w:hAnsi="Times New Roman" w:cs="Times New Roman"/>
          <w:sz w:val="24"/>
          <w:szCs w:val="24"/>
          <w:lang w:eastAsia="ru-RU"/>
        </w:rPr>
        <w:t xml:space="preserve">в 2015 году </w:t>
      </w:r>
      <w:r w:rsidRPr="001840BC">
        <w:rPr>
          <w:rFonts w:ascii="Times New Roman" w:eastAsia="Times New Roman" w:hAnsi="Times New Roman" w:cs="Times New Roman"/>
          <w:sz w:val="24"/>
          <w:szCs w:val="24"/>
          <w:lang w:eastAsia="ru-RU"/>
        </w:rPr>
        <w:t>государственными бюджетными и автономными учреждениями Амурской области основных средств (объектов недвижимого имущества) на сумму 53200,2 тыс. рублей, налог на прибыль составил 10640,0 тыс. рублей, из них 1064,0 тыс. рублей в федеральный бюджет, 9576,0 тыс. рублей в областной бюджет.</w:t>
      </w:r>
    </w:p>
    <w:p w:rsidR="001840BC" w:rsidRPr="001840BC" w:rsidRDefault="001840BC" w:rsidP="001840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0BC">
        <w:rPr>
          <w:rFonts w:ascii="Times New Roman" w:eastAsia="Times New Roman" w:hAnsi="Times New Roman" w:cs="Times New Roman"/>
          <w:color w:val="000000"/>
          <w:sz w:val="24"/>
          <w:szCs w:val="24"/>
          <w:lang w:eastAsia="ru-RU"/>
        </w:rPr>
        <w:t xml:space="preserve">Контрольно-счетная палата Амурской области отмечает, что в </w:t>
      </w:r>
      <w:r w:rsidRPr="001840BC">
        <w:rPr>
          <w:rFonts w:ascii="Times New Roman" w:eastAsia="Times New Roman" w:hAnsi="Times New Roman" w:cs="Times New Roman"/>
          <w:sz w:val="24"/>
          <w:szCs w:val="24"/>
          <w:lang w:eastAsia="ru-RU"/>
        </w:rPr>
        <w:t>соответствии со статьей 246 Налогового кодекса Российской Федерации налогоплательщиками налога на прибыль организаций признаются российские организации, а также 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w:t>
      </w:r>
      <w:r>
        <w:rPr>
          <w:rFonts w:ascii="Times New Roman" w:eastAsia="Times New Roman" w:hAnsi="Times New Roman" w:cs="Times New Roman"/>
          <w:sz w:val="24"/>
          <w:szCs w:val="24"/>
          <w:lang w:eastAsia="ru-RU"/>
        </w:rPr>
        <w:t xml:space="preserve"> </w:t>
      </w:r>
      <w:r w:rsidRPr="001840BC">
        <w:rPr>
          <w:rFonts w:ascii="Times New Roman" w:eastAsia="Times New Roman" w:hAnsi="Times New Roman" w:cs="Times New Roman"/>
          <w:sz w:val="24"/>
          <w:szCs w:val="24"/>
          <w:lang w:eastAsia="ru-RU"/>
        </w:rPr>
        <w:t>Согласно положениям статьи 214 Гражданского кодекса Российской Федерации имущество государственной казны составляют средства соответствующего бюджета и иное государственное имущество, незакрепленное за государственными предприятиями и учреждениями. Следовательно, при реализации уполномоченным органом в рамках Федерального закона от 21.12.2001 № 178-ФЗ «О приватизации государственного и муниципального имущества» государственного имущества, составляющего имущество государственной казны, полученный доход не является доходом юридического лица. В силу того</w:t>
      </w:r>
      <w:r w:rsidR="008B3789">
        <w:rPr>
          <w:rFonts w:ascii="Times New Roman" w:eastAsia="Times New Roman" w:hAnsi="Times New Roman" w:cs="Times New Roman"/>
          <w:sz w:val="24"/>
          <w:szCs w:val="24"/>
          <w:lang w:eastAsia="ru-RU"/>
        </w:rPr>
        <w:t>,</w:t>
      </w:r>
      <w:r w:rsidRPr="001840BC">
        <w:rPr>
          <w:rFonts w:ascii="Times New Roman" w:eastAsia="Times New Roman" w:hAnsi="Times New Roman" w:cs="Times New Roman"/>
          <w:sz w:val="24"/>
          <w:szCs w:val="24"/>
          <w:lang w:eastAsia="ru-RU"/>
        </w:rPr>
        <w:t xml:space="preserve"> что указанное публично-правовое образование не является налогоплательщиком налога </w:t>
      </w:r>
      <w:r w:rsidRPr="001840BC">
        <w:rPr>
          <w:rFonts w:ascii="Times New Roman" w:eastAsia="Times New Roman" w:hAnsi="Times New Roman" w:cs="Times New Roman"/>
          <w:sz w:val="24"/>
          <w:szCs w:val="24"/>
          <w:lang w:eastAsia="ru-RU"/>
        </w:rPr>
        <w:lastRenderedPageBreak/>
        <w:t xml:space="preserve">на прибыль организаций, средства от продажи имущества казны не являются доходами, подлежащими налогообложению налогом на прибыль организаций </w:t>
      </w:r>
      <w:r w:rsidRPr="001840BC">
        <w:rPr>
          <w:rFonts w:ascii="Times New Roman" w:eastAsia="Times New Roman" w:hAnsi="Times New Roman" w:cs="Times New Roman"/>
          <w:color w:val="000000"/>
          <w:sz w:val="24"/>
          <w:szCs w:val="24"/>
          <w:lang w:eastAsia="ru-RU"/>
        </w:rPr>
        <w:t>(Письмо Минфина России от 03.02.2012 № 03-03-05/8).</w:t>
      </w:r>
    </w:p>
    <w:p w:rsidR="001A299F" w:rsidRPr="001A299F" w:rsidRDefault="001A299F" w:rsidP="001A299F">
      <w:pPr>
        <w:tabs>
          <w:tab w:val="left" w:pos="2700"/>
        </w:tabs>
        <w:spacing w:after="0" w:line="240" w:lineRule="auto"/>
        <w:ind w:firstLine="720"/>
        <w:jc w:val="both"/>
        <w:rPr>
          <w:rFonts w:ascii="Times New Roman" w:hAnsi="Times New Roman" w:cs="Times New Roman"/>
          <w:sz w:val="24"/>
          <w:szCs w:val="24"/>
        </w:rPr>
      </w:pPr>
      <w:r w:rsidRPr="001A299F">
        <w:rPr>
          <w:rFonts w:ascii="Times New Roman" w:eastAsia="Times New Roman" w:hAnsi="Times New Roman" w:cs="Times New Roman"/>
          <w:sz w:val="24"/>
          <w:szCs w:val="24"/>
          <w:lang w:eastAsia="ru-RU"/>
        </w:rPr>
        <w:t xml:space="preserve">Объем поступлений административных платежей и сборов в областной бюджет в </w:t>
      </w:r>
      <w:r w:rsidRPr="001A299F">
        <w:rPr>
          <w:rFonts w:ascii="Times New Roman" w:eastAsia="Times New Roman" w:hAnsi="Times New Roman" w:cs="Times New Roman"/>
          <w:sz w:val="24"/>
          <w:szCs w:val="24"/>
          <w:lang w:eastAsia="ru-RU"/>
        </w:rPr>
        <w:br/>
        <w:t>2015 году составляет 4000,4 тыс. рублей, или 116,5 процента плановых назначений, что выше объема поступлений 2014  года на 3427,2 тыс. рублей. Уточненные плановые назначения по административным платежам и сборам увеличены по сравнению с первоначальными плановыми назначениями на 2703,0 тыс. рублей, или в 4,7 раза.</w:t>
      </w:r>
    </w:p>
    <w:p w:rsidR="001A299F" w:rsidRPr="001A299F" w:rsidRDefault="001A299F" w:rsidP="001A299F">
      <w:pPr>
        <w:spacing w:after="0" w:line="240" w:lineRule="auto"/>
        <w:ind w:firstLine="709"/>
        <w:jc w:val="both"/>
        <w:rPr>
          <w:rFonts w:ascii="Times New Roman" w:hAnsi="Times New Roman" w:cs="Times New Roman"/>
          <w:b/>
          <w:i/>
          <w:sz w:val="24"/>
          <w:szCs w:val="24"/>
        </w:rPr>
      </w:pPr>
      <w:r w:rsidRPr="001A299F">
        <w:rPr>
          <w:rFonts w:ascii="Times New Roman" w:hAnsi="Times New Roman" w:cs="Times New Roman"/>
          <w:b/>
          <w:i/>
          <w:sz w:val="24"/>
          <w:szCs w:val="24"/>
        </w:rPr>
        <w:t xml:space="preserve">Контрольно-счетная палата Амурской области отмечает, что в течение </w:t>
      </w:r>
      <w:r w:rsidRPr="001A299F">
        <w:rPr>
          <w:rFonts w:ascii="Times New Roman" w:hAnsi="Times New Roman" w:cs="Times New Roman"/>
          <w:b/>
          <w:i/>
          <w:sz w:val="24"/>
          <w:szCs w:val="24"/>
        </w:rPr>
        <w:br/>
        <w:t>2015 года практически по всем подгруппам налоговых и неналоговых доходов областного бюджета произведена корректировка плановых назначений по доходам, как в сторону их уменьшения, так и увеличения, а также наблюдается как недовыполнение плановых показателей по отдельным доходам, так и их перевыполнение.</w:t>
      </w:r>
    </w:p>
    <w:p w:rsidR="001A299F" w:rsidRPr="001A299F" w:rsidRDefault="001A299F" w:rsidP="001A299F">
      <w:pPr>
        <w:spacing w:after="0" w:line="240" w:lineRule="auto"/>
        <w:ind w:firstLine="709"/>
        <w:jc w:val="both"/>
        <w:rPr>
          <w:rFonts w:ascii="Times New Roman" w:hAnsi="Times New Roman" w:cs="Times New Roman"/>
          <w:b/>
          <w:i/>
          <w:sz w:val="24"/>
          <w:szCs w:val="24"/>
        </w:rPr>
      </w:pPr>
      <w:r w:rsidRPr="001A299F">
        <w:rPr>
          <w:rFonts w:ascii="Times New Roman" w:hAnsi="Times New Roman" w:cs="Times New Roman"/>
          <w:b/>
          <w:i/>
          <w:sz w:val="24"/>
          <w:szCs w:val="24"/>
        </w:rPr>
        <w:t>Таким образом, анализ исполнения областного бюджета за 2015 год по налоговым и неналоговым доходам областного бюджета свидетельствует о том, что остается актуальной проблема обеспечения точности прогнозирования показателей, принимаемых при расч</w:t>
      </w:r>
      <w:r w:rsidR="008B3789">
        <w:rPr>
          <w:rFonts w:ascii="Times New Roman" w:hAnsi="Times New Roman" w:cs="Times New Roman"/>
          <w:b/>
          <w:i/>
          <w:sz w:val="24"/>
          <w:szCs w:val="24"/>
        </w:rPr>
        <w:t>ете доходов областного бюджета.</w:t>
      </w:r>
    </w:p>
    <w:p w:rsidR="001A299F" w:rsidRPr="001840BC" w:rsidRDefault="001A299F" w:rsidP="001A299F">
      <w:pPr>
        <w:spacing w:after="0" w:line="240" w:lineRule="auto"/>
        <w:ind w:firstLine="709"/>
        <w:jc w:val="both"/>
        <w:rPr>
          <w:rFonts w:ascii="Times New Roman" w:hAnsi="Times New Roman" w:cs="Times New Roman"/>
          <w:snapToGrid w:val="0"/>
          <w:sz w:val="24"/>
        </w:rPr>
      </w:pPr>
      <w:r w:rsidRPr="001A299F">
        <w:rPr>
          <w:rFonts w:ascii="Times New Roman" w:hAnsi="Times New Roman" w:cs="Times New Roman"/>
          <w:sz w:val="24"/>
          <w:szCs w:val="24"/>
        </w:rPr>
        <w:t xml:space="preserve">Анализ исполнения областного бюджета по доходам за 2015 год с учетом первоначально утвержденных и уточненных плановых назначений представлен в </w:t>
      </w:r>
      <w:r w:rsidRPr="001840BC">
        <w:rPr>
          <w:rFonts w:ascii="Times New Roman" w:hAnsi="Times New Roman" w:cs="Times New Roman"/>
          <w:sz w:val="24"/>
          <w:szCs w:val="24"/>
        </w:rPr>
        <w:t>Приложении 1.</w:t>
      </w:r>
    </w:p>
    <w:p w:rsidR="001A299F" w:rsidRPr="001A299F"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Безвозмездные поступления за 2015 год составили 12065852,5 тыс. рублей при плановых назначениях 9163999,6 тыс. рублей, или 131,7 процента плановых назначений.</w:t>
      </w:r>
    </w:p>
    <w:p w:rsidR="001A299F" w:rsidRPr="001A299F"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 xml:space="preserve">Безвозмездные поступления от других бюджетов бюджетной системы Российской Федерации за 2015 год составили 11340425,6 тыс. рублей, плановые назначения </w:t>
      </w:r>
      <w:r w:rsidRPr="001A299F">
        <w:rPr>
          <w:rFonts w:ascii="Times New Roman" w:hAnsi="Times New Roman" w:cs="Times New Roman"/>
          <w:sz w:val="24"/>
          <w:szCs w:val="24"/>
        </w:rPr>
        <w:br/>
        <w:t xml:space="preserve">(8902764,7 тыс. рублей) выполнены на 127,4 процента, в том числе дотации на выравнивание бюджетной обеспеченности, на поддержку мер по обеспечению сбалансированности бюджетов, дотации, связанные с особым режимом безопасного функционирования </w:t>
      </w:r>
      <w:r w:rsidR="00CE336B">
        <w:rPr>
          <w:rFonts w:ascii="Times New Roman" w:hAnsi="Times New Roman" w:cs="Times New Roman"/>
          <w:sz w:val="24"/>
          <w:szCs w:val="24"/>
        </w:rPr>
        <w:t>ЗАТО</w:t>
      </w:r>
      <w:r w:rsidRPr="001A299F">
        <w:rPr>
          <w:rFonts w:ascii="Times New Roman" w:hAnsi="Times New Roman" w:cs="Times New Roman"/>
          <w:sz w:val="24"/>
          <w:szCs w:val="24"/>
        </w:rPr>
        <w:t xml:space="preserve"> поступили в 2015 году в областной бюджет в полном объеме – 2325970,1 тыс. рублей, 1236798,7 тыс. рублей, 8277</w:t>
      </w:r>
      <w:r w:rsidR="008B3789">
        <w:rPr>
          <w:rFonts w:ascii="Times New Roman" w:hAnsi="Times New Roman" w:cs="Times New Roman"/>
          <w:sz w:val="24"/>
          <w:szCs w:val="24"/>
        </w:rPr>
        <w:t>2,1 тыс. рублей соответственно.</w:t>
      </w:r>
    </w:p>
    <w:p w:rsidR="001A299F" w:rsidRPr="001A299F"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 xml:space="preserve">Объем поступления субсидий составляет 3327579,8 тыс. рублей (плановые </w:t>
      </w:r>
      <w:r w:rsidRPr="001A299F">
        <w:rPr>
          <w:rFonts w:ascii="Times New Roman" w:hAnsi="Times New Roman" w:cs="Times New Roman"/>
          <w:sz w:val="24"/>
          <w:szCs w:val="24"/>
        </w:rPr>
        <w:br/>
        <w:t xml:space="preserve">назначения – 1941250,5 тыс. рублей), субвенций – 3143922,0 тыс. рублей (плановые </w:t>
      </w:r>
      <w:r w:rsidRPr="001A299F">
        <w:rPr>
          <w:rFonts w:ascii="Times New Roman" w:hAnsi="Times New Roman" w:cs="Times New Roman"/>
          <w:sz w:val="24"/>
          <w:szCs w:val="24"/>
        </w:rPr>
        <w:br/>
        <w:t>назначения – 2658716,3 тыс. рублей), иных межбюджетных трансфертов – 1223382,9 тыс. рублей (плановые назначения – 657257,0 тыс. рублей).</w:t>
      </w:r>
    </w:p>
    <w:p w:rsidR="001A299F" w:rsidRPr="001A299F"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 xml:space="preserve">Безвозмездные поступления от государственной корпорации Фонд содействия реформированию жилищно-коммунального хозяйства за 2015 год составили </w:t>
      </w:r>
      <w:r w:rsidRPr="001A299F">
        <w:rPr>
          <w:rFonts w:ascii="Times New Roman" w:hAnsi="Times New Roman" w:cs="Times New Roman"/>
          <w:sz w:val="24"/>
          <w:szCs w:val="24"/>
        </w:rPr>
        <w:br/>
        <w:t>852547,3 тыс. рублей, в том числе на обеспечение мероприятий по капитальному ремонту многоквартирных домов – 6316,1 тыс. рублей, на обеспечение мероприятий по переселению граждан из аварийного жилищного фонда – 748522,6 тыс. рублей,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- 97708,6 тыс. рублей.</w:t>
      </w:r>
    </w:p>
    <w:p w:rsidR="001A299F" w:rsidRPr="001A299F"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Объем прочих безвозмездных поступлений в 2015 году составляет 180155,4 тыс. рублей, при плановых назначениях 181152,6 тыс. рублей.</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Исполнение по доходам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составило 420584,4 тыс. рублей при плановых назначениях 80082,3 тыс. рублей.</w:t>
      </w:r>
    </w:p>
    <w:p w:rsidR="001840BC"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областного бюджета в федеральный бюджет составил 727860,2</w:t>
      </w:r>
      <w:r w:rsidR="008B3789">
        <w:rPr>
          <w:rFonts w:ascii="Times New Roman" w:hAnsi="Times New Roman" w:cs="Times New Roman"/>
          <w:sz w:val="24"/>
          <w:szCs w:val="24"/>
        </w:rPr>
        <w:t xml:space="preserve"> тыс. рублей (со знаком минус).</w:t>
      </w:r>
    </w:p>
    <w:p w:rsidR="001A299F" w:rsidRPr="001A299F"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 xml:space="preserve">Согласно информации, представленной в контрольно-счетную палату области Управлением Федерального казначейства по Амурской области (письмо от 15.04.2016 </w:t>
      </w:r>
      <w:r w:rsidR="001840BC">
        <w:rPr>
          <w:rFonts w:ascii="Times New Roman" w:hAnsi="Times New Roman" w:cs="Times New Roman"/>
          <w:sz w:val="24"/>
          <w:szCs w:val="24"/>
        </w:rPr>
        <w:br/>
      </w:r>
      <w:r w:rsidRPr="001A299F">
        <w:rPr>
          <w:rFonts w:ascii="Times New Roman" w:hAnsi="Times New Roman" w:cs="Times New Roman"/>
          <w:sz w:val="24"/>
          <w:szCs w:val="24"/>
        </w:rPr>
        <w:t xml:space="preserve">№ 23-04-12/18-2114), в 2015 году по данному виду доходов областного бюджета Управлением Федерального казначейства по Амурской области на основании уведомления о </w:t>
      </w:r>
      <w:r w:rsidRPr="001A299F">
        <w:rPr>
          <w:rFonts w:ascii="Times New Roman" w:hAnsi="Times New Roman" w:cs="Times New Roman"/>
          <w:sz w:val="24"/>
          <w:szCs w:val="24"/>
        </w:rPr>
        <w:lastRenderedPageBreak/>
        <w:t>применении бюджетных мер принуждения от 16.03.2015</w:t>
      </w:r>
      <w:r w:rsidR="001840BC">
        <w:rPr>
          <w:rFonts w:ascii="Times New Roman" w:hAnsi="Times New Roman" w:cs="Times New Roman"/>
          <w:sz w:val="24"/>
          <w:szCs w:val="24"/>
        </w:rPr>
        <w:t xml:space="preserve"> </w:t>
      </w:r>
      <w:r w:rsidRPr="001A299F">
        <w:rPr>
          <w:rFonts w:ascii="Times New Roman" w:hAnsi="Times New Roman" w:cs="Times New Roman"/>
          <w:sz w:val="24"/>
          <w:szCs w:val="24"/>
        </w:rPr>
        <w:t>№ 23-04-16/537 Территориального управления Федеральной службы финансово-бюджетного надзора в Амурской области, произведено бесспорное взыскание средств областного бюджета в федеральный бюджет на сумму 148728,5 тыс. рублей в соответствии со статьей 306.3. Бюджетного кодекса Российской Федерации. Средства областного бюджета взысканы в связи с выявлением факта нарушения условий предоставления субсидии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2009-2018 годы» - субсидия</w:t>
      </w:r>
      <w:r w:rsidRPr="001A299F">
        <w:rPr>
          <w:rFonts w:ascii="Times New Roman" w:hAnsi="Times New Roman" w:cs="Times New Roman"/>
          <w:color w:val="FF0000"/>
          <w:sz w:val="24"/>
          <w:szCs w:val="24"/>
        </w:rPr>
        <w:t xml:space="preserve"> </w:t>
      </w:r>
      <w:r w:rsidRPr="001A299F">
        <w:rPr>
          <w:rFonts w:ascii="Times New Roman" w:hAnsi="Times New Roman" w:cs="Times New Roman"/>
          <w:sz w:val="24"/>
          <w:szCs w:val="24"/>
        </w:rPr>
        <w:t>предоставлена в 2014 году (статья 306.8. Бюджетного кодекса Российской Федерации – нарушение условий софинансирования, установленных Соглашением о предоставлении субсидии от 24.06.2014 № 05-159/С и Дополнительным соглашением к нему от 23.12.2014 №1).</w:t>
      </w:r>
    </w:p>
    <w:p w:rsidR="001A299F" w:rsidRPr="00C125F5" w:rsidRDefault="001840BC" w:rsidP="001A299F">
      <w:pPr>
        <w:autoSpaceDE w:val="0"/>
        <w:autoSpaceDN w:val="0"/>
        <w:adjustRightInd w:val="0"/>
        <w:spacing w:after="0" w:line="240" w:lineRule="auto"/>
        <w:ind w:firstLine="709"/>
        <w:jc w:val="both"/>
        <w:outlineLvl w:val="0"/>
        <w:rPr>
          <w:rFonts w:ascii="Times New Roman" w:hAnsi="Times New Roman"/>
          <w:b/>
          <w:i/>
          <w:sz w:val="24"/>
          <w:szCs w:val="24"/>
        </w:rPr>
      </w:pPr>
      <w:r w:rsidRPr="00C125F5">
        <w:rPr>
          <w:rFonts w:ascii="Times New Roman" w:hAnsi="Times New Roman" w:cs="Times New Roman"/>
          <w:b/>
          <w:i/>
          <w:sz w:val="24"/>
          <w:szCs w:val="24"/>
        </w:rPr>
        <w:t>Таким образом, к</w:t>
      </w:r>
      <w:r w:rsidR="001A299F" w:rsidRPr="00C125F5">
        <w:rPr>
          <w:rFonts w:ascii="Times New Roman" w:hAnsi="Times New Roman" w:cs="Times New Roman"/>
          <w:b/>
          <w:i/>
          <w:sz w:val="24"/>
          <w:szCs w:val="24"/>
        </w:rPr>
        <w:t>онтрольно-счетная палата области о</w:t>
      </w:r>
      <w:r w:rsidRPr="00C125F5">
        <w:rPr>
          <w:rFonts w:ascii="Times New Roman" w:hAnsi="Times New Roman" w:cs="Times New Roman"/>
          <w:b/>
          <w:i/>
          <w:sz w:val="24"/>
          <w:szCs w:val="24"/>
        </w:rPr>
        <w:t>бращает внимание</w:t>
      </w:r>
      <w:r w:rsidR="00C125F5" w:rsidRPr="00C125F5">
        <w:rPr>
          <w:rFonts w:ascii="Times New Roman" w:hAnsi="Times New Roman" w:cs="Times New Roman"/>
          <w:b/>
          <w:i/>
          <w:sz w:val="24"/>
          <w:szCs w:val="24"/>
        </w:rPr>
        <w:t xml:space="preserve"> на необходимость безусловного исполнения субъектом условий </w:t>
      </w:r>
      <w:r w:rsidR="00C125F5" w:rsidRPr="00C125F5">
        <w:rPr>
          <w:rFonts w:ascii="Times New Roman" w:hAnsi="Times New Roman"/>
          <w:b/>
          <w:i/>
          <w:sz w:val="24"/>
          <w:szCs w:val="24"/>
        </w:rPr>
        <w:t>предоставления межбюджетных трансфертов</w:t>
      </w:r>
      <w:r w:rsidR="00C125F5" w:rsidRPr="00C125F5">
        <w:rPr>
          <w:rFonts w:ascii="Times New Roman" w:hAnsi="Times New Roman" w:cs="Times New Roman"/>
          <w:b/>
          <w:i/>
          <w:sz w:val="24"/>
          <w:szCs w:val="24"/>
        </w:rPr>
        <w:t>. П</w:t>
      </w:r>
      <w:r w:rsidRPr="00C125F5">
        <w:rPr>
          <w:rFonts w:ascii="Times New Roman" w:hAnsi="Times New Roman" w:cs="Times New Roman"/>
          <w:b/>
          <w:i/>
          <w:sz w:val="24"/>
          <w:szCs w:val="24"/>
        </w:rPr>
        <w:t>ро</w:t>
      </w:r>
      <w:r w:rsidR="00C125F5" w:rsidRPr="00C125F5">
        <w:rPr>
          <w:rFonts w:ascii="Times New Roman" w:hAnsi="Times New Roman" w:cs="Times New Roman"/>
          <w:b/>
          <w:i/>
          <w:sz w:val="24"/>
          <w:szCs w:val="24"/>
        </w:rPr>
        <w:t>в</w:t>
      </w:r>
      <w:r w:rsidRPr="00C125F5">
        <w:rPr>
          <w:rFonts w:ascii="Times New Roman" w:hAnsi="Times New Roman" w:cs="Times New Roman"/>
          <w:b/>
          <w:i/>
          <w:sz w:val="24"/>
          <w:szCs w:val="24"/>
        </w:rPr>
        <w:t>еден</w:t>
      </w:r>
      <w:r w:rsidR="00C125F5" w:rsidRPr="00C125F5">
        <w:rPr>
          <w:rFonts w:ascii="Times New Roman" w:hAnsi="Times New Roman" w:cs="Times New Roman"/>
          <w:b/>
          <w:i/>
          <w:sz w:val="24"/>
          <w:szCs w:val="24"/>
        </w:rPr>
        <w:t>ное в 2015 году</w:t>
      </w:r>
      <w:r w:rsidRPr="00C125F5">
        <w:rPr>
          <w:rFonts w:ascii="Times New Roman" w:hAnsi="Times New Roman" w:cs="Times New Roman"/>
          <w:b/>
          <w:i/>
          <w:sz w:val="24"/>
          <w:szCs w:val="24"/>
        </w:rPr>
        <w:t xml:space="preserve"> бесспорное взыскание средств областного бюджета в </w:t>
      </w:r>
      <w:r w:rsidR="00C125F5" w:rsidRPr="00C125F5">
        <w:rPr>
          <w:rFonts w:ascii="Times New Roman" w:hAnsi="Times New Roman" w:cs="Times New Roman"/>
          <w:b/>
          <w:i/>
          <w:sz w:val="24"/>
          <w:szCs w:val="24"/>
        </w:rPr>
        <w:t xml:space="preserve">доход </w:t>
      </w:r>
      <w:r w:rsidRPr="00C125F5">
        <w:rPr>
          <w:rFonts w:ascii="Times New Roman" w:hAnsi="Times New Roman" w:cs="Times New Roman"/>
          <w:b/>
          <w:i/>
          <w:sz w:val="24"/>
          <w:szCs w:val="24"/>
        </w:rPr>
        <w:t>федеральн</w:t>
      </w:r>
      <w:r w:rsidR="00C125F5" w:rsidRPr="00C125F5">
        <w:rPr>
          <w:rFonts w:ascii="Times New Roman" w:hAnsi="Times New Roman" w:cs="Times New Roman"/>
          <w:b/>
          <w:i/>
          <w:sz w:val="24"/>
          <w:szCs w:val="24"/>
        </w:rPr>
        <w:t>ого</w:t>
      </w:r>
      <w:r w:rsidRPr="00C125F5">
        <w:rPr>
          <w:rFonts w:ascii="Times New Roman" w:hAnsi="Times New Roman" w:cs="Times New Roman"/>
          <w:b/>
          <w:i/>
          <w:sz w:val="24"/>
          <w:szCs w:val="24"/>
        </w:rPr>
        <w:t xml:space="preserve"> бюджет</w:t>
      </w:r>
      <w:r w:rsidR="00C125F5" w:rsidRPr="00C125F5">
        <w:rPr>
          <w:rFonts w:ascii="Times New Roman" w:hAnsi="Times New Roman" w:cs="Times New Roman"/>
          <w:b/>
          <w:i/>
          <w:sz w:val="24"/>
          <w:szCs w:val="24"/>
        </w:rPr>
        <w:t>а</w:t>
      </w:r>
      <w:r w:rsidRPr="00C125F5">
        <w:rPr>
          <w:rFonts w:ascii="Times New Roman" w:hAnsi="Times New Roman" w:cs="Times New Roman"/>
          <w:b/>
          <w:i/>
          <w:sz w:val="24"/>
          <w:szCs w:val="24"/>
        </w:rPr>
        <w:t xml:space="preserve"> на сумму 148728,5 тыс. рублей </w:t>
      </w:r>
      <w:r w:rsidR="00C125F5" w:rsidRPr="00C125F5">
        <w:rPr>
          <w:rFonts w:ascii="Times New Roman" w:hAnsi="Times New Roman" w:cs="Times New Roman"/>
          <w:b/>
          <w:i/>
          <w:sz w:val="24"/>
          <w:szCs w:val="24"/>
        </w:rPr>
        <w:t xml:space="preserve">подтверждает реальное наличие </w:t>
      </w:r>
      <w:r w:rsidR="001A299F" w:rsidRPr="00C125F5">
        <w:rPr>
          <w:rFonts w:ascii="Times New Roman" w:hAnsi="Times New Roman" w:cs="Times New Roman"/>
          <w:b/>
          <w:i/>
          <w:sz w:val="24"/>
          <w:szCs w:val="24"/>
        </w:rPr>
        <w:t>риск</w:t>
      </w:r>
      <w:r w:rsidR="00C125F5" w:rsidRPr="00C125F5">
        <w:rPr>
          <w:rFonts w:ascii="Times New Roman" w:hAnsi="Times New Roman" w:cs="Times New Roman"/>
          <w:b/>
          <w:i/>
          <w:sz w:val="24"/>
          <w:szCs w:val="24"/>
        </w:rPr>
        <w:t>ов</w:t>
      </w:r>
      <w:r w:rsidR="001A299F" w:rsidRPr="00C125F5">
        <w:rPr>
          <w:rFonts w:ascii="Times New Roman" w:hAnsi="Times New Roman" w:cs="Times New Roman"/>
          <w:b/>
          <w:i/>
          <w:sz w:val="24"/>
          <w:szCs w:val="24"/>
        </w:rPr>
        <w:t xml:space="preserve"> </w:t>
      </w:r>
      <w:r w:rsidR="001A299F" w:rsidRPr="00C125F5">
        <w:rPr>
          <w:rFonts w:ascii="Times New Roman" w:hAnsi="Times New Roman"/>
          <w:b/>
          <w:bCs/>
          <w:i/>
          <w:iCs/>
          <w:sz w:val="24"/>
          <w:szCs w:val="24"/>
        </w:rPr>
        <w:t>применения к субъекту бюджетной меры принуждения в</w:t>
      </w:r>
      <w:r w:rsidR="001A299F" w:rsidRPr="00C125F5">
        <w:rPr>
          <w:rFonts w:ascii="Times New Roman" w:hAnsi="Times New Roman"/>
          <w:b/>
          <w:i/>
          <w:sz w:val="24"/>
          <w:szCs w:val="24"/>
        </w:rPr>
        <w:t xml:space="preserve"> соответствии со статьей 306.8. Бюджетного кодекса Российской Федерации, предусматривающей бесспорное взыскание суммы межбюджетного трансферта и (или) приостановление (сокращение) предоставления межбюджетных трансфертов в случае нарушения условий предоставления межбюджетных трансфертов.</w:t>
      </w:r>
    </w:p>
    <w:p w:rsidR="001A299F" w:rsidRPr="008B3789" w:rsidRDefault="001A299F" w:rsidP="001A299F">
      <w:pPr>
        <w:spacing w:after="0" w:line="240" w:lineRule="auto"/>
        <w:ind w:firstLine="709"/>
        <w:jc w:val="both"/>
        <w:rPr>
          <w:rFonts w:ascii="Times New Roman" w:hAnsi="Times New Roman" w:cs="Times New Roman"/>
          <w:sz w:val="24"/>
          <w:szCs w:val="24"/>
        </w:rPr>
      </w:pPr>
    </w:p>
    <w:p w:rsidR="001A299F" w:rsidRPr="001A299F" w:rsidRDefault="001A299F" w:rsidP="001A299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 xml:space="preserve">4. Дефицит областного бюджета. Источники финансирования дефицита </w:t>
      </w:r>
      <w:r w:rsidRPr="001A299F">
        <w:rPr>
          <w:rFonts w:ascii="Times New Roman" w:eastAsia="Times New Roman" w:hAnsi="Times New Roman" w:cs="Times New Roman"/>
          <w:b/>
          <w:sz w:val="24"/>
          <w:szCs w:val="24"/>
          <w:lang w:eastAsia="ru-RU"/>
        </w:rPr>
        <w:br/>
        <w:t>областного бюджета</w:t>
      </w:r>
    </w:p>
    <w:p w:rsidR="001A299F" w:rsidRPr="001A299F" w:rsidRDefault="001A299F" w:rsidP="00C125F5">
      <w:pPr>
        <w:autoSpaceDE w:val="0"/>
        <w:autoSpaceDN w:val="0"/>
        <w:adjustRightInd w:val="0"/>
        <w:spacing w:after="0" w:line="240" w:lineRule="auto"/>
        <w:ind w:firstLine="709"/>
        <w:jc w:val="both"/>
        <w:outlineLvl w:val="3"/>
        <w:rPr>
          <w:rFonts w:ascii="Times New Roman" w:eastAsia="Calibri" w:hAnsi="Times New Roman" w:cs="Times New Roman"/>
          <w:spacing w:val="6"/>
          <w:sz w:val="24"/>
          <w:szCs w:val="24"/>
        </w:rPr>
      </w:pPr>
      <w:r w:rsidRPr="001A299F">
        <w:rPr>
          <w:rFonts w:ascii="Times New Roman" w:hAnsi="Times New Roman" w:cs="Times New Roman"/>
          <w:spacing w:val="6"/>
          <w:sz w:val="24"/>
          <w:szCs w:val="24"/>
        </w:rPr>
        <w:t xml:space="preserve">Согласно Закону Амурской области от 10.12.2014 № 458-ОЗ «Об областном бюджете на 2015 год и плановый период 2016 и 2017 годов» первоначально дефицит областного бюджета на 2015 год запланирован в сумме 1963263,3 тыс. рублей, или </w:t>
      </w:r>
      <w:r w:rsidR="00CE336B">
        <w:rPr>
          <w:rFonts w:ascii="Times New Roman" w:hAnsi="Times New Roman" w:cs="Times New Roman"/>
          <w:spacing w:val="6"/>
          <w:sz w:val="24"/>
          <w:szCs w:val="24"/>
        </w:rPr>
        <w:br/>
      </w:r>
      <w:r w:rsidRPr="001A299F">
        <w:rPr>
          <w:rFonts w:ascii="Times New Roman" w:hAnsi="Times New Roman" w:cs="Times New Roman"/>
          <w:spacing w:val="6"/>
          <w:sz w:val="24"/>
          <w:szCs w:val="24"/>
        </w:rPr>
        <w:t>6,4 процента к объему доходов областного бюджета без учета объема безвозмездных поступлений</w:t>
      </w:r>
      <w:r w:rsidRPr="001A299F">
        <w:rPr>
          <w:rFonts w:ascii="Times New Roman" w:eastAsia="Calibri" w:hAnsi="Times New Roman" w:cs="Times New Roman"/>
          <w:spacing w:val="6"/>
          <w:sz w:val="24"/>
          <w:szCs w:val="24"/>
        </w:rPr>
        <w:t>.</w:t>
      </w:r>
      <w:r w:rsidR="00CE336B">
        <w:rPr>
          <w:rFonts w:ascii="Times New Roman" w:eastAsia="Calibri" w:hAnsi="Times New Roman" w:cs="Times New Roman"/>
          <w:spacing w:val="6"/>
          <w:sz w:val="24"/>
          <w:szCs w:val="24"/>
        </w:rPr>
        <w:t xml:space="preserve"> </w:t>
      </w:r>
      <w:r w:rsidRPr="001A299F">
        <w:rPr>
          <w:rFonts w:ascii="Times New Roman" w:hAnsi="Times New Roman" w:cs="Times New Roman"/>
          <w:spacing w:val="6"/>
          <w:sz w:val="24"/>
          <w:szCs w:val="24"/>
        </w:rPr>
        <w:t xml:space="preserve">Уточненный показатель по предельному размеру дефицита областного бюджета на 2015 год в соответствии с законом об областном бюджете на 2015 год и плановый период 2016 и 2017 годов составил 5015654,8 тыс. рублей, или 9,4 процента объема доходов областного бюджета без учета безвозмездных поступлений, остатков средств на счетах по учету средств бюджета субъекта, разницы между полученными и погашенными бюджетными кредитами, предоставленными бюджету субъекта Российской Федерации другими бюджетами бюджетной системы Российской Федерации, </w:t>
      </w:r>
      <w:r w:rsidRPr="001A299F">
        <w:rPr>
          <w:rFonts w:ascii="Times New Roman" w:eastAsia="Calibri" w:hAnsi="Times New Roman" w:cs="Times New Roman"/>
          <w:spacing w:val="6"/>
          <w:sz w:val="24"/>
          <w:szCs w:val="24"/>
        </w:rPr>
        <w:t>поступлений от продажи акций и иных форм участия в капитале, находящихся в собственности субъекта Российской Федерации.</w:t>
      </w:r>
    </w:p>
    <w:p w:rsidR="001A299F" w:rsidRPr="001A299F" w:rsidRDefault="001A299F" w:rsidP="00C125F5">
      <w:pPr>
        <w:autoSpaceDE w:val="0"/>
        <w:autoSpaceDN w:val="0"/>
        <w:adjustRightInd w:val="0"/>
        <w:spacing w:after="0" w:line="240" w:lineRule="auto"/>
        <w:ind w:firstLine="709"/>
        <w:jc w:val="both"/>
        <w:rPr>
          <w:rFonts w:ascii="Times New Roman" w:hAnsi="Times New Roman" w:cs="Times New Roman"/>
          <w:spacing w:val="6"/>
          <w:sz w:val="24"/>
          <w:szCs w:val="24"/>
        </w:rPr>
      </w:pPr>
      <w:r w:rsidRPr="001A299F">
        <w:rPr>
          <w:rFonts w:ascii="Times New Roman" w:hAnsi="Times New Roman" w:cs="Times New Roman"/>
          <w:spacing w:val="6"/>
          <w:sz w:val="24"/>
          <w:szCs w:val="24"/>
        </w:rPr>
        <w:t>Согласно форме бюджетной отчетности 0503317 «Отчет об исполнении консолидированного бюджета субъекта Российской Федерации и бюджета территориального государственного внебюджетного фонда» (раздел «Источники финансирования дефицита бюджета») плановые назначения по дефициту областного бюджета составили 5015654,8 тыс. рублей, что соответствует плановым назначениям, утвержденным законом об областном бюджете на 2015 год и плановый период 2016 и 2017 годов (с учетом внесенных изменений).</w:t>
      </w:r>
    </w:p>
    <w:p w:rsidR="001A299F" w:rsidRPr="001A299F" w:rsidRDefault="001A299F" w:rsidP="00C125F5">
      <w:pPr>
        <w:spacing w:after="0" w:line="240" w:lineRule="auto"/>
        <w:ind w:firstLine="709"/>
        <w:jc w:val="both"/>
        <w:rPr>
          <w:rFonts w:ascii="Times New Roman" w:hAnsi="Times New Roman" w:cs="Times New Roman"/>
          <w:spacing w:val="6"/>
          <w:sz w:val="24"/>
          <w:szCs w:val="24"/>
        </w:rPr>
      </w:pPr>
      <w:r w:rsidRPr="001A299F">
        <w:rPr>
          <w:rFonts w:ascii="Times New Roman" w:hAnsi="Times New Roman" w:cs="Times New Roman"/>
          <w:spacing w:val="6"/>
          <w:sz w:val="24"/>
          <w:szCs w:val="24"/>
        </w:rPr>
        <w:t>Согласно сводной бюджетной росписи источников финансирования дефицита областного бюджета на 2015 год плановые назначения по дефициту областного бюджета на 2015 год составляют 5015654,8 тыс. рублей, что соответствует плановым назначениям, утвержденны</w:t>
      </w:r>
      <w:r w:rsidR="008B3789">
        <w:rPr>
          <w:rFonts w:ascii="Times New Roman" w:hAnsi="Times New Roman" w:cs="Times New Roman"/>
          <w:spacing w:val="6"/>
          <w:sz w:val="24"/>
          <w:szCs w:val="24"/>
        </w:rPr>
        <w:t>м законом об областном бюджете.</w:t>
      </w:r>
    </w:p>
    <w:p w:rsidR="001A299F" w:rsidRPr="001A299F" w:rsidRDefault="001A299F" w:rsidP="001A299F">
      <w:pPr>
        <w:autoSpaceDE w:val="0"/>
        <w:autoSpaceDN w:val="0"/>
        <w:adjustRightInd w:val="0"/>
        <w:spacing w:after="0" w:line="240" w:lineRule="auto"/>
        <w:ind w:firstLine="709"/>
        <w:jc w:val="both"/>
        <w:outlineLvl w:val="3"/>
        <w:rPr>
          <w:rFonts w:ascii="Times New Roman" w:hAnsi="Times New Roman" w:cs="Times New Roman"/>
          <w:spacing w:val="6"/>
          <w:sz w:val="24"/>
          <w:szCs w:val="24"/>
        </w:rPr>
      </w:pPr>
      <w:r w:rsidRPr="001A299F">
        <w:rPr>
          <w:rFonts w:ascii="Times New Roman" w:hAnsi="Times New Roman" w:cs="Times New Roman"/>
          <w:spacing w:val="6"/>
          <w:sz w:val="24"/>
          <w:szCs w:val="24"/>
        </w:rPr>
        <w:t>Областной бюджет по источникам внутреннего финансирования дефицита областного бюджета за 2015 год исполнен с дефицитом в сумме 3561378,0 тыс. рублей, что составляет 11,1 процента объема доходов областного бюджета без учета безвозмездных поступлений.</w:t>
      </w:r>
    </w:p>
    <w:p w:rsidR="001A299F" w:rsidRPr="00C125F5" w:rsidRDefault="001A299F" w:rsidP="00CE336B">
      <w:pPr>
        <w:autoSpaceDE w:val="0"/>
        <w:autoSpaceDN w:val="0"/>
        <w:adjustRightInd w:val="0"/>
        <w:spacing w:after="0" w:line="240" w:lineRule="auto"/>
        <w:ind w:firstLine="709"/>
        <w:jc w:val="both"/>
        <w:outlineLvl w:val="3"/>
        <w:rPr>
          <w:rFonts w:ascii="Times New Roman" w:hAnsi="Times New Roman" w:cs="Times New Roman"/>
          <w:spacing w:val="6"/>
          <w:sz w:val="24"/>
          <w:szCs w:val="24"/>
        </w:rPr>
      </w:pPr>
      <w:r w:rsidRPr="001A299F">
        <w:rPr>
          <w:rFonts w:ascii="Times New Roman" w:hAnsi="Times New Roman" w:cs="Times New Roman"/>
          <w:spacing w:val="6"/>
          <w:sz w:val="24"/>
          <w:szCs w:val="24"/>
        </w:rPr>
        <w:lastRenderedPageBreak/>
        <w:t xml:space="preserve">Для покрытия дефицита областного бюджета привлечены внутренние источники в формах, предусмотренных Законом Амурской области от 10.12.2014 </w:t>
      </w:r>
      <w:r w:rsidRPr="001A299F">
        <w:rPr>
          <w:rFonts w:ascii="Times New Roman" w:hAnsi="Times New Roman" w:cs="Times New Roman"/>
          <w:spacing w:val="6"/>
          <w:sz w:val="24"/>
          <w:szCs w:val="24"/>
        </w:rPr>
        <w:br/>
        <w:t xml:space="preserve">№ 458-ОЗ «Об областном бюджете на 2015 год и плановый период 2016 и 2017 годов» (в редакции Закона Амурской области от 25.12.2015 № 626-ОЗ), исполнение по которым приведено в </w:t>
      </w:r>
      <w:r w:rsidRPr="00C125F5">
        <w:rPr>
          <w:rFonts w:ascii="Times New Roman" w:hAnsi="Times New Roman" w:cs="Times New Roman"/>
          <w:spacing w:val="6"/>
          <w:sz w:val="24"/>
          <w:szCs w:val="24"/>
        </w:rPr>
        <w:t>таблице 2.</w:t>
      </w:r>
    </w:p>
    <w:p w:rsidR="001A299F" w:rsidRPr="00C125F5" w:rsidRDefault="001A299F" w:rsidP="00CE336B">
      <w:pPr>
        <w:autoSpaceDE w:val="0"/>
        <w:autoSpaceDN w:val="0"/>
        <w:adjustRightInd w:val="0"/>
        <w:spacing w:after="0" w:line="240" w:lineRule="auto"/>
        <w:ind w:firstLine="709"/>
        <w:jc w:val="right"/>
        <w:outlineLvl w:val="1"/>
        <w:rPr>
          <w:rFonts w:ascii="Times New Roman" w:hAnsi="Times New Roman" w:cs="Times New Roman"/>
          <w:bCs/>
          <w:iCs/>
          <w:sz w:val="24"/>
          <w:szCs w:val="24"/>
        </w:rPr>
      </w:pPr>
      <w:r w:rsidRPr="00C125F5">
        <w:rPr>
          <w:rFonts w:ascii="Times New Roman" w:hAnsi="Times New Roman" w:cs="Times New Roman"/>
          <w:bCs/>
          <w:iCs/>
          <w:sz w:val="24"/>
          <w:szCs w:val="24"/>
        </w:rPr>
        <w:t>Таблица 2</w:t>
      </w:r>
    </w:p>
    <w:p w:rsidR="001A299F" w:rsidRPr="001A299F" w:rsidRDefault="001A299F" w:rsidP="00CE336B">
      <w:pPr>
        <w:autoSpaceDE w:val="0"/>
        <w:autoSpaceDN w:val="0"/>
        <w:adjustRightInd w:val="0"/>
        <w:spacing w:after="0" w:line="240" w:lineRule="auto"/>
        <w:ind w:firstLine="709"/>
        <w:jc w:val="center"/>
        <w:outlineLvl w:val="1"/>
        <w:rPr>
          <w:rFonts w:ascii="Times New Roman" w:hAnsi="Times New Roman" w:cs="Times New Roman"/>
          <w:b/>
          <w:bCs/>
          <w:iCs/>
          <w:sz w:val="24"/>
          <w:szCs w:val="24"/>
        </w:rPr>
      </w:pPr>
      <w:r w:rsidRPr="001A299F">
        <w:rPr>
          <w:rFonts w:ascii="Times New Roman" w:hAnsi="Times New Roman" w:cs="Times New Roman"/>
          <w:b/>
          <w:bCs/>
          <w:iCs/>
          <w:sz w:val="24"/>
          <w:szCs w:val="24"/>
        </w:rPr>
        <w:t>Анализ исполнения по источникам внутреннего финансирования дефицита областного бюджета за 2015 год</w:t>
      </w:r>
    </w:p>
    <w:p w:rsidR="001A299F" w:rsidRPr="001A299F" w:rsidRDefault="001A299F" w:rsidP="001A299F">
      <w:pPr>
        <w:autoSpaceDE w:val="0"/>
        <w:autoSpaceDN w:val="0"/>
        <w:adjustRightInd w:val="0"/>
        <w:spacing w:after="0" w:line="240" w:lineRule="auto"/>
        <w:ind w:firstLine="709"/>
        <w:jc w:val="right"/>
        <w:outlineLvl w:val="1"/>
        <w:rPr>
          <w:rFonts w:ascii="Times New Roman" w:hAnsi="Times New Roman" w:cs="Times New Roman"/>
          <w:bCs/>
          <w:iCs/>
          <w:sz w:val="24"/>
          <w:szCs w:val="24"/>
        </w:rPr>
      </w:pPr>
      <w:r w:rsidRPr="001A299F">
        <w:rPr>
          <w:rFonts w:ascii="Times New Roman" w:hAnsi="Times New Roman" w:cs="Times New Roman"/>
          <w:bCs/>
          <w:iCs/>
          <w:sz w:val="24"/>
          <w:szCs w:val="24"/>
        </w:rPr>
        <w:t>тыс. рублей</w:t>
      </w:r>
    </w:p>
    <w:tbl>
      <w:tblPr>
        <w:tblW w:w="103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706"/>
        <w:gridCol w:w="1546"/>
        <w:gridCol w:w="1417"/>
        <w:gridCol w:w="1652"/>
      </w:tblGrid>
      <w:tr w:rsidR="001A299F" w:rsidRPr="001A299F" w:rsidTr="001A299F">
        <w:trPr>
          <w:tblHeader/>
          <w:jc w:val="center"/>
        </w:trPr>
        <w:tc>
          <w:tcPr>
            <w:tcW w:w="5706" w:type="dxa"/>
            <w:tcBorders>
              <w:top w:val="single" w:sz="4" w:space="0" w:color="auto"/>
              <w:left w:val="single" w:sz="4" w:space="0" w:color="auto"/>
              <w:bottom w:val="single" w:sz="4" w:space="0" w:color="auto"/>
            </w:tcBorders>
            <w:hideMark/>
          </w:tcPr>
          <w:p w:rsidR="001A299F" w:rsidRPr="001A299F" w:rsidRDefault="001A299F" w:rsidP="001A299F">
            <w:pPr>
              <w:spacing w:after="0" w:line="240" w:lineRule="auto"/>
              <w:jc w:val="center"/>
              <w:rPr>
                <w:rFonts w:ascii="Times New Roman" w:hAnsi="Times New Roman" w:cs="Times New Roman"/>
                <w:b/>
                <w:sz w:val="24"/>
                <w:szCs w:val="24"/>
              </w:rPr>
            </w:pPr>
            <w:r w:rsidRPr="001A299F">
              <w:rPr>
                <w:rFonts w:ascii="Times New Roman" w:hAnsi="Times New Roman" w:cs="Times New Roman"/>
                <w:b/>
                <w:sz w:val="24"/>
                <w:szCs w:val="24"/>
              </w:rPr>
              <w:t>Наименование</w:t>
            </w:r>
          </w:p>
        </w:tc>
        <w:tc>
          <w:tcPr>
            <w:tcW w:w="1546" w:type="dxa"/>
            <w:tcBorders>
              <w:top w:val="single" w:sz="4" w:space="0" w:color="auto"/>
              <w:bottom w:val="single" w:sz="4" w:space="0" w:color="auto"/>
            </w:tcBorders>
            <w:hideMark/>
          </w:tcPr>
          <w:p w:rsidR="001A299F" w:rsidRPr="001A299F" w:rsidRDefault="001A299F" w:rsidP="001A299F">
            <w:pPr>
              <w:spacing w:after="0" w:line="240" w:lineRule="auto"/>
              <w:jc w:val="center"/>
              <w:rPr>
                <w:rFonts w:ascii="Times New Roman" w:hAnsi="Times New Roman" w:cs="Times New Roman"/>
                <w:b/>
                <w:sz w:val="24"/>
                <w:szCs w:val="24"/>
              </w:rPr>
            </w:pPr>
            <w:r w:rsidRPr="001A299F">
              <w:rPr>
                <w:rFonts w:ascii="Times New Roman" w:hAnsi="Times New Roman" w:cs="Times New Roman"/>
                <w:b/>
                <w:sz w:val="24"/>
                <w:szCs w:val="24"/>
              </w:rPr>
              <w:t>Плановые назначения по отчету</w:t>
            </w:r>
          </w:p>
        </w:tc>
        <w:tc>
          <w:tcPr>
            <w:tcW w:w="1417" w:type="dxa"/>
            <w:tcBorders>
              <w:top w:val="single" w:sz="4" w:space="0" w:color="auto"/>
              <w:bottom w:val="single" w:sz="4" w:space="0" w:color="auto"/>
            </w:tcBorders>
            <w:hideMark/>
          </w:tcPr>
          <w:p w:rsidR="001A299F" w:rsidRPr="001A299F" w:rsidRDefault="001A299F" w:rsidP="001A299F">
            <w:pPr>
              <w:spacing w:after="0" w:line="240" w:lineRule="auto"/>
              <w:jc w:val="center"/>
              <w:rPr>
                <w:rFonts w:ascii="Times New Roman" w:hAnsi="Times New Roman" w:cs="Times New Roman"/>
                <w:b/>
                <w:sz w:val="24"/>
                <w:szCs w:val="24"/>
              </w:rPr>
            </w:pPr>
            <w:r w:rsidRPr="001A299F">
              <w:rPr>
                <w:rFonts w:ascii="Times New Roman" w:hAnsi="Times New Roman" w:cs="Times New Roman"/>
                <w:b/>
                <w:sz w:val="24"/>
                <w:szCs w:val="24"/>
              </w:rPr>
              <w:t>Исполнено</w:t>
            </w:r>
          </w:p>
        </w:tc>
        <w:tc>
          <w:tcPr>
            <w:tcW w:w="1652" w:type="dxa"/>
            <w:tcBorders>
              <w:top w:val="single" w:sz="4" w:space="0" w:color="auto"/>
              <w:bottom w:val="single" w:sz="4" w:space="0" w:color="auto"/>
              <w:right w:val="single" w:sz="4" w:space="0" w:color="auto"/>
            </w:tcBorders>
            <w:hideMark/>
          </w:tcPr>
          <w:p w:rsidR="001A299F" w:rsidRPr="001A299F" w:rsidRDefault="001A299F" w:rsidP="001A299F">
            <w:pPr>
              <w:spacing w:after="0" w:line="240" w:lineRule="auto"/>
              <w:jc w:val="center"/>
              <w:rPr>
                <w:rFonts w:ascii="Times New Roman" w:hAnsi="Times New Roman" w:cs="Times New Roman"/>
                <w:b/>
                <w:sz w:val="24"/>
                <w:szCs w:val="24"/>
              </w:rPr>
            </w:pPr>
            <w:r w:rsidRPr="001A299F">
              <w:rPr>
                <w:rFonts w:ascii="Times New Roman" w:hAnsi="Times New Roman" w:cs="Times New Roman"/>
                <w:b/>
                <w:sz w:val="24"/>
                <w:szCs w:val="24"/>
              </w:rPr>
              <w:t>Уровень исполнения, %</w:t>
            </w:r>
          </w:p>
        </w:tc>
      </w:tr>
      <w:tr w:rsidR="001A299F" w:rsidRPr="001A299F" w:rsidTr="001A299F">
        <w:trPr>
          <w:jc w:val="center"/>
        </w:trPr>
        <w:tc>
          <w:tcPr>
            <w:tcW w:w="5706" w:type="dxa"/>
            <w:tcBorders>
              <w:top w:val="single" w:sz="4" w:space="0" w:color="auto"/>
            </w:tcBorders>
            <w:hideMark/>
          </w:tcPr>
          <w:p w:rsidR="001A299F" w:rsidRPr="001A299F" w:rsidRDefault="001A299F" w:rsidP="001A299F">
            <w:pPr>
              <w:spacing w:after="0" w:line="240" w:lineRule="auto"/>
              <w:ind w:left="-36"/>
              <w:rPr>
                <w:rFonts w:ascii="Times New Roman" w:hAnsi="Times New Roman" w:cs="Times New Roman"/>
                <w:sz w:val="24"/>
                <w:szCs w:val="24"/>
              </w:rPr>
            </w:pPr>
            <w:r w:rsidRPr="001A299F">
              <w:rPr>
                <w:rFonts w:ascii="Times New Roman" w:hAnsi="Times New Roman" w:cs="Times New Roman"/>
                <w:sz w:val="24"/>
                <w:szCs w:val="24"/>
              </w:rPr>
              <w:t xml:space="preserve">1.Кредиты кредитных организаций в валюте Российской Федерации </w:t>
            </w:r>
          </w:p>
        </w:tc>
        <w:tc>
          <w:tcPr>
            <w:tcW w:w="1546" w:type="dxa"/>
            <w:tcBorders>
              <w:top w:val="single" w:sz="4" w:space="0" w:color="auto"/>
            </w:tcBorders>
            <w:vAlign w:val="bottom"/>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2615154,9</w:t>
            </w:r>
          </w:p>
        </w:tc>
        <w:tc>
          <w:tcPr>
            <w:tcW w:w="1417" w:type="dxa"/>
            <w:tcBorders>
              <w:top w:val="single" w:sz="4" w:space="0" w:color="auto"/>
            </w:tcBorders>
            <w:vAlign w:val="bottom"/>
            <w:hideMark/>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2240989,7</w:t>
            </w:r>
          </w:p>
        </w:tc>
        <w:tc>
          <w:tcPr>
            <w:tcW w:w="1652" w:type="dxa"/>
            <w:tcBorders>
              <w:top w:val="single" w:sz="4" w:space="0" w:color="auto"/>
            </w:tcBorders>
            <w:vAlign w:val="bottom"/>
            <w:hideMark/>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85,7</w:t>
            </w:r>
          </w:p>
        </w:tc>
      </w:tr>
      <w:tr w:rsidR="001A299F" w:rsidRPr="001A299F" w:rsidTr="001A299F">
        <w:trPr>
          <w:jc w:val="center"/>
        </w:trPr>
        <w:tc>
          <w:tcPr>
            <w:tcW w:w="5706" w:type="dxa"/>
          </w:tcPr>
          <w:p w:rsidR="001A299F" w:rsidRPr="001A299F" w:rsidRDefault="001A299F" w:rsidP="001A299F">
            <w:pPr>
              <w:spacing w:after="0" w:line="240" w:lineRule="auto"/>
              <w:ind w:left="-36"/>
              <w:jc w:val="both"/>
              <w:rPr>
                <w:rFonts w:ascii="Times New Roman" w:hAnsi="Times New Roman" w:cs="Times New Roman"/>
                <w:sz w:val="24"/>
                <w:szCs w:val="24"/>
              </w:rPr>
            </w:pPr>
            <w:r w:rsidRPr="001A299F">
              <w:rPr>
                <w:rFonts w:ascii="Times New Roman" w:hAnsi="Times New Roman" w:cs="Times New Roman"/>
                <w:sz w:val="24"/>
                <w:szCs w:val="24"/>
              </w:rPr>
              <w:t xml:space="preserve">  1.1.Получение кредитов от кредитных организаций в валюте Российской Федерации </w:t>
            </w:r>
          </w:p>
        </w:tc>
        <w:tc>
          <w:tcPr>
            <w:tcW w:w="1546" w:type="dxa"/>
            <w:vAlign w:val="bottom"/>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8682545,2</w:t>
            </w:r>
          </w:p>
        </w:tc>
        <w:tc>
          <w:tcPr>
            <w:tcW w:w="1417" w:type="dxa"/>
            <w:vAlign w:val="bottom"/>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8308380,0</w:t>
            </w:r>
          </w:p>
        </w:tc>
        <w:tc>
          <w:tcPr>
            <w:tcW w:w="1652" w:type="dxa"/>
            <w:vAlign w:val="bottom"/>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95,7</w:t>
            </w:r>
          </w:p>
        </w:tc>
      </w:tr>
      <w:tr w:rsidR="001A299F" w:rsidRPr="001A299F" w:rsidTr="001A299F">
        <w:trPr>
          <w:jc w:val="center"/>
        </w:trPr>
        <w:tc>
          <w:tcPr>
            <w:tcW w:w="5706" w:type="dxa"/>
          </w:tcPr>
          <w:p w:rsidR="001A299F" w:rsidRPr="001A299F" w:rsidRDefault="001A299F" w:rsidP="001A299F">
            <w:pPr>
              <w:spacing w:after="0" w:line="240" w:lineRule="auto"/>
              <w:ind w:left="-36"/>
              <w:jc w:val="both"/>
              <w:rPr>
                <w:rFonts w:ascii="Times New Roman" w:hAnsi="Times New Roman" w:cs="Times New Roman"/>
                <w:sz w:val="24"/>
                <w:szCs w:val="24"/>
              </w:rPr>
            </w:pPr>
            <w:r w:rsidRPr="001A299F">
              <w:rPr>
                <w:rFonts w:ascii="Times New Roman" w:hAnsi="Times New Roman" w:cs="Times New Roman"/>
                <w:sz w:val="24"/>
                <w:szCs w:val="24"/>
              </w:rPr>
              <w:t xml:space="preserve">  1.2.Погашение кредитов, предоставленных кредитными организациями в валюте Российской Федерации</w:t>
            </w:r>
          </w:p>
        </w:tc>
        <w:tc>
          <w:tcPr>
            <w:tcW w:w="1546" w:type="dxa"/>
            <w:vAlign w:val="bottom"/>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-6067390,3</w:t>
            </w:r>
          </w:p>
        </w:tc>
        <w:tc>
          <w:tcPr>
            <w:tcW w:w="1417" w:type="dxa"/>
            <w:vAlign w:val="bottom"/>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-6067390,3</w:t>
            </w:r>
          </w:p>
        </w:tc>
        <w:tc>
          <w:tcPr>
            <w:tcW w:w="1652" w:type="dxa"/>
            <w:vAlign w:val="bottom"/>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100,0</w:t>
            </w:r>
          </w:p>
        </w:tc>
      </w:tr>
      <w:tr w:rsidR="001A299F" w:rsidRPr="001A299F" w:rsidTr="001A299F">
        <w:trPr>
          <w:jc w:val="center"/>
        </w:trPr>
        <w:tc>
          <w:tcPr>
            <w:tcW w:w="5706" w:type="dxa"/>
            <w:hideMark/>
          </w:tcPr>
          <w:p w:rsidR="001A299F" w:rsidRPr="001A299F" w:rsidRDefault="001A299F" w:rsidP="001A299F">
            <w:pPr>
              <w:spacing w:after="0" w:line="240" w:lineRule="auto"/>
              <w:ind w:left="-36"/>
              <w:jc w:val="both"/>
              <w:rPr>
                <w:rFonts w:ascii="Times New Roman" w:hAnsi="Times New Roman" w:cs="Times New Roman"/>
                <w:sz w:val="24"/>
                <w:szCs w:val="24"/>
              </w:rPr>
            </w:pPr>
            <w:r w:rsidRPr="001A299F">
              <w:rPr>
                <w:rFonts w:ascii="Times New Roman" w:hAnsi="Times New Roman" w:cs="Times New Roman"/>
                <w:sz w:val="24"/>
                <w:szCs w:val="24"/>
              </w:rPr>
              <w:t>2.Бюджетные кредиты от других бюджетов бюджетной системы Российской Федерации</w:t>
            </w:r>
          </w:p>
        </w:tc>
        <w:tc>
          <w:tcPr>
            <w:tcW w:w="1546" w:type="dxa"/>
            <w:vAlign w:val="bottom"/>
            <w:hideMark/>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165040,2</w:t>
            </w:r>
          </w:p>
        </w:tc>
        <w:tc>
          <w:tcPr>
            <w:tcW w:w="1417" w:type="dxa"/>
            <w:vAlign w:val="bottom"/>
            <w:hideMark/>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80015,2</w:t>
            </w:r>
          </w:p>
        </w:tc>
        <w:tc>
          <w:tcPr>
            <w:tcW w:w="1652" w:type="dxa"/>
            <w:vAlign w:val="bottom"/>
            <w:hideMark/>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48,5</w:t>
            </w:r>
          </w:p>
        </w:tc>
      </w:tr>
      <w:tr w:rsidR="001A299F" w:rsidRPr="001A299F" w:rsidTr="001A299F">
        <w:trPr>
          <w:jc w:val="center"/>
        </w:trPr>
        <w:tc>
          <w:tcPr>
            <w:tcW w:w="5706" w:type="dxa"/>
          </w:tcPr>
          <w:p w:rsidR="001A299F" w:rsidRPr="001A299F" w:rsidRDefault="001A299F" w:rsidP="001A299F">
            <w:pPr>
              <w:spacing w:after="0" w:line="240" w:lineRule="auto"/>
              <w:ind w:left="-36"/>
              <w:jc w:val="both"/>
              <w:rPr>
                <w:rFonts w:ascii="Times New Roman" w:hAnsi="Times New Roman" w:cs="Times New Roman"/>
                <w:sz w:val="24"/>
                <w:szCs w:val="24"/>
              </w:rPr>
            </w:pPr>
            <w:r w:rsidRPr="001A299F">
              <w:rPr>
                <w:rFonts w:ascii="Times New Roman" w:hAnsi="Times New Roman" w:cs="Times New Roman"/>
                <w:sz w:val="24"/>
                <w:szCs w:val="24"/>
              </w:rPr>
              <w:t xml:space="preserve">  2.1.Получение бюджетных кредитов от других бюджетов бюджетной системы Российской Федерации бюджетами субъектов Российской Федерации в валюте Российской Федерации </w:t>
            </w:r>
          </w:p>
        </w:tc>
        <w:tc>
          <w:tcPr>
            <w:tcW w:w="1546" w:type="dxa"/>
            <w:vAlign w:val="bottom"/>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9212650,0</w:t>
            </w:r>
          </w:p>
        </w:tc>
        <w:tc>
          <w:tcPr>
            <w:tcW w:w="1417" w:type="dxa"/>
            <w:vAlign w:val="bottom"/>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9127625,0</w:t>
            </w:r>
          </w:p>
        </w:tc>
        <w:tc>
          <w:tcPr>
            <w:tcW w:w="1652" w:type="dxa"/>
            <w:vAlign w:val="bottom"/>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99,1</w:t>
            </w:r>
          </w:p>
        </w:tc>
      </w:tr>
      <w:tr w:rsidR="001A299F" w:rsidRPr="001A299F" w:rsidTr="001A299F">
        <w:trPr>
          <w:jc w:val="center"/>
        </w:trPr>
        <w:tc>
          <w:tcPr>
            <w:tcW w:w="5706" w:type="dxa"/>
          </w:tcPr>
          <w:p w:rsidR="001A299F" w:rsidRPr="001A299F" w:rsidRDefault="001A299F" w:rsidP="001A299F">
            <w:pPr>
              <w:spacing w:after="0" w:line="240" w:lineRule="auto"/>
              <w:ind w:left="-36"/>
              <w:jc w:val="both"/>
              <w:rPr>
                <w:rFonts w:ascii="Times New Roman" w:hAnsi="Times New Roman" w:cs="Times New Roman"/>
                <w:sz w:val="24"/>
                <w:szCs w:val="24"/>
              </w:rPr>
            </w:pPr>
            <w:r w:rsidRPr="001A299F">
              <w:rPr>
                <w:rFonts w:ascii="Times New Roman" w:hAnsi="Times New Roman" w:cs="Times New Roman"/>
                <w:sz w:val="24"/>
                <w:szCs w:val="24"/>
              </w:rPr>
              <w:t xml:space="preserve">  2.2.Погашение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46" w:type="dxa"/>
            <w:vAlign w:val="bottom"/>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9047609,8</w:t>
            </w:r>
          </w:p>
        </w:tc>
        <w:tc>
          <w:tcPr>
            <w:tcW w:w="1417" w:type="dxa"/>
            <w:vAlign w:val="bottom"/>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9047609,8</w:t>
            </w:r>
          </w:p>
        </w:tc>
        <w:tc>
          <w:tcPr>
            <w:tcW w:w="1652" w:type="dxa"/>
            <w:vAlign w:val="bottom"/>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100,0</w:t>
            </w:r>
          </w:p>
        </w:tc>
      </w:tr>
      <w:tr w:rsidR="001A299F" w:rsidRPr="001A299F" w:rsidTr="001A299F">
        <w:trPr>
          <w:jc w:val="center"/>
        </w:trPr>
        <w:tc>
          <w:tcPr>
            <w:tcW w:w="5706" w:type="dxa"/>
            <w:hideMark/>
          </w:tcPr>
          <w:p w:rsidR="001A299F" w:rsidRPr="001A299F" w:rsidRDefault="001A299F" w:rsidP="001A299F">
            <w:pPr>
              <w:spacing w:after="0" w:line="240" w:lineRule="auto"/>
              <w:ind w:left="-36"/>
              <w:jc w:val="both"/>
              <w:rPr>
                <w:rFonts w:ascii="Times New Roman" w:hAnsi="Times New Roman" w:cs="Times New Roman"/>
                <w:sz w:val="24"/>
                <w:szCs w:val="24"/>
              </w:rPr>
            </w:pPr>
            <w:r w:rsidRPr="001A299F">
              <w:rPr>
                <w:rFonts w:ascii="Times New Roman" w:hAnsi="Times New Roman" w:cs="Times New Roman"/>
                <w:sz w:val="24"/>
                <w:szCs w:val="24"/>
              </w:rPr>
              <w:t>3.Акции и иные формы участия в капитале, находящиеся в государственной и муниципальной собственности</w:t>
            </w:r>
          </w:p>
        </w:tc>
        <w:tc>
          <w:tcPr>
            <w:tcW w:w="1546" w:type="dxa"/>
            <w:vAlign w:val="bottom"/>
            <w:hideMark/>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25000,0</w:t>
            </w:r>
          </w:p>
        </w:tc>
        <w:tc>
          <w:tcPr>
            <w:tcW w:w="1417" w:type="dxa"/>
            <w:vAlign w:val="bottom"/>
            <w:hideMark/>
          </w:tcPr>
          <w:p w:rsidR="001A299F" w:rsidRPr="001A299F" w:rsidRDefault="001A299F" w:rsidP="001A299F">
            <w:pPr>
              <w:spacing w:after="0" w:line="240" w:lineRule="auto"/>
              <w:jc w:val="center"/>
              <w:rPr>
                <w:rFonts w:ascii="Times New Roman" w:hAnsi="Times New Roman" w:cs="Times New Roman"/>
                <w:b/>
                <w:sz w:val="24"/>
                <w:szCs w:val="24"/>
              </w:rPr>
            </w:pPr>
            <w:r w:rsidRPr="001A299F">
              <w:rPr>
                <w:rFonts w:ascii="Times New Roman" w:hAnsi="Times New Roman" w:cs="Times New Roman"/>
                <w:b/>
                <w:sz w:val="24"/>
                <w:szCs w:val="24"/>
              </w:rPr>
              <w:t>-</w:t>
            </w:r>
          </w:p>
        </w:tc>
        <w:tc>
          <w:tcPr>
            <w:tcW w:w="1652" w:type="dxa"/>
            <w:vAlign w:val="bottom"/>
            <w:hideMark/>
          </w:tcPr>
          <w:p w:rsidR="001A299F" w:rsidRPr="001A299F" w:rsidRDefault="001A299F" w:rsidP="001A299F">
            <w:pPr>
              <w:spacing w:after="0" w:line="240" w:lineRule="auto"/>
              <w:jc w:val="center"/>
              <w:rPr>
                <w:rFonts w:ascii="Times New Roman" w:hAnsi="Times New Roman" w:cs="Times New Roman"/>
                <w:b/>
                <w:sz w:val="24"/>
                <w:szCs w:val="24"/>
              </w:rPr>
            </w:pPr>
            <w:r w:rsidRPr="001A299F">
              <w:rPr>
                <w:rFonts w:ascii="Times New Roman" w:hAnsi="Times New Roman" w:cs="Times New Roman"/>
                <w:b/>
                <w:sz w:val="24"/>
                <w:szCs w:val="24"/>
              </w:rPr>
              <w:t>-</w:t>
            </w:r>
          </w:p>
        </w:tc>
      </w:tr>
      <w:tr w:rsidR="001A299F" w:rsidRPr="001A299F" w:rsidTr="001A299F">
        <w:trPr>
          <w:jc w:val="center"/>
        </w:trPr>
        <w:tc>
          <w:tcPr>
            <w:tcW w:w="5706" w:type="dxa"/>
            <w:hideMark/>
          </w:tcPr>
          <w:p w:rsidR="001A299F" w:rsidRPr="001A299F" w:rsidRDefault="001A299F" w:rsidP="001A299F">
            <w:pPr>
              <w:spacing w:after="0" w:line="240" w:lineRule="auto"/>
              <w:ind w:left="-36"/>
              <w:jc w:val="both"/>
              <w:rPr>
                <w:rFonts w:ascii="Times New Roman" w:hAnsi="Times New Roman" w:cs="Times New Roman"/>
                <w:sz w:val="24"/>
                <w:szCs w:val="24"/>
              </w:rPr>
            </w:pPr>
            <w:r w:rsidRPr="001A299F">
              <w:rPr>
                <w:rFonts w:ascii="Times New Roman" w:hAnsi="Times New Roman" w:cs="Times New Roman"/>
                <w:sz w:val="24"/>
                <w:szCs w:val="24"/>
              </w:rPr>
              <w:t xml:space="preserve">  3.1. Средства от продажи акций и иных форм участия в капитале, находящихся в собственности бюджетов субъектов Российской Федерации</w:t>
            </w:r>
          </w:p>
        </w:tc>
        <w:tc>
          <w:tcPr>
            <w:tcW w:w="1546" w:type="dxa"/>
            <w:vAlign w:val="bottom"/>
            <w:hideMark/>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25000,0</w:t>
            </w:r>
          </w:p>
        </w:tc>
        <w:tc>
          <w:tcPr>
            <w:tcW w:w="1417" w:type="dxa"/>
            <w:vAlign w:val="bottom"/>
            <w:hideMark/>
          </w:tcPr>
          <w:p w:rsidR="001A299F" w:rsidRPr="001A299F" w:rsidRDefault="001A299F" w:rsidP="001A299F">
            <w:pPr>
              <w:spacing w:after="0" w:line="240" w:lineRule="auto"/>
              <w:jc w:val="center"/>
              <w:rPr>
                <w:rFonts w:ascii="Times New Roman" w:hAnsi="Times New Roman" w:cs="Times New Roman"/>
                <w:b/>
                <w:sz w:val="24"/>
                <w:szCs w:val="24"/>
              </w:rPr>
            </w:pPr>
            <w:r w:rsidRPr="001A299F">
              <w:rPr>
                <w:rFonts w:ascii="Times New Roman" w:hAnsi="Times New Roman" w:cs="Times New Roman"/>
                <w:b/>
                <w:sz w:val="24"/>
                <w:szCs w:val="24"/>
              </w:rPr>
              <w:t>-</w:t>
            </w:r>
          </w:p>
        </w:tc>
        <w:tc>
          <w:tcPr>
            <w:tcW w:w="1652" w:type="dxa"/>
            <w:vAlign w:val="bottom"/>
            <w:hideMark/>
          </w:tcPr>
          <w:p w:rsidR="001A299F" w:rsidRPr="001A299F" w:rsidRDefault="001A299F" w:rsidP="001A299F">
            <w:pPr>
              <w:spacing w:after="0" w:line="240" w:lineRule="auto"/>
              <w:jc w:val="center"/>
              <w:rPr>
                <w:rFonts w:ascii="Times New Roman" w:hAnsi="Times New Roman" w:cs="Times New Roman"/>
                <w:b/>
                <w:sz w:val="24"/>
                <w:szCs w:val="24"/>
              </w:rPr>
            </w:pPr>
            <w:r w:rsidRPr="001A299F">
              <w:rPr>
                <w:rFonts w:ascii="Times New Roman" w:hAnsi="Times New Roman" w:cs="Times New Roman"/>
                <w:b/>
                <w:sz w:val="24"/>
                <w:szCs w:val="24"/>
              </w:rPr>
              <w:t>-</w:t>
            </w:r>
          </w:p>
        </w:tc>
      </w:tr>
      <w:tr w:rsidR="001A299F" w:rsidRPr="001A299F" w:rsidTr="001A299F">
        <w:trPr>
          <w:trHeight w:val="488"/>
          <w:jc w:val="center"/>
        </w:trPr>
        <w:tc>
          <w:tcPr>
            <w:tcW w:w="5706" w:type="dxa"/>
            <w:hideMark/>
          </w:tcPr>
          <w:p w:rsidR="001A299F" w:rsidRPr="001A299F" w:rsidRDefault="001A299F" w:rsidP="001A299F">
            <w:pPr>
              <w:spacing w:after="0" w:line="240" w:lineRule="auto"/>
              <w:ind w:left="-36"/>
              <w:jc w:val="both"/>
              <w:rPr>
                <w:rFonts w:ascii="Times New Roman" w:hAnsi="Times New Roman" w:cs="Times New Roman"/>
                <w:sz w:val="24"/>
                <w:szCs w:val="24"/>
              </w:rPr>
            </w:pPr>
            <w:r w:rsidRPr="001A299F">
              <w:rPr>
                <w:rFonts w:ascii="Times New Roman" w:hAnsi="Times New Roman" w:cs="Times New Roman"/>
                <w:sz w:val="24"/>
                <w:szCs w:val="24"/>
              </w:rPr>
              <w:t>4.Исполнение государственных и муниципальных гарантий в валюте Российской Федерации</w:t>
            </w:r>
          </w:p>
        </w:tc>
        <w:tc>
          <w:tcPr>
            <w:tcW w:w="1546" w:type="dxa"/>
            <w:vAlign w:val="bottom"/>
            <w:hideMark/>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-173747,5</w:t>
            </w:r>
          </w:p>
        </w:tc>
        <w:tc>
          <w:tcPr>
            <w:tcW w:w="1417" w:type="dxa"/>
            <w:vAlign w:val="bottom"/>
            <w:hideMark/>
          </w:tcPr>
          <w:p w:rsidR="001A299F" w:rsidRPr="001A299F" w:rsidRDefault="001A299F" w:rsidP="001A299F">
            <w:pPr>
              <w:spacing w:after="0" w:line="240" w:lineRule="auto"/>
              <w:jc w:val="center"/>
              <w:rPr>
                <w:rFonts w:ascii="Times New Roman" w:hAnsi="Times New Roman" w:cs="Times New Roman"/>
                <w:b/>
                <w:sz w:val="24"/>
                <w:szCs w:val="24"/>
              </w:rPr>
            </w:pPr>
            <w:r w:rsidRPr="001A299F">
              <w:rPr>
                <w:rFonts w:ascii="Times New Roman" w:hAnsi="Times New Roman" w:cs="Times New Roman"/>
                <w:b/>
                <w:sz w:val="24"/>
                <w:szCs w:val="24"/>
              </w:rPr>
              <w:t>-</w:t>
            </w:r>
          </w:p>
        </w:tc>
        <w:tc>
          <w:tcPr>
            <w:tcW w:w="1652" w:type="dxa"/>
            <w:vAlign w:val="bottom"/>
            <w:hideMark/>
          </w:tcPr>
          <w:p w:rsidR="001A299F" w:rsidRPr="001A299F" w:rsidRDefault="001A299F" w:rsidP="001A299F">
            <w:pPr>
              <w:spacing w:after="0" w:line="240" w:lineRule="auto"/>
              <w:jc w:val="center"/>
              <w:rPr>
                <w:rFonts w:ascii="Times New Roman" w:hAnsi="Times New Roman" w:cs="Times New Roman"/>
                <w:b/>
                <w:sz w:val="24"/>
                <w:szCs w:val="24"/>
              </w:rPr>
            </w:pPr>
            <w:r w:rsidRPr="001A299F">
              <w:rPr>
                <w:rFonts w:ascii="Times New Roman" w:hAnsi="Times New Roman" w:cs="Times New Roman"/>
                <w:b/>
                <w:sz w:val="24"/>
                <w:szCs w:val="24"/>
              </w:rPr>
              <w:t>-</w:t>
            </w:r>
          </w:p>
        </w:tc>
      </w:tr>
      <w:tr w:rsidR="001A299F" w:rsidRPr="001A299F" w:rsidTr="001A299F">
        <w:trPr>
          <w:trHeight w:val="915"/>
          <w:jc w:val="center"/>
        </w:trPr>
        <w:tc>
          <w:tcPr>
            <w:tcW w:w="5706" w:type="dxa"/>
            <w:hideMark/>
          </w:tcPr>
          <w:p w:rsidR="001A299F" w:rsidRPr="001A299F" w:rsidRDefault="001A299F" w:rsidP="001A299F">
            <w:pPr>
              <w:spacing w:after="0" w:line="240" w:lineRule="auto"/>
              <w:ind w:left="-36"/>
              <w:jc w:val="both"/>
              <w:rPr>
                <w:rFonts w:ascii="Times New Roman" w:hAnsi="Times New Roman" w:cs="Times New Roman"/>
                <w:sz w:val="24"/>
                <w:szCs w:val="24"/>
              </w:rPr>
            </w:pPr>
            <w:r w:rsidRPr="001A299F">
              <w:rPr>
                <w:rFonts w:ascii="Times New Roman" w:hAnsi="Times New Roman" w:cs="Times New Roman"/>
                <w:sz w:val="24"/>
                <w:szCs w:val="24"/>
              </w:rPr>
              <w:t xml:space="preserve">  4.1.Исполнение государственных гарантий субъектов Российской Федерации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46" w:type="dxa"/>
            <w:vAlign w:val="bottom"/>
            <w:hideMark/>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-173747,5</w:t>
            </w:r>
          </w:p>
        </w:tc>
        <w:tc>
          <w:tcPr>
            <w:tcW w:w="1417" w:type="dxa"/>
            <w:vAlign w:val="bottom"/>
            <w:hideMark/>
          </w:tcPr>
          <w:p w:rsidR="001A299F" w:rsidRPr="001A299F" w:rsidRDefault="001A299F" w:rsidP="001A299F">
            <w:pPr>
              <w:spacing w:after="0" w:line="240" w:lineRule="auto"/>
              <w:jc w:val="center"/>
              <w:rPr>
                <w:rFonts w:ascii="Times New Roman" w:hAnsi="Times New Roman" w:cs="Times New Roman"/>
                <w:b/>
                <w:sz w:val="24"/>
                <w:szCs w:val="24"/>
              </w:rPr>
            </w:pPr>
            <w:r w:rsidRPr="001A299F">
              <w:rPr>
                <w:rFonts w:ascii="Times New Roman" w:hAnsi="Times New Roman" w:cs="Times New Roman"/>
                <w:b/>
                <w:sz w:val="24"/>
                <w:szCs w:val="24"/>
              </w:rPr>
              <w:t>-</w:t>
            </w:r>
          </w:p>
        </w:tc>
        <w:tc>
          <w:tcPr>
            <w:tcW w:w="1652" w:type="dxa"/>
            <w:vAlign w:val="bottom"/>
            <w:hideMark/>
          </w:tcPr>
          <w:p w:rsidR="001A299F" w:rsidRPr="001A299F" w:rsidRDefault="001A299F" w:rsidP="001A299F">
            <w:pPr>
              <w:spacing w:after="0" w:line="240" w:lineRule="auto"/>
              <w:jc w:val="center"/>
              <w:rPr>
                <w:rFonts w:ascii="Times New Roman" w:hAnsi="Times New Roman" w:cs="Times New Roman"/>
                <w:b/>
                <w:sz w:val="24"/>
                <w:szCs w:val="24"/>
              </w:rPr>
            </w:pPr>
            <w:r w:rsidRPr="001A299F">
              <w:rPr>
                <w:rFonts w:ascii="Times New Roman" w:hAnsi="Times New Roman" w:cs="Times New Roman"/>
                <w:b/>
                <w:sz w:val="24"/>
                <w:szCs w:val="24"/>
              </w:rPr>
              <w:t>-</w:t>
            </w:r>
          </w:p>
        </w:tc>
      </w:tr>
      <w:tr w:rsidR="001A299F" w:rsidRPr="001A299F" w:rsidTr="001A299F">
        <w:trPr>
          <w:trHeight w:val="569"/>
          <w:jc w:val="center"/>
        </w:trPr>
        <w:tc>
          <w:tcPr>
            <w:tcW w:w="5706" w:type="dxa"/>
            <w:hideMark/>
          </w:tcPr>
          <w:p w:rsidR="001A299F" w:rsidRPr="001A299F" w:rsidRDefault="001A299F" w:rsidP="001A299F">
            <w:pPr>
              <w:spacing w:after="0" w:line="240" w:lineRule="auto"/>
              <w:jc w:val="both"/>
              <w:rPr>
                <w:rFonts w:ascii="Times New Roman" w:hAnsi="Times New Roman" w:cs="Times New Roman"/>
                <w:sz w:val="24"/>
                <w:szCs w:val="24"/>
              </w:rPr>
            </w:pPr>
            <w:r w:rsidRPr="001A299F">
              <w:rPr>
                <w:rFonts w:ascii="Times New Roman" w:hAnsi="Times New Roman" w:cs="Times New Roman"/>
                <w:sz w:val="24"/>
                <w:szCs w:val="24"/>
              </w:rPr>
              <w:t>5.Бюджетные кредиты, предоставленные внутри страны в валюте Российской Федерации</w:t>
            </w:r>
          </w:p>
        </w:tc>
        <w:tc>
          <w:tcPr>
            <w:tcW w:w="1546" w:type="dxa"/>
            <w:vAlign w:val="bottom"/>
            <w:hideMark/>
          </w:tcPr>
          <w:p w:rsidR="001A299F" w:rsidRPr="001A299F" w:rsidRDefault="001A299F" w:rsidP="001A299F">
            <w:pPr>
              <w:tabs>
                <w:tab w:val="center" w:pos="431"/>
              </w:tabs>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545327,8</w:t>
            </w:r>
          </w:p>
        </w:tc>
        <w:tc>
          <w:tcPr>
            <w:tcW w:w="1417" w:type="dxa"/>
            <w:vAlign w:val="bottom"/>
            <w:hideMark/>
          </w:tcPr>
          <w:p w:rsidR="001A299F" w:rsidRPr="001A299F" w:rsidRDefault="001A299F" w:rsidP="001A299F">
            <w:pPr>
              <w:tabs>
                <w:tab w:val="center" w:pos="431"/>
              </w:tabs>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55667,3</w:t>
            </w:r>
          </w:p>
        </w:tc>
        <w:tc>
          <w:tcPr>
            <w:tcW w:w="1652" w:type="dxa"/>
            <w:vAlign w:val="bottom"/>
            <w:hideMark/>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10,2</w:t>
            </w:r>
          </w:p>
        </w:tc>
      </w:tr>
      <w:tr w:rsidR="001A299F" w:rsidRPr="001A299F" w:rsidTr="001A299F">
        <w:trPr>
          <w:jc w:val="center"/>
        </w:trPr>
        <w:tc>
          <w:tcPr>
            <w:tcW w:w="5706" w:type="dxa"/>
            <w:hideMark/>
          </w:tcPr>
          <w:p w:rsidR="001A299F" w:rsidRPr="001A299F" w:rsidRDefault="001A299F" w:rsidP="001A299F">
            <w:pPr>
              <w:spacing w:after="0" w:line="240" w:lineRule="auto"/>
              <w:jc w:val="both"/>
              <w:rPr>
                <w:rFonts w:ascii="Times New Roman" w:hAnsi="Times New Roman" w:cs="Times New Roman"/>
                <w:sz w:val="24"/>
                <w:szCs w:val="24"/>
              </w:rPr>
            </w:pPr>
            <w:r w:rsidRPr="001A299F">
              <w:rPr>
                <w:rFonts w:ascii="Times New Roman" w:hAnsi="Times New Roman" w:cs="Times New Roman"/>
                <w:sz w:val="24"/>
                <w:szCs w:val="24"/>
              </w:rPr>
              <w:t>6.Изменение остатков средств на счетах по учету средств бюджета</w:t>
            </w:r>
          </w:p>
        </w:tc>
        <w:tc>
          <w:tcPr>
            <w:tcW w:w="1546" w:type="dxa"/>
            <w:vAlign w:val="bottom"/>
            <w:hideMark/>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1838879,4</w:t>
            </w:r>
          </w:p>
        </w:tc>
        <w:tc>
          <w:tcPr>
            <w:tcW w:w="1417" w:type="dxa"/>
            <w:vAlign w:val="bottom"/>
            <w:hideMark/>
          </w:tcPr>
          <w:p w:rsidR="001A299F" w:rsidRPr="001A299F" w:rsidRDefault="001A299F" w:rsidP="001A299F">
            <w:pPr>
              <w:spacing w:after="0" w:line="240" w:lineRule="auto"/>
              <w:jc w:val="center"/>
              <w:rPr>
                <w:rFonts w:ascii="Times New Roman" w:hAnsi="Times New Roman" w:cs="Times New Roman"/>
                <w:sz w:val="24"/>
                <w:szCs w:val="24"/>
              </w:rPr>
            </w:pPr>
            <w:r w:rsidRPr="001A299F">
              <w:rPr>
                <w:rFonts w:ascii="Times New Roman" w:hAnsi="Times New Roman" w:cs="Times New Roman"/>
                <w:sz w:val="24"/>
                <w:szCs w:val="24"/>
              </w:rPr>
              <w:t>1184705,8*</w:t>
            </w:r>
          </w:p>
        </w:tc>
        <w:tc>
          <w:tcPr>
            <w:tcW w:w="1652" w:type="dxa"/>
            <w:vAlign w:val="bottom"/>
            <w:hideMark/>
          </w:tcPr>
          <w:p w:rsidR="001A299F" w:rsidRPr="001A299F" w:rsidRDefault="001A299F" w:rsidP="001A299F">
            <w:pPr>
              <w:spacing w:after="0" w:line="240" w:lineRule="auto"/>
              <w:jc w:val="center"/>
              <w:rPr>
                <w:rFonts w:ascii="Times New Roman" w:hAnsi="Times New Roman" w:cs="Times New Roman"/>
                <w:b/>
                <w:sz w:val="24"/>
                <w:szCs w:val="24"/>
              </w:rPr>
            </w:pPr>
            <w:r w:rsidRPr="001A299F">
              <w:rPr>
                <w:rFonts w:ascii="Times New Roman" w:hAnsi="Times New Roman" w:cs="Times New Roman"/>
                <w:b/>
                <w:sz w:val="24"/>
                <w:szCs w:val="24"/>
              </w:rPr>
              <w:t>-</w:t>
            </w:r>
          </w:p>
        </w:tc>
      </w:tr>
      <w:tr w:rsidR="001A299F" w:rsidRPr="001A299F" w:rsidTr="001A299F">
        <w:trPr>
          <w:jc w:val="center"/>
        </w:trPr>
        <w:tc>
          <w:tcPr>
            <w:tcW w:w="5706" w:type="dxa"/>
            <w:hideMark/>
          </w:tcPr>
          <w:p w:rsidR="001A299F" w:rsidRPr="001A299F" w:rsidRDefault="001A299F" w:rsidP="001A299F">
            <w:pPr>
              <w:spacing w:after="0" w:line="240" w:lineRule="auto"/>
              <w:ind w:left="-36"/>
              <w:jc w:val="both"/>
              <w:rPr>
                <w:rFonts w:ascii="Times New Roman" w:hAnsi="Times New Roman" w:cs="Times New Roman"/>
                <w:b/>
                <w:sz w:val="24"/>
                <w:szCs w:val="24"/>
              </w:rPr>
            </w:pPr>
            <w:r w:rsidRPr="001A299F">
              <w:rPr>
                <w:rFonts w:ascii="Times New Roman" w:hAnsi="Times New Roman" w:cs="Times New Roman"/>
                <w:b/>
                <w:sz w:val="24"/>
                <w:szCs w:val="24"/>
              </w:rPr>
              <w:t>Итого источников внутреннего финансирования</w:t>
            </w:r>
          </w:p>
        </w:tc>
        <w:tc>
          <w:tcPr>
            <w:tcW w:w="1546" w:type="dxa"/>
            <w:vAlign w:val="bottom"/>
            <w:hideMark/>
          </w:tcPr>
          <w:p w:rsidR="001A299F" w:rsidRPr="001A299F" w:rsidRDefault="001A299F" w:rsidP="001A299F">
            <w:pPr>
              <w:spacing w:after="0" w:line="240" w:lineRule="auto"/>
              <w:jc w:val="center"/>
              <w:rPr>
                <w:rFonts w:ascii="Times New Roman" w:hAnsi="Times New Roman" w:cs="Times New Roman"/>
                <w:b/>
                <w:sz w:val="24"/>
                <w:szCs w:val="24"/>
              </w:rPr>
            </w:pPr>
            <w:r w:rsidRPr="001A299F">
              <w:rPr>
                <w:rFonts w:ascii="Times New Roman" w:hAnsi="Times New Roman" w:cs="Times New Roman"/>
                <w:b/>
                <w:sz w:val="24"/>
                <w:szCs w:val="24"/>
              </w:rPr>
              <w:t>5015654,8</w:t>
            </w:r>
          </w:p>
        </w:tc>
        <w:tc>
          <w:tcPr>
            <w:tcW w:w="1417" w:type="dxa"/>
            <w:vAlign w:val="bottom"/>
            <w:hideMark/>
          </w:tcPr>
          <w:p w:rsidR="001A299F" w:rsidRPr="001A299F" w:rsidRDefault="001A299F" w:rsidP="001A299F">
            <w:pPr>
              <w:spacing w:after="0" w:line="240" w:lineRule="auto"/>
              <w:jc w:val="center"/>
              <w:rPr>
                <w:rFonts w:ascii="Times New Roman" w:hAnsi="Times New Roman" w:cs="Times New Roman"/>
                <w:b/>
                <w:sz w:val="24"/>
                <w:szCs w:val="24"/>
              </w:rPr>
            </w:pPr>
            <w:r w:rsidRPr="001A299F">
              <w:rPr>
                <w:rFonts w:ascii="Times New Roman" w:hAnsi="Times New Roman" w:cs="Times New Roman"/>
                <w:b/>
                <w:sz w:val="24"/>
                <w:szCs w:val="24"/>
              </w:rPr>
              <w:t>3561378,0</w:t>
            </w:r>
          </w:p>
        </w:tc>
        <w:tc>
          <w:tcPr>
            <w:tcW w:w="1652" w:type="dxa"/>
            <w:vAlign w:val="bottom"/>
            <w:hideMark/>
          </w:tcPr>
          <w:p w:rsidR="001A299F" w:rsidRPr="001A299F" w:rsidRDefault="001A299F" w:rsidP="001A299F">
            <w:pPr>
              <w:spacing w:after="0" w:line="240" w:lineRule="auto"/>
              <w:jc w:val="center"/>
              <w:rPr>
                <w:rFonts w:ascii="Times New Roman" w:hAnsi="Times New Roman" w:cs="Times New Roman"/>
                <w:b/>
                <w:sz w:val="24"/>
                <w:szCs w:val="24"/>
              </w:rPr>
            </w:pPr>
            <w:r w:rsidRPr="001A299F">
              <w:rPr>
                <w:rFonts w:ascii="Times New Roman" w:hAnsi="Times New Roman" w:cs="Times New Roman"/>
                <w:b/>
                <w:sz w:val="24"/>
                <w:szCs w:val="24"/>
              </w:rPr>
              <w:t>71,0</w:t>
            </w:r>
          </w:p>
        </w:tc>
      </w:tr>
    </w:tbl>
    <w:p w:rsidR="001A299F" w:rsidRPr="001A299F" w:rsidRDefault="001A299F" w:rsidP="001A299F">
      <w:pPr>
        <w:spacing w:after="0" w:line="240" w:lineRule="auto"/>
        <w:jc w:val="both"/>
        <w:rPr>
          <w:rFonts w:ascii="Times New Roman" w:hAnsi="Times New Roman" w:cs="Times New Roman"/>
          <w:sz w:val="20"/>
          <w:szCs w:val="20"/>
        </w:rPr>
      </w:pPr>
      <w:r w:rsidRPr="001A299F">
        <w:rPr>
          <w:rFonts w:ascii="Times New Roman" w:hAnsi="Times New Roman" w:cs="Times New Roman"/>
          <w:sz w:val="20"/>
          <w:szCs w:val="20"/>
        </w:rPr>
        <w:t>(*) данный показатель отражает сальдовый остаток между показателями поступления денежных средств и произведенными выплатами из областного бюджета</w:t>
      </w:r>
    </w:p>
    <w:p w:rsidR="001A299F" w:rsidRPr="001A299F" w:rsidRDefault="001A299F" w:rsidP="001A299F">
      <w:pPr>
        <w:spacing w:after="0" w:line="240" w:lineRule="auto"/>
        <w:ind w:firstLine="720"/>
        <w:jc w:val="both"/>
        <w:rPr>
          <w:rFonts w:ascii="Times New Roman" w:hAnsi="Times New Roman" w:cs="Times New Roman"/>
          <w:spacing w:val="6"/>
          <w:sz w:val="24"/>
          <w:szCs w:val="24"/>
        </w:rPr>
      </w:pPr>
      <w:r w:rsidRPr="001A299F">
        <w:rPr>
          <w:rFonts w:ascii="Times New Roman" w:hAnsi="Times New Roman" w:cs="Times New Roman"/>
          <w:spacing w:val="6"/>
          <w:sz w:val="24"/>
          <w:szCs w:val="24"/>
        </w:rPr>
        <w:lastRenderedPageBreak/>
        <w:t xml:space="preserve">Основными источниками финансирования дефицита областного бюджета </w:t>
      </w:r>
      <w:r w:rsidRPr="001A299F">
        <w:rPr>
          <w:rFonts w:ascii="Times New Roman" w:hAnsi="Times New Roman" w:cs="Times New Roman"/>
          <w:spacing w:val="6"/>
          <w:sz w:val="24"/>
          <w:szCs w:val="24"/>
        </w:rPr>
        <w:br/>
        <w:t xml:space="preserve">в 2015 году являлись бюджетные кредиты от других бюджетов бюджетной системы Российской Федерации, привлеченные в объеме 9127625,0 тыс. рублей (плановые назначения – 9212650,0 тыс. рублей), в том числе </w:t>
      </w:r>
      <w:r w:rsidRPr="001A299F">
        <w:rPr>
          <w:rFonts w:ascii="Times New Roman" w:eastAsia="Calibri" w:hAnsi="Times New Roman" w:cs="Times New Roman"/>
          <w:sz w:val="24"/>
          <w:szCs w:val="24"/>
        </w:rPr>
        <w:t xml:space="preserve">на пополнение остатков средств на счетах в объеме 5135000,0 тыс. рублей (плановые назначения - 5135000,0 тыс. рублей), </w:t>
      </w:r>
      <w:r w:rsidRPr="001A299F">
        <w:rPr>
          <w:rFonts w:ascii="Times New Roman" w:hAnsi="Times New Roman" w:cs="Times New Roman"/>
          <w:spacing w:val="6"/>
          <w:sz w:val="24"/>
          <w:szCs w:val="24"/>
        </w:rPr>
        <w:t>кредиты от кредитных организаций в валюте Российской Федерации</w:t>
      </w:r>
      <w:r w:rsidR="00CE336B">
        <w:rPr>
          <w:rFonts w:ascii="Times New Roman" w:hAnsi="Times New Roman" w:cs="Times New Roman"/>
          <w:spacing w:val="6"/>
          <w:sz w:val="24"/>
          <w:szCs w:val="24"/>
        </w:rPr>
        <w:t xml:space="preserve"> -</w:t>
      </w:r>
      <w:r w:rsidRPr="001A299F">
        <w:rPr>
          <w:rFonts w:ascii="Times New Roman" w:hAnsi="Times New Roman" w:cs="Times New Roman"/>
          <w:spacing w:val="6"/>
          <w:sz w:val="24"/>
          <w:szCs w:val="24"/>
        </w:rPr>
        <w:t xml:space="preserve"> 8308380,0 тыс. рублей (плановые назначения – 8682545,2 тыс. рублей).</w:t>
      </w:r>
    </w:p>
    <w:p w:rsidR="001A299F" w:rsidRPr="001A299F" w:rsidRDefault="001A299F" w:rsidP="001A299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Анализ исполнения Программы заимствований, являющихся основными источниками финансирования дефицита бюджета, приведен в разделе </w:t>
      </w:r>
      <w:r w:rsidRPr="00CE336B">
        <w:rPr>
          <w:rFonts w:ascii="Times New Roman" w:eastAsia="Times New Roman" w:hAnsi="Times New Roman" w:cs="Times New Roman"/>
          <w:sz w:val="24"/>
          <w:szCs w:val="24"/>
          <w:lang w:eastAsia="ru-RU"/>
        </w:rPr>
        <w:t xml:space="preserve">«Государственный долг» </w:t>
      </w:r>
      <w:r w:rsidRPr="001A299F">
        <w:rPr>
          <w:rFonts w:ascii="Times New Roman" w:eastAsia="Times New Roman" w:hAnsi="Times New Roman" w:cs="Times New Roman"/>
          <w:sz w:val="24"/>
          <w:szCs w:val="24"/>
          <w:lang w:eastAsia="ru-RU"/>
        </w:rPr>
        <w:t>настоящего заключения.</w:t>
      </w:r>
    </w:p>
    <w:p w:rsidR="001A299F" w:rsidRPr="001A299F"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Одним из источников внутреннего финансирования дефицита областного бюджета является изменение остатков средств на счетах по учету средств бюджета. При запланированном снижении остатков денежных средств в объеме 1838879,4 тыс. рублей исполнение с</w:t>
      </w:r>
      <w:r w:rsidR="00383CBB">
        <w:rPr>
          <w:rFonts w:ascii="Times New Roman" w:hAnsi="Times New Roman" w:cs="Times New Roman"/>
          <w:sz w:val="24"/>
          <w:szCs w:val="24"/>
        </w:rPr>
        <w:t>оставило 1184705,8 тыс. рублей.</w:t>
      </w:r>
    </w:p>
    <w:p w:rsidR="001A299F" w:rsidRPr="001A299F"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Остатки средств областного бюджета на лицевом счете доходов и расходов областного бюджета по состоянию на 01.01.2016 составили 978694,1 тыс. рублей, или уменьшились по сравнению с данными на 01.01.2015 на 1184705,8 тыс. рублей (по состоянию на 01.01.2015 – 2163399,9 тыс. рублей),</w:t>
      </w:r>
      <w:r w:rsidRPr="001A299F">
        <w:rPr>
          <w:rFonts w:ascii="Times New Roman" w:eastAsia="Times New Roman" w:hAnsi="Times New Roman" w:cs="Times New Roman"/>
          <w:sz w:val="24"/>
          <w:szCs w:val="24"/>
          <w:lang w:eastAsia="ru-RU"/>
        </w:rPr>
        <w:t xml:space="preserve"> в том числе остатки целевых средств, поступивших из федерального бюджета, составили 342081,7 тыс. рублей, которые в полном объеме в 2016 году возвращены в федеральный бюджет. По состоянию на 01.06.2016 указанные средства разрешены к использованию в 2016 году в объеме 105147,1 тыс. рублей.</w:t>
      </w:r>
    </w:p>
    <w:p w:rsidR="001A299F" w:rsidRPr="001A299F" w:rsidRDefault="001A299F" w:rsidP="001A299F">
      <w:pPr>
        <w:tabs>
          <w:tab w:val="left" w:pos="993"/>
        </w:tabs>
        <w:spacing w:after="0"/>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Наибольший объем остатков сложился по следующим целевым средствам федерального бюджета:</w:t>
      </w:r>
    </w:p>
    <w:p w:rsidR="001A299F" w:rsidRPr="001A299F" w:rsidRDefault="001A299F" w:rsidP="00F60552">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на финансовое обеспечение мероприятий по экономическому и социальному развитию Дальнего Востока и Забайкалья на период до 2018 года – 163537,5 тыс. рублей;</w:t>
      </w:r>
    </w:p>
    <w:p w:rsidR="001A299F" w:rsidRPr="001A299F" w:rsidRDefault="001A299F" w:rsidP="00F60552">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на реализацию на основании судебных решений мер поддержки граждан, признанных пострадавшими в результате крупномасштабного наводнения в августе-сентябре 2013 года – 60424,1 тыс. рублей (средства разрешены к использованию в 2016 году);</w:t>
      </w:r>
    </w:p>
    <w:p w:rsidR="001A299F" w:rsidRPr="001A299F" w:rsidRDefault="001A299F" w:rsidP="00F60552">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на реализацию мероприятий региональных программ в сфере дорожного хозяйства по решениям Правительства Российской Федерации – 44623,0 тыс. рублей (средства разрешены к использованию в 2016 году);</w:t>
      </w:r>
    </w:p>
    <w:p w:rsidR="001A299F" w:rsidRPr="001A299F" w:rsidRDefault="001A299F" w:rsidP="00F60552">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 реализацию мероприятий в рамках федеральной целевой программы «Экономическое и социальное развитие Дальнего Востока и Забайкалья на период до </w:t>
      </w:r>
      <w:r w:rsidRPr="001A299F">
        <w:rPr>
          <w:rFonts w:ascii="Times New Roman" w:eastAsia="Times New Roman" w:hAnsi="Times New Roman" w:cs="Times New Roman"/>
          <w:sz w:val="24"/>
          <w:szCs w:val="24"/>
          <w:lang w:eastAsia="ru-RU"/>
        </w:rPr>
        <w:br/>
        <w:t>2013 года» - 35353,4 тыс. рублей;</w:t>
      </w:r>
    </w:p>
    <w:p w:rsidR="001A299F" w:rsidRPr="001A299F" w:rsidRDefault="001A299F" w:rsidP="00F60552">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 реализацию мероприятий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w:t>
      </w:r>
      <w:r w:rsidRPr="001A299F">
        <w:rPr>
          <w:rFonts w:ascii="Times New Roman" w:eastAsia="Times New Roman" w:hAnsi="Times New Roman" w:cs="Times New Roman"/>
          <w:sz w:val="24"/>
          <w:szCs w:val="24"/>
          <w:lang w:eastAsia="ru-RU"/>
        </w:rPr>
        <w:br/>
        <w:t xml:space="preserve">ресурсов» - 21486,3 тыс. рублей. </w:t>
      </w:r>
    </w:p>
    <w:p w:rsidR="001A299F" w:rsidRPr="001A299F" w:rsidRDefault="001A299F" w:rsidP="001A299F">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A299F">
        <w:rPr>
          <w:rFonts w:ascii="Times New Roman" w:hAnsi="Times New Roman" w:cs="Times New Roman"/>
          <w:sz w:val="24"/>
          <w:szCs w:val="24"/>
        </w:rPr>
        <w:t xml:space="preserve">В 2015 году из областного бюджета бюджетам муниципальных образований области бюджетные кредиты не предоставлялись, возврат бюджетных кредитов, предоставленных бюджетам муниципальных образований области из областного бюджета, осуществлен в </w:t>
      </w:r>
      <w:r w:rsidRPr="001A299F">
        <w:rPr>
          <w:rFonts w:ascii="Times New Roman" w:hAnsi="Times New Roman" w:cs="Times New Roman"/>
          <w:sz w:val="24"/>
          <w:szCs w:val="24"/>
        </w:rPr>
        <w:br/>
        <w:t>2015 году на сумму 55667,3 тыс. рублей (плановые назн</w:t>
      </w:r>
      <w:r w:rsidR="00383CBB">
        <w:rPr>
          <w:rFonts w:ascii="Times New Roman" w:hAnsi="Times New Roman" w:cs="Times New Roman"/>
          <w:sz w:val="24"/>
          <w:szCs w:val="24"/>
        </w:rPr>
        <w:t>ачения – 49112,0 тыс. рублей).</w:t>
      </w:r>
    </w:p>
    <w:p w:rsidR="001A299F" w:rsidRPr="001A299F"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В источниках финансирования дефицита областного бюджета в 2015 году предусмотрен возврат бюджетных кредитов, предоставленных ГУП Амурской области «Агро» на кредитование сезонных затрат в сельском хозяйстве в сумме 322468,3 тыс. рублей, возврат указанного бюджетного кредита</w:t>
      </w:r>
      <w:r w:rsidR="00383CBB">
        <w:rPr>
          <w:rFonts w:ascii="Times New Roman" w:hAnsi="Times New Roman" w:cs="Times New Roman"/>
          <w:sz w:val="24"/>
          <w:szCs w:val="24"/>
        </w:rPr>
        <w:t xml:space="preserve"> в 2015 году не осуществлялся.</w:t>
      </w:r>
    </w:p>
    <w:p w:rsidR="001A299F" w:rsidRPr="001A299F" w:rsidRDefault="001A299F" w:rsidP="001A299F">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По средствам от продажи акций и иных форм участия в капитале, находящихся в собственности бюджетов субъектов Российской Федерации в 2015 году плановые назначения не исполнены (плановые назначения - 25000,0 тыс. рублей в соответствии с прогнозным планом приватизации областного имущества на 2014-2016 годы). Согласно пояснительной записке к законопроекту непоступление средств от продажи акций и иных форм участия в капитале связано с невыполнением прогнозного плана (программы) приватизации областного имущества из-за отсутствия пот</w:t>
      </w:r>
      <w:r w:rsidR="00383CBB">
        <w:rPr>
          <w:rFonts w:ascii="Times New Roman" w:hAnsi="Times New Roman" w:cs="Times New Roman"/>
          <w:sz w:val="24"/>
          <w:szCs w:val="24"/>
        </w:rPr>
        <w:t>енциальных покупателей акций.</w:t>
      </w:r>
    </w:p>
    <w:p w:rsidR="00CE336B" w:rsidRPr="00CE336B" w:rsidRDefault="00CE336B" w:rsidP="00CE336B">
      <w:pPr>
        <w:pStyle w:val="ad"/>
        <w:tabs>
          <w:tab w:val="left" w:pos="709"/>
        </w:tabs>
        <w:ind w:firstLine="709"/>
        <w:rPr>
          <w:szCs w:val="24"/>
        </w:rPr>
      </w:pPr>
      <w:r>
        <w:rPr>
          <w:szCs w:val="24"/>
        </w:rPr>
        <w:lastRenderedPageBreak/>
        <w:t xml:space="preserve">4.1. </w:t>
      </w:r>
      <w:r w:rsidRPr="00CE336B">
        <w:rPr>
          <w:szCs w:val="24"/>
        </w:rPr>
        <w:t>Анализ приватизации объектов государственной собственности Амурской области в 2015 году</w:t>
      </w:r>
    </w:p>
    <w:p w:rsidR="00CE336B" w:rsidRPr="00325036" w:rsidRDefault="00CE336B" w:rsidP="00CE336B">
      <w:pPr>
        <w:pStyle w:val="af"/>
        <w:tabs>
          <w:tab w:val="left" w:pos="709"/>
          <w:tab w:val="left" w:pos="9214"/>
          <w:tab w:val="left" w:pos="9637"/>
        </w:tabs>
        <w:spacing w:after="0"/>
        <w:ind w:left="0" w:firstLine="709"/>
        <w:jc w:val="both"/>
        <w:rPr>
          <w:sz w:val="24"/>
          <w:szCs w:val="24"/>
        </w:rPr>
      </w:pPr>
      <w:r w:rsidRPr="00CE336B">
        <w:rPr>
          <w:sz w:val="24"/>
          <w:szCs w:val="24"/>
        </w:rPr>
        <w:t xml:space="preserve">В целях </w:t>
      </w:r>
      <w:r w:rsidRPr="00325036">
        <w:rPr>
          <w:sz w:val="24"/>
          <w:szCs w:val="24"/>
        </w:rPr>
        <w:t xml:space="preserve">выполнения Прогнозного плана (программы) приватизации областного имущества на 2014–2016 годы, утвержденного постановлением Законодательного Собрания Амурской области от 30.05.2013 № 21/220 (ред. от 20.03.2014 № 34/166, от 26.06.2014 </w:t>
      </w:r>
      <w:r w:rsidRPr="00325036">
        <w:rPr>
          <w:sz w:val="24"/>
          <w:szCs w:val="24"/>
        </w:rPr>
        <w:br/>
        <w:t xml:space="preserve">№ 39/334), министерством имущественных отношений Амурской области в адрес </w:t>
      </w:r>
      <w:r w:rsidR="00325036" w:rsidRPr="00325036">
        <w:rPr>
          <w:sz w:val="24"/>
          <w:szCs w:val="24"/>
        </w:rPr>
        <w:t xml:space="preserve">государственного бюджетного учреждения Амурской области «Фонд имущества Амурской области» </w:t>
      </w:r>
      <w:r w:rsidRPr="00325036">
        <w:rPr>
          <w:sz w:val="24"/>
          <w:szCs w:val="24"/>
        </w:rPr>
        <w:t>направлены документы (письм</w:t>
      </w:r>
      <w:r w:rsidR="00325036" w:rsidRPr="00325036">
        <w:rPr>
          <w:sz w:val="24"/>
          <w:szCs w:val="24"/>
        </w:rPr>
        <w:t>а</w:t>
      </w:r>
      <w:r w:rsidRPr="00325036">
        <w:rPr>
          <w:sz w:val="24"/>
          <w:szCs w:val="24"/>
        </w:rPr>
        <w:t xml:space="preserve"> от 28.11.2013 № 08-19/7377</w:t>
      </w:r>
      <w:r w:rsidR="00325036" w:rsidRPr="00325036">
        <w:rPr>
          <w:sz w:val="24"/>
          <w:szCs w:val="24"/>
        </w:rPr>
        <w:t xml:space="preserve">, 17.01.2014 </w:t>
      </w:r>
      <w:r w:rsidR="00325036" w:rsidRPr="00325036">
        <w:rPr>
          <w:sz w:val="24"/>
          <w:szCs w:val="24"/>
        </w:rPr>
        <w:br/>
        <w:t>№ 08-19/162</w:t>
      </w:r>
      <w:r w:rsidRPr="00325036">
        <w:rPr>
          <w:sz w:val="24"/>
          <w:szCs w:val="24"/>
        </w:rPr>
        <w:t>) по приватизации</w:t>
      </w:r>
      <w:r w:rsidRPr="00325036">
        <w:rPr>
          <w:color w:val="FF0000"/>
          <w:sz w:val="24"/>
          <w:szCs w:val="24"/>
        </w:rPr>
        <w:t xml:space="preserve"> </w:t>
      </w:r>
      <w:r w:rsidRPr="00325036">
        <w:rPr>
          <w:sz w:val="24"/>
          <w:szCs w:val="24"/>
        </w:rPr>
        <w:t xml:space="preserve">акций ОАО «Коммунальные системы БАМа», </w:t>
      </w:r>
      <w:r w:rsidR="00325036" w:rsidRPr="00325036">
        <w:rPr>
          <w:sz w:val="24"/>
          <w:szCs w:val="24"/>
        </w:rPr>
        <w:br/>
        <w:t xml:space="preserve">ОАО «Ромненское дорожное управление», ОАО «Мазановское дорожное управление», </w:t>
      </w:r>
      <w:r w:rsidR="00325036" w:rsidRPr="00325036">
        <w:rPr>
          <w:sz w:val="24"/>
          <w:szCs w:val="24"/>
        </w:rPr>
        <w:br/>
        <w:t xml:space="preserve">ОАО «Константиновское дорожное управление», ОАО «Михайловское дорожное управление» </w:t>
      </w:r>
      <w:r w:rsidRPr="00325036">
        <w:rPr>
          <w:sz w:val="24"/>
          <w:szCs w:val="24"/>
        </w:rPr>
        <w:t>для орг</w:t>
      </w:r>
      <w:r w:rsidR="00325036" w:rsidRPr="00325036">
        <w:rPr>
          <w:sz w:val="24"/>
          <w:szCs w:val="24"/>
        </w:rPr>
        <w:t>анизации их продажи на аукционе.</w:t>
      </w:r>
    </w:p>
    <w:p w:rsidR="00CE336B" w:rsidRPr="00325036" w:rsidRDefault="00CE336B" w:rsidP="00CE336B">
      <w:pPr>
        <w:pStyle w:val="af"/>
        <w:tabs>
          <w:tab w:val="left" w:pos="0"/>
        </w:tabs>
        <w:spacing w:after="0"/>
        <w:ind w:left="0" w:firstLine="709"/>
        <w:jc w:val="both"/>
        <w:rPr>
          <w:sz w:val="24"/>
          <w:szCs w:val="24"/>
        </w:rPr>
      </w:pPr>
      <w:r w:rsidRPr="00325036">
        <w:rPr>
          <w:sz w:val="24"/>
          <w:szCs w:val="24"/>
        </w:rPr>
        <w:t>Министерством имущественных отношений Амурской области проведены мероприятия по оценке рыночной стоимости акций: ОАО «Ромненское дорожное управление», ОАО «Мазановское дорожное управление», ОАО «Константиновское дорожное управление», ОАО «Михайловское дорожное управление», ОАО «Коммунальные системы БАМа», документы переданы в Фонд им</w:t>
      </w:r>
      <w:r w:rsidR="00BA7418">
        <w:rPr>
          <w:sz w:val="24"/>
          <w:szCs w:val="24"/>
        </w:rPr>
        <w:t>ущества 17.01.2014 № 08-19/165.</w:t>
      </w:r>
    </w:p>
    <w:p w:rsidR="00CE336B" w:rsidRPr="00325036" w:rsidRDefault="00CE336B" w:rsidP="00CE336B">
      <w:pPr>
        <w:pStyle w:val="af"/>
        <w:spacing w:after="0"/>
        <w:ind w:left="0" w:firstLine="709"/>
        <w:jc w:val="both"/>
        <w:rPr>
          <w:sz w:val="24"/>
          <w:szCs w:val="24"/>
        </w:rPr>
      </w:pPr>
      <w:r w:rsidRPr="00325036">
        <w:rPr>
          <w:sz w:val="24"/>
          <w:szCs w:val="24"/>
        </w:rPr>
        <w:t xml:space="preserve">Приказом министерства имущественных отношений Амурской области от 16.01.2014 № 14-од определено приватизировать находящиеся в собственности Амурской области 248480 обыкновенных именных бездокументарных акций ОАО «Константиновское дорожное управление», что составляет 100 процентов уставного капитала указанного общества, путем продажи единым лотом на аукционе с закрытой формой подачи предложений о цене. На основании отчета об оценке рыночной стоимости от 11.11.2013 </w:t>
      </w:r>
      <w:r w:rsidR="00325036" w:rsidRPr="00325036">
        <w:rPr>
          <w:sz w:val="24"/>
          <w:szCs w:val="24"/>
        </w:rPr>
        <w:br/>
      </w:r>
      <w:r w:rsidRPr="00325036">
        <w:rPr>
          <w:sz w:val="24"/>
          <w:szCs w:val="24"/>
        </w:rPr>
        <w:t xml:space="preserve">№ Б-814-13Х, выполненного ООО «Дальневосточный центр развития бизнеса», определена рыночная стоимость 100 процентного пакета акций ОАО «Константиновское дорожное управление» - </w:t>
      </w:r>
      <w:r w:rsidR="00325036" w:rsidRPr="00325036">
        <w:rPr>
          <w:sz w:val="24"/>
          <w:szCs w:val="24"/>
        </w:rPr>
        <w:t>13</w:t>
      </w:r>
      <w:r w:rsidRPr="00325036">
        <w:rPr>
          <w:sz w:val="24"/>
          <w:szCs w:val="24"/>
        </w:rPr>
        <w:t>950,7 тыс. рублей.</w:t>
      </w:r>
    </w:p>
    <w:p w:rsidR="00CE336B" w:rsidRPr="00325036" w:rsidRDefault="00CE336B" w:rsidP="00CE336B">
      <w:pPr>
        <w:pStyle w:val="af"/>
        <w:spacing w:after="0"/>
        <w:ind w:left="0" w:firstLine="709"/>
        <w:jc w:val="both"/>
        <w:rPr>
          <w:sz w:val="24"/>
          <w:szCs w:val="24"/>
        </w:rPr>
      </w:pPr>
      <w:r w:rsidRPr="00325036">
        <w:rPr>
          <w:sz w:val="24"/>
          <w:szCs w:val="24"/>
        </w:rPr>
        <w:t xml:space="preserve">Приказом министерства имущественных отношений Амурской области от 16.01.2014 № 15-од определено приватизировать находящиеся в собственности Амурской области 242210 обыкновенных именных бездокументарных акций ОАО «Ромненское дорожное управление», что составляет 100 процентов уставного капитала указанного общества, путем продажи единым лотом на аукционе с закрытой формой подачи предложений о цене. </w:t>
      </w:r>
      <w:r w:rsidR="00325036">
        <w:rPr>
          <w:sz w:val="24"/>
          <w:szCs w:val="24"/>
        </w:rPr>
        <w:br/>
      </w:r>
      <w:r w:rsidRPr="00325036">
        <w:rPr>
          <w:sz w:val="24"/>
          <w:szCs w:val="24"/>
        </w:rPr>
        <w:t xml:space="preserve">На основании отчета об оценке рыночной стоимости от 11.11.2013 № Б-813-13Х, выполненного ООО «Дальневосточный центр развития бизнеса», определена рыночная стоимость 100 процентного пакета акций ОАО «Ромненское дорожное управление» - </w:t>
      </w:r>
      <w:r w:rsidRPr="00325036">
        <w:rPr>
          <w:sz w:val="24"/>
          <w:szCs w:val="24"/>
        </w:rPr>
        <w:br/>
      </w:r>
      <w:r w:rsidR="00325036">
        <w:rPr>
          <w:sz w:val="24"/>
          <w:szCs w:val="24"/>
        </w:rPr>
        <w:t>27</w:t>
      </w:r>
      <w:r w:rsidRPr="00325036">
        <w:rPr>
          <w:sz w:val="24"/>
          <w:szCs w:val="24"/>
        </w:rPr>
        <w:t>206,6 тыс. рублей.</w:t>
      </w:r>
    </w:p>
    <w:p w:rsidR="00CE336B" w:rsidRPr="00325036" w:rsidRDefault="00CE336B" w:rsidP="00CE336B">
      <w:pPr>
        <w:pStyle w:val="af"/>
        <w:spacing w:after="0"/>
        <w:ind w:left="0" w:firstLine="709"/>
        <w:jc w:val="both"/>
        <w:rPr>
          <w:sz w:val="24"/>
          <w:szCs w:val="24"/>
        </w:rPr>
      </w:pPr>
      <w:r w:rsidRPr="00CE336B">
        <w:rPr>
          <w:sz w:val="24"/>
          <w:szCs w:val="24"/>
        </w:rPr>
        <w:t xml:space="preserve">Приказом министерства имущественных отношений Амурской области от 16.01.2014 № 16-од </w:t>
      </w:r>
      <w:r w:rsidRPr="00325036">
        <w:rPr>
          <w:sz w:val="24"/>
          <w:szCs w:val="24"/>
        </w:rPr>
        <w:t xml:space="preserve">определено приватизировать находящиеся в собственности Амурской области 334250 обыкновенных именных бездокументарных акций ОАО «Мазановское дорожное управление», что составляет 100 процентов уставного капитала указанного общества, путем продажи единым лотом на аукционе с закрытой формой подачи предложений о цене. </w:t>
      </w:r>
      <w:r w:rsidR="00325036">
        <w:rPr>
          <w:sz w:val="24"/>
          <w:szCs w:val="24"/>
        </w:rPr>
        <w:br/>
      </w:r>
      <w:r w:rsidRPr="00325036">
        <w:rPr>
          <w:sz w:val="24"/>
          <w:szCs w:val="24"/>
        </w:rPr>
        <w:t>На основании отчета об оценке рыночной стоимости от 11.11.2013 № Б-811-13Х, выполненного ООО «Дальневосточный центр развития бизнеса», определена рыночная стоимость 100 процентного пакета акций ОАО «Мазановское дорожное управление» -</w:t>
      </w:r>
      <w:r w:rsidR="00BA7418">
        <w:rPr>
          <w:sz w:val="24"/>
          <w:szCs w:val="24"/>
        </w:rPr>
        <w:t xml:space="preserve"> </w:t>
      </w:r>
      <w:r w:rsidR="00BA7418">
        <w:rPr>
          <w:sz w:val="24"/>
          <w:szCs w:val="24"/>
        </w:rPr>
        <w:br/>
        <w:t>42</w:t>
      </w:r>
      <w:r w:rsidRPr="00325036">
        <w:rPr>
          <w:sz w:val="24"/>
          <w:szCs w:val="24"/>
        </w:rPr>
        <w:t>330,6 тыс. рублей.</w:t>
      </w:r>
    </w:p>
    <w:p w:rsidR="00CE336B" w:rsidRPr="00CE336B" w:rsidRDefault="00CE336B" w:rsidP="00CE336B">
      <w:pPr>
        <w:pStyle w:val="af"/>
        <w:spacing w:after="0"/>
        <w:ind w:left="0" w:firstLine="709"/>
        <w:jc w:val="both"/>
        <w:rPr>
          <w:sz w:val="24"/>
          <w:szCs w:val="24"/>
        </w:rPr>
      </w:pPr>
      <w:r w:rsidRPr="00325036">
        <w:rPr>
          <w:sz w:val="24"/>
          <w:szCs w:val="24"/>
        </w:rPr>
        <w:t xml:space="preserve">Приказом министерства имущественных отношений Амурской области от 16.01.2014 № 17-од определено приватизировать находящиеся в собственности Амурской области 819120 обыкновенных именных бездокументарных акций ОАО «Михайловское дорожное управление», что составляет 100 процентов уставного капитала указанного общества, путем продажи единым лотом на аукционе с закрытой формой подачи предложений о цене. </w:t>
      </w:r>
      <w:r w:rsidR="00325036">
        <w:rPr>
          <w:sz w:val="24"/>
          <w:szCs w:val="24"/>
        </w:rPr>
        <w:br/>
      </w:r>
      <w:r w:rsidRPr="00325036">
        <w:rPr>
          <w:sz w:val="24"/>
          <w:szCs w:val="24"/>
        </w:rPr>
        <w:t>На основании отчета</w:t>
      </w:r>
      <w:r w:rsidRPr="00CE336B">
        <w:rPr>
          <w:sz w:val="24"/>
          <w:szCs w:val="24"/>
        </w:rPr>
        <w:t xml:space="preserve"> об оценке рыночной стоимости от 11.11.2013 № Б-812-13Х, выполненного ООО «Дальневосточный центр развития бизнеса», определена рыночная стоимость 100 процентного пакета акций ОАО «Михайловское дорожное управление» - </w:t>
      </w:r>
      <w:r w:rsidRPr="00CE336B">
        <w:rPr>
          <w:sz w:val="24"/>
          <w:szCs w:val="24"/>
        </w:rPr>
        <w:br/>
        <w:t>52584,4 тыс. рублей.</w:t>
      </w:r>
    </w:p>
    <w:p w:rsidR="00CE336B" w:rsidRPr="00BA7418" w:rsidRDefault="00CE336B" w:rsidP="00CE336B">
      <w:pPr>
        <w:pStyle w:val="af"/>
        <w:tabs>
          <w:tab w:val="left" w:pos="0"/>
        </w:tabs>
        <w:spacing w:after="0"/>
        <w:ind w:left="0" w:firstLine="709"/>
        <w:jc w:val="both"/>
        <w:rPr>
          <w:b/>
          <w:i/>
          <w:sz w:val="24"/>
          <w:szCs w:val="24"/>
        </w:rPr>
      </w:pPr>
      <w:r w:rsidRPr="00CE336B">
        <w:rPr>
          <w:sz w:val="24"/>
          <w:szCs w:val="24"/>
        </w:rPr>
        <w:lastRenderedPageBreak/>
        <w:t>Во исполнение указанных приказов Фондом имущества обеспечено опубликование информационных сообщений о продаже вышеуказанных акций путем проведения аукциона в газете «</w:t>
      </w:r>
      <w:proofErr w:type="gramStart"/>
      <w:r w:rsidRPr="00CE336B">
        <w:rPr>
          <w:sz w:val="24"/>
          <w:szCs w:val="24"/>
        </w:rPr>
        <w:t>Амурская</w:t>
      </w:r>
      <w:proofErr w:type="gramEnd"/>
      <w:r w:rsidRPr="00CE336B">
        <w:rPr>
          <w:sz w:val="24"/>
          <w:szCs w:val="24"/>
        </w:rPr>
        <w:t xml:space="preserve"> правда» от 08.02.2014 № 23, продление от 15.03.2014 № 47, от 26.04.2014 </w:t>
      </w:r>
      <w:r w:rsidRPr="00CE336B">
        <w:rPr>
          <w:sz w:val="24"/>
          <w:szCs w:val="24"/>
        </w:rPr>
        <w:br/>
        <w:t xml:space="preserve">№ 77, от 07.06.2014 № 103, от 12.07.2014 № 126, от 16.08.2014 № 151, от 06.12.2014 № 228 и обеспечено размещение информационного сообщения на официальных сайтах </w:t>
      </w:r>
      <w:hyperlink r:id="rId32" w:history="1"/>
      <w:r w:rsidRPr="00CE336B">
        <w:rPr>
          <w:sz w:val="24"/>
          <w:szCs w:val="24"/>
        </w:rPr>
        <w:t>в сети «Интернет».</w:t>
      </w:r>
    </w:p>
    <w:p w:rsidR="00CE336B" w:rsidRPr="00CE336B" w:rsidRDefault="00CE336B" w:rsidP="00CE336B">
      <w:pPr>
        <w:pStyle w:val="af"/>
        <w:spacing w:after="0"/>
        <w:ind w:left="0" w:firstLine="709"/>
        <w:jc w:val="both"/>
        <w:rPr>
          <w:sz w:val="24"/>
          <w:szCs w:val="24"/>
        </w:rPr>
      </w:pPr>
      <w:r w:rsidRPr="00CE336B">
        <w:rPr>
          <w:sz w:val="24"/>
          <w:szCs w:val="24"/>
        </w:rPr>
        <w:t>Согласно протоколу об итогах аукциона по продаже находящихся в областной собственности акций открытых акционерных обществ: ОАО «Константиновское дорожное управление», ОАО «Ромненское дорожное управление», ОАО «Мазановское дорожное управление», ОАО «Михайловское дорожное управление» от 05.03.2015 № 6 в связи с отсутствием претендентов, признанных участниками аукциона, аукцион по продаже акций, находящихся в собственности Амурской о</w:t>
      </w:r>
      <w:r w:rsidR="00BA7418">
        <w:rPr>
          <w:sz w:val="24"/>
          <w:szCs w:val="24"/>
        </w:rPr>
        <w:t>бласти, признан несостоявшимся.</w:t>
      </w:r>
    </w:p>
    <w:p w:rsidR="00CE336B" w:rsidRPr="00325036" w:rsidRDefault="00CE336B" w:rsidP="00325036">
      <w:pPr>
        <w:pStyle w:val="af"/>
        <w:spacing w:after="0"/>
        <w:ind w:left="0" w:firstLine="709"/>
        <w:jc w:val="both"/>
        <w:rPr>
          <w:sz w:val="24"/>
          <w:szCs w:val="24"/>
        </w:rPr>
      </w:pPr>
      <w:r w:rsidRPr="00325036">
        <w:rPr>
          <w:sz w:val="24"/>
          <w:szCs w:val="24"/>
        </w:rPr>
        <w:t xml:space="preserve">Приказом министерства имущественных отношений Амурской области от 27.11.2013 № 1297-од определено приватизировать обыкновенные именные бездокументарные акции ОАО «Коммунальные системы БАМа» </w:t>
      </w:r>
      <w:r w:rsidR="00325036">
        <w:rPr>
          <w:sz w:val="24"/>
          <w:szCs w:val="24"/>
        </w:rPr>
        <w:t>в количестве 1</w:t>
      </w:r>
      <w:r w:rsidRPr="00325036">
        <w:rPr>
          <w:sz w:val="24"/>
          <w:szCs w:val="24"/>
        </w:rPr>
        <w:t xml:space="preserve">050894 штук, номинальной стоимостью одной акции 1000 рублей, что составляет 100 процентов уставного капитала указанного общества, путем продажи единым лотом на аукционе с закрытой формой подачи предложений о цене. На основании отчета об определении рыночной стоимости от 22.11.2013 № АЛ 212/13, выполненного ООО «АЛЬФАРД», определена рыночная стоимость 100 процентного пакета акций ОАО «Коммунальные системы БАМа» - </w:t>
      </w:r>
      <w:r w:rsidR="00325036">
        <w:rPr>
          <w:sz w:val="24"/>
          <w:szCs w:val="24"/>
        </w:rPr>
        <w:t>627</w:t>
      </w:r>
      <w:r w:rsidRPr="00325036">
        <w:rPr>
          <w:sz w:val="24"/>
          <w:szCs w:val="24"/>
        </w:rPr>
        <w:t>000,0 тыс. рублей.</w:t>
      </w:r>
    </w:p>
    <w:p w:rsidR="00CE336B" w:rsidRPr="00325036" w:rsidRDefault="00CE336B" w:rsidP="00325036">
      <w:pPr>
        <w:autoSpaceDE w:val="0"/>
        <w:autoSpaceDN w:val="0"/>
        <w:adjustRightInd w:val="0"/>
        <w:spacing w:after="0" w:line="240" w:lineRule="auto"/>
        <w:ind w:firstLine="709"/>
        <w:jc w:val="both"/>
        <w:rPr>
          <w:rFonts w:ascii="Times New Roman" w:hAnsi="Times New Roman" w:cs="Times New Roman"/>
          <w:sz w:val="24"/>
          <w:szCs w:val="24"/>
        </w:rPr>
      </w:pPr>
      <w:r w:rsidRPr="00325036">
        <w:rPr>
          <w:rFonts w:ascii="Times New Roman" w:hAnsi="Times New Roman" w:cs="Times New Roman"/>
          <w:sz w:val="24"/>
          <w:szCs w:val="24"/>
        </w:rPr>
        <w:t>Во исполнение указанного приказа Фондом имущества обеспечено опубликование информационного сообщения о продаже вышеуказанных акций путем проведения аукциона в газете «</w:t>
      </w:r>
      <w:proofErr w:type="gramStart"/>
      <w:r w:rsidRPr="00325036">
        <w:rPr>
          <w:rFonts w:ascii="Times New Roman" w:hAnsi="Times New Roman" w:cs="Times New Roman"/>
          <w:sz w:val="24"/>
          <w:szCs w:val="24"/>
        </w:rPr>
        <w:t>Амурская</w:t>
      </w:r>
      <w:proofErr w:type="gramEnd"/>
      <w:r w:rsidRPr="00325036">
        <w:rPr>
          <w:rFonts w:ascii="Times New Roman" w:hAnsi="Times New Roman" w:cs="Times New Roman"/>
          <w:sz w:val="24"/>
          <w:szCs w:val="24"/>
        </w:rPr>
        <w:t xml:space="preserve"> правда» от 14.12.2013 № 236 (27789) и размещение информационного сообщения на официальных сайтах </w:t>
      </w:r>
      <w:hyperlink r:id="rId33" w:history="1"/>
      <w:r w:rsidRPr="00325036">
        <w:rPr>
          <w:rFonts w:ascii="Times New Roman" w:hAnsi="Times New Roman" w:cs="Times New Roman"/>
          <w:sz w:val="24"/>
          <w:szCs w:val="24"/>
        </w:rPr>
        <w:t>в сет</w:t>
      </w:r>
      <w:r w:rsidR="00BA7418">
        <w:rPr>
          <w:rFonts w:ascii="Times New Roman" w:hAnsi="Times New Roman" w:cs="Times New Roman"/>
          <w:sz w:val="24"/>
          <w:szCs w:val="24"/>
        </w:rPr>
        <w:t>и «Интернет».</w:t>
      </w:r>
    </w:p>
    <w:p w:rsidR="00CE336B" w:rsidRPr="00325036" w:rsidRDefault="00CE336B" w:rsidP="00325036">
      <w:pPr>
        <w:pStyle w:val="af"/>
        <w:spacing w:after="0"/>
        <w:ind w:left="0" w:firstLine="709"/>
        <w:jc w:val="both"/>
        <w:rPr>
          <w:sz w:val="24"/>
          <w:szCs w:val="24"/>
        </w:rPr>
      </w:pPr>
      <w:r w:rsidRPr="00325036">
        <w:rPr>
          <w:sz w:val="24"/>
          <w:szCs w:val="24"/>
        </w:rPr>
        <w:t xml:space="preserve">Фондом имущества на 20.01.2014 был объявлен аукцион по продаже акций </w:t>
      </w:r>
      <w:r w:rsidRPr="00325036">
        <w:rPr>
          <w:sz w:val="24"/>
          <w:szCs w:val="24"/>
        </w:rPr>
        <w:br/>
        <w:t>ОАО «Коммунальные системы БАМа». В связи с отсутствием претендентов, аукцион по продаже акций ОАО «Коммунальные системы БАМа» признан несостоявшимся (протокол Фонда имущес</w:t>
      </w:r>
      <w:r w:rsidR="00BA7418">
        <w:rPr>
          <w:sz w:val="24"/>
          <w:szCs w:val="24"/>
        </w:rPr>
        <w:t>тва от 20.01.2014 № 01).</w:t>
      </w:r>
    </w:p>
    <w:p w:rsidR="00CE336B" w:rsidRPr="00BA7418" w:rsidRDefault="00CE336B" w:rsidP="00325036">
      <w:pPr>
        <w:pStyle w:val="af"/>
        <w:spacing w:after="0"/>
        <w:ind w:left="0" w:firstLine="709"/>
        <w:jc w:val="both"/>
        <w:rPr>
          <w:sz w:val="24"/>
          <w:szCs w:val="24"/>
        </w:rPr>
      </w:pPr>
      <w:r w:rsidRPr="00325036">
        <w:rPr>
          <w:sz w:val="24"/>
          <w:szCs w:val="24"/>
        </w:rPr>
        <w:t xml:space="preserve">В 2014 году Фондом имущества опубликовано информационное сообщение о продаже пакета акций путем проведения аукциона в газете «Амурская правда» от 12.04.2014, продление от 24.05.2014 № 93, от 28.06.2014 № 116, от 09.08.2014 № 146, от 06.12.2014 </w:t>
      </w:r>
      <w:r w:rsidR="00325036">
        <w:rPr>
          <w:sz w:val="24"/>
          <w:szCs w:val="24"/>
        </w:rPr>
        <w:br/>
      </w:r>
      <w:r w:rsidRPr="00325036">
        <w:rPr>
          <w:sz w:val="24"/>
          <w:szCs w:val="24"/>
        </w:rPr>
        <w:t>№ 228. Согласно протоколу об итогах аукциона по продаже находящихся в областной собственности акций открытого акционерного общества: ОАО «Коммунальные системы БАМа» от 05.03.2015 № 7 в связи с отсутствием претендентов, признанных участниками аукциона, аукцион по продаже акций, находящихся в собственности Амурской о</w:t>
      </w:r>
      <w:r w:rsidR="00BA7418">
        <w:rPr>
          <w:sz w:val="24"/>
          <w:szCs w:val="24"/>
        </w:rPr>
        <w:t>бласти, признан несостоявшимся.</w:t>
      </w:r>
    </w:p>
    <w:p w:rsidR="001A299F" w:rsidRPr="001A299F" w:rsidRDefault="001A299F" w:rsidP="001A299F">
      <w:pPr>
        <w:spacing w:after="0" w:line="240" w:lineRule="auto"/>
        <w:ind w:firstLine="720"/>
        <w:jc w:val="both"/>
        <w:rPr>
          <w:rFonts w:ascii="Times New Roman" w:hAnsi="Times New Roman" w:cs="Times New Roman"/>
          <w:sz w:val="24"/>
          <w:szCs w:val="24"/>
        </w:rPr>
      </w:pPr>
    </w:p>
    <w:p w:rsidR="001A299F" w:rsidRDefault="001A299F" w:rsidP="001A299F">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325036">
        <w:rPr>
          <w:rFonts w:ascii="Times New Roman" w:eastAsia="Times New Roman" w:hAnsi="Times New Roman" w:cs="Times New Roman"/>
          <w:b/>
          <w:sz w:val="24"/>
          <w:szCs w:val="24"/>
          <w:lang w:eastAsia="ru-RU"/>
        </w:rPr>
        <w:t>5. Исполнение областного бюджета по расходам за 2015 год</w:t>
      </w:r>
    </w:p>
    <w:p w:rsidR="00325036" w:rsidRPr="00403290" w:rsidRDefault="00325036" w:rsidP="00325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03290">
        <w:rPr>
          <w:rFonts w:ascii="Times New Roman" w:eastAsia="Times New Roman" w:hAnsi="Times New Roman" w:cs="Times New Roman"/>
          <w:sz w:val="24"/>
          <w:szCs w:val="24"/>
          <w:lang w:eastAsia="ru-RU"/>
        </w:rPr>
        <w:t xml:space="preserve">Законом Амурской области от 10.12.2014 № 458-ОЗ «Об областном бюджете на </w:t>
      </w:r>
      <w:r>
        <w:rPr>
          <w:rFonts w:ascii="Times New Roman" w:eastAsia="Times New Roman" w:hAnsi="Times New Roman" w:cs="Times New Roman"/>
          <w:sz w:val="24"/>
          <w:szCs w:val="24"/>
          <w:lang w:eastAsia="ru-RU"/>
        </w:rPr>
        <w:br/>
      </w:r>
      <w:r w:rsidRPr="00403290">
        <w:rPr>
          <w:rFonts w:ascii="Times New Roman" w:eastAsia="Times New Roman" w:hAnsi="Times New Roman" w:cs="Times New Roman"/>
          <w:sz w:val="24"/>
          <w:szCs w:val="24"/>
          <w:lang w:eastAsia="ru-RU"/>
        </w:rPr>
        <w:t>2015 год и плановый период 2016 и 2017 годов» утвержден объем бюджетных ассигнований в сумме 39904447,6 тыс. рублей.</w:t>
      </w:r>
    </w:p>
    <w:p w:rsidR="00325036" w:rsidRPr="00403290" w:rsidRDefault="00325036" w:rsidP="00325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03290">
        <w:rPr>
          <w:rFonts w:ascii="Times New Roman" w:eastAsia="Times New Roman" w:hAnsi="Times New Roman" w:cs="Times New Roman"/>
          <w:sz w:val="24"/>
          <w:szCs w:val="24"/>
          <w:lang w:eastAsia="ru-RU"/>
        </w:rPr>
        <w:t>В течение отчетного периода в расходную часть областного бюджета вносились изменения, в связи с чем объем бюджетных ассигнований, утвержденных законом области об областном бюджете, составил 45974480,8 тыс. рублей, или увеличился на 6070033,2 тыс. рублей (15,2 процента).</w:t>
      </w:r>
    </w:p>
    <w:p w:rsidR="00325036" w:rsidRPr="00403290" w:rsidRDefault="00325036" w:rsidP="003250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290">
        <w:rPr>
          <w:rFonts w:ascii="Times New Roman" w:eastAsia="Times New Roman" w:hAnsi="Times New Roman" w:cs="Times New Roman"/>
          <w:sz w:val="24"/>
          <w:szCs w:val="24"/>
          <w:lang w:eastAsia="ru-RU"/>
        </w:rPr>
        <w:t xml:space="preserve">Общий объем бюджетных ассигнований, утвержденных сводной бюджетной росписью расходов областного бюджета на 2015 год, составляет 50780263,6 </w:t>
      </w:r>
      <w:r w:rsidR="00A37EE0">
        <w:rPr>
          <w:rFonts w:ascii="Times New Roman" w:eastAsia="Times New Roman" w:hAnsi="Times New Roman" w:cs="Times New Roman"/>
          <w:sz w:val="24"/>
          <w:szCs w:val="24"/>
          <w:lang w:eastAsia="ru-RU"/>
        </w:rPr>
        <w:t>тыс. рублей.</w:t>
      </w:r>
    </w:p>
    <w:p w:rsidR="00325036" w:rsidRDefault="00325036" w:rsidP="00325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03290">
        <w:rPr>
          <w:rFonts w:ascii="Times New Roman" w:eastAsia="Times New Roman" w:hAnsi="Times New Roman" w:cs="Times New Roman"/>
          <w:sz w:val="24"/>
          <w:szCs w:val="24"/>
          <w:lang w:eastAsia="ru-RU"/>
        </w:rPr>
        <w:t>Плановые назначения по бюджетной росписи превышают назначения, утвержденные законом об областном бюджете на 2015 год, на 4805782,8 тыс. рублей, или 10,5 процента.</w:t>
      </w:r>
    </w:p>
    <w:p w:rsidR="00325036" w:rsidRDefault="00325036" w:rsidP="00325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Общий объем плановых назначений, предусмотренных государственными программами области на 2015 год за счет средств областного бюджета и федеральных средств, поступивших в областной бюджет, составляет 48612436,5 тыс. рублей, что меньше объема ассигнований, утвержденного бюджетной росписью расходов областного бюджета на </w:t>
      </w:r>
      <w:r>
        <w:rPr>
          <w:rFonts w:ascii="Times New Roman" w:eastAsia="Times New Roman" w:hAnsi="Times New Roman" w:cs="Times New Roman"/>
          <w:sz w:val="24"/>
          <w:szCs w:val="24"/>
          <w:lang w:eastAsia="ru-RU"/>
        </w:rPr>
        <w:lastRenderedPageBreak/>
        <w:t>2015 год, на 1367638,8 тыс. рублей. Данное отклонение связано с тем, что по основаниям, установленным статьей 217 Бюджетного кодекса Российской Федерации, в государственных программах области не в полном объеме учтены средства, поступившие в бюджет Амурской области из федерального бюджета, а также Фонда содействия реформированию ж</w:t>
      </w:r>
      <w:r w:rsidR="00A37EE0">
        <w:rPr>
          <w:rFonts w:ascii="Times New Roman" w:eastAsia="Times New Roman" w:hAnsi="Times New Roman" w:cs="Times New Roman"/>
          <w:sz w:val="24"/>
          <w:szCs w:val="24"/>
          <w:lang w:eastAsia="ru-RU"/>
        </w:rPr>
        <w:t>илищно-коммунального хозяйства.</w:t>
      </w:r>
    </w:p>
    <w:p w:rsidR="00325036" w:rsidRPr="00E908B7" w:rsidRDefault="00325036" w:rsidP="00325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70498">
        <w:rPr>
          <w:rFonts w:ascii="Times New Roman" w:eastAsia="Times New Roman" w:hAnsi="Times New Roman" w:cs="Times New Roman"/>
          <w:sz w:val="24"/>
          <w:szCs w:val="24"/>
          <w:lang w:eastAsia="ru-RU"/>
        </w:rPr>
        <w:t xml:space="preserve">Общий объем плановых назначений, предусмотренный государственными программами области на 2015 год, превышает объем бюджетных ассигнований, утвержденных на реализацию государственных программ законом области об областном бюджете на </w:t>
      </w:r>
      <w:r>
        <w:rPr>
          <w:rFonts w:ascii="Times New Roman" w:eastAsia="Times New Roman" w:hAnsi="Times New Roman" w:cs="Times New Roman"/>
          <w:sz w:val="24"/>
          <w:szCs w:val="24"/>
          <w:lang w:eastAsia="ru-RU"/>
        </w:rPr>
        <w:t xml:space="preserve">3415131,8 тыс. рублей по основанию, предусмотренному </w:t>
      </w:r>
      <w:r w:rsidRPr="00E908B7">
        <w:rPr>
          <w:rFonts w:ascii="Times New Roman" w:eastAsia="Times New Roman" w:hAnsi="Times New Roman" w:cs="Times New Roman"/>
          <w:sz w:val="24"/>
          <w:szCs w:val="24"/>
          <w:lang w:eastAsia="ru-RU"/>
        </w:rPr>
        <w:t>п</w:t>
      </w:r>
      <w:r w:rsidRPr="00E908B7">
        <w:rPr>
          <w:rFonts w:ascii="Times New Roman" w:hAnsi="Times New Roman" w:cs="Times New Roman"/>
          <w:sz w:val="24"/>
          <w:szCs w:val="24"/>
        </w:rPr>
        <w:t>унктом 6.1</w:t>
      </w:r>
      <w:r w:rsidRPr="00E908B7">
        <w:rPr>
          <w:rFonts w:ascii="Times New Roman" w:hAnsi="Times New Roman" w:cs="Times New Roman"/>
          <w:sz w:val="24"/>
          <w:szCs w:val="24"/>
          <w:vertAlign w:val="superscript"/>
        </w:rPr>
        <w:t xml:space="preserve"> </w:t>
      </w:r>
      <w:r w:rsidRPr="00E908B7">
        <w:rPr>
          <w:rFonts w:ascii="Times New Roman" w:hAnsi="Times New Roman" w:cs="Times New Roman"/>
          <w:sz w:val="24"/>
          <w:szCs w:val="24"/>
        </w:rPr>
        <w:t>Порядка принятия решений о разработке государственных программ Амурской области, их формирования и реализации, а также проведения оценки эффективности, утвержденного Постановлением Правительства Амурской области от 29.07.2013 № 329 (ред. от 25.08.2015), которым установлено, что в ходе исполнения областного бюджета показатели финансового обеспечения государственной программы, в том числе ее подпрограмм, основных мероприятий и мероприятий, могут отличаться от плановых объемов расходов, утвержденных в составе государственной программы, в пределах и по основаниям, которые предусмотрены бюджетным законодательством для внесения изменений в сводную бюджетную роспись областного бюджета.</w:t>
      </w:r>
    </w:p>
    <w:p w:rsidR="00325036" w:rsidRDefault="00325036" w:rsidP="003250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проекту закона Амурской области «Об исполнении областного бюджета за 2015 год» исполнение составило </w:t>
      </w:r>
      <w:r w:rsidRPr="00403290">
        <w:rPr>
          <w:rFonts w:ascii="Times New Roman" w:eastAsia="Times New Roman" w:hAnsi="Times New Roman" w:cs="Times New Roman"/>
          <w:sz w:val="24"/>
          <w:szCs w:val="24"/>
          <w:lang w:eastAsia="ru-RU"/>
        </w:rPr>
        <w:t>47596831,8 тыс. рублей, или 93,7 процента к плановым показателям сводной бюджетно</w:t>
      </w:r>
      <w:r>
        <w:rPr>
          <w:rFonts w:ascii="Times New Roman" w:eastAsia="Times New Roman" w:hAnsi="Times New Roman" w:cs="Times New Roman"/>
          <w:sz w:val="24"/>
          <w:szCs w:val="24"/>
          <w:lang w:eastAsia="ru-RU"/>
        </w:rPr>
        <w:t>й росписи расходов, в том числе:</w:t>
      </w:r>
      <w:r w:rsidR="00950A56">
        <w:rPr>
          <w:rFonts w:ascii="Times New Roman" w:eastAsia="Times New Roman" w:hAnsi="Times New Roman" w:cs="Times New Roman"/>
          <w:sz w:val="24"/>
          <w:szCs w:val="24"/>
          <w:lang w:eastAsia="ru-RU"/>
        </w:rPr>
        <w:t xml:space="preserve"> </w:t>
      </w:r>
      <w:r w:rsidRPr="00183F97">
        <w:rPr>
          <w:rFonts w:ascii="Times New Roman" w:eastAsia="Times New Roman" w:hAnsi="Times New Roman" w:cs="Times New Roman"/>
          <w:sz w:val="24"/>
          <w:szCs w:val="24"/>
          <w:lang w:eastAsia="ru-RU"/>
        </w:rPr>
        <w:t>программная часть исполнена в сумме 46818220,7 тыс. рублей, или 93,</w:t>
      </w:r>
      <w:r>
        <w:rPr>
          <w:rFonts w:ascii="Times New Roman" w:eastAsia="Times New Roman" w:hAnsi="Times New Roman" w:cs="Times New Roman"/>
          <w:sz w:val="24"/>
          <w:szCs w:val="24"/>
          <w:lang w:eastAsia="ru-RU"/>
        </w:rPr>
        <w:t>7</w:t>
      </w:r>
      <w:r w:rsidR="00950A56">
        <w:rPr>
          <w:rFonts w:ascii="Times New Roman" w:eastAsia="Times New Roman" w:hAnsi="Times New Roman" w:cs="Times New Roman"/>
          <w:sz w:val="24"/>
          <w:szCs w:val="24"/>
          <w:lang w:eastAsia="ru-RU"/>
        </w:rPr>
        <w:t xml:space="preserve"> процента плана, </w:t>
      </w:r>
      <w:r w:rsidRPr="00183F97">
        <w:rPr>
          <w:rFonts w:ascii="Times New Roman" w:eastAsia="Times New Roman" w:hAnsi="Times New Roman" w:cs="Times New Roman"/>
          <w:sz w:val="24"/>
          <w:szCs w:val="24"/>
          <w:lang w:eastAsia="ru-RU"/>
        </w:rPr>
        <w:t>непрограммные расходы исполнены в сумме 778611,1 тыс. рублей, или 97,3 процента плана.</w:t>
      </w:r>
    </w:p>
    <w:p w:rsidR="00325036" w:rsidRPr="00403290" w:rsidRDefault="00325036" w:rsidP="00950A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290">
        <w:rPr>
          <w:rFonts w:ascii="Times New Roman" w:eastAsia="Times New Roman" w:hAnsi="Times New Roman" w:cs="Times New Roman"/>
          <w:sz w:val="24"/>
          <w:szCs w:val="24"/>
          <w:lang w:eastAsia="ru-RU"/>
        </w:rPr>
        <w:t>Информация об объемах бюджетных ассигнований, утвержденных законом области об областном бюджете</w:t>
      </w:r>
      <w:r>
        <w:rPr>
          <w:rFonts w:ascii="Times New Roman" w:eastAsia="Times New Roman" w:hAnsi="Times New Roman" w:cs="Times New Roman"/>
          <w:sz w:val="24"/>
          <w:szCs w:val="24"/>
          <w:lang w:eastAsia="ru-RU"/>
        </w:rPr>
        <w:t xml:space="preserve"> на 2015 год</w:t>
      </w:r>
      <w:r w:rsidRPr="00403290">
        <w:rPr>
          <w:rFonts w:ascii="Times New Roman" w:eastAsia="Times New Roman" w:hAnsi="Times New Roman" w:cs="Times New Roman"/>
          <w:sz w:val="24"/>
          <w:szCs w:val="24"/>
          <w:lang w:eastAsia="ru-RU"/>
        </w:rPr>
        <w:t>, сводной бюджетной росписью расходов областного бюджета на 2015 год</w:t>
      </w:r>
      <w:r>
        <w:rPr>
          <w:rFonts w:ascii="Times New Roman" w:eastAsia="Times New Roman" w:hAnsi="Times New Roman" w:cs="Times New Roman"/>
          <w:sz w:val="24"/>
          <w:szCs w:val="24"/>
          <w:lang w:eastAsia="ru-RU"/>
        </w:rPr>
        <w:t xml:space="preserve">, </w:t>
      </w:r>
      <w:r w:rsidRPr="001C50C2">
        <w:rPr>
          <w:rFonts w:ascii="Times New Roman" w:eastAsia="Times New Roman" w:hAnsi="Times New Roman" w:cs="Times New Roman"/>
          <w:sz w:val="24"/>
          <w:szCs w:val="24"/>
          <w:lang w:eastAsia="ru-RU"/>
        </w:rPr>
        <w:t>объемах бюджетных ассигнований</w:t>
      </w:r>
      <w:r>
        <w:rPr>
          <w:rFonts w:ascii="Times New Roman" w:eastAsia="Times New Roman" w:hAnsi="Times New Roman" w:cs="Times New Roman"/>
          <w:sz w:val="24"/>
          <w:szCs w:val="24"/>
          <w:lang w:eastAsia="ru-RU"/>
        </w:rPr>
        <w:t>,</w:t>
      </w:r>
      <w:r w:rsidRPr="001C50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предусмотренных государственными программами области (за счет средств областного и федерального бюджетов)</w:t>
      </w:r>
      <w:r w:rsidRPr="00403290">
        <w:rPr>
          <w:rFonts w:ascii="Times New Roman" w:eastAsia="Times New Roman" w:hAnsi="Times New Roman" w:cs="Times New Roman"/>
          <w:sz w:val="24"/>
          <w:szCs w:val="24"/>
          <w:lang w:eastAsia="ru-RU"/>
        </w:rPr>
        <w:t xml:space="preserve"> в разрезе государственных программ</w:t>
      </w:r>
      <w:r>
        <w:rPr>
          <w:rFonts w:ascii="Times New Roman" w:eastAsia="Times New Roman" w:hAnsi="Times New Roman" w:cs="Times New Roman"/>
          <w:sz w:val="24"/>
          <w:szCs w:val="24"/>
          <w:lang w:eastAsia="ru-RU"/>
        </w:rPr>
        <w:t xml:space="preserve"> и</w:t>
      </w:r>
      <w:r w:rsidRPr="004032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 исполнении государственных программ за 2015 год, </w:t>
      </w:r>
      <w:r w:rsidRPr="00403290">
        <w:rPr>
          <w:rFonts w:ascii="Times New Roman" w:eastAsia="Times New Roman" w:hAnsi="Times New Roman" w:cs="Times New Roman"/>
          <w:sz w:val="24"/>
          <w:szCs w:val="24"/>
          <w:lang w:eastAsia="ru-RU"/>
        </w:rPr>
        <w:t xml:space="preserve">представлена в </w:t>
      </w:r>
      <w:r w:rsidRPr="00950A56">
        <w:rPr>
          <w:rFonts w:ascii="Times New Roman" w:eastAsia="Times New Roman" w:hAnsi="Times New Roman" w:cs="Times New Roman"/>
          <w:sz w:val="24"/>
          <w:szCs w:val="24"/>
          <w:lang w:eastAsia="ru-RU"/>
        </w:rPr>
        <w:t>таблице</w:t>
      </w:r>
      <w:r w:rsidR="00950A56">
        <w:rPr>
          <w:rFonts w:ascii="Times New Roman" w:eastAsia="Times New Roman" w:hAnsi="Times New Roman" w:cs="Times New Roman"/>
          <w:sz w:val="24"/>
          <w:szCs w:val="24"/>
          <w:lang w:eastAsia="ru-RU"/>
        </w:rPr>
        <w:t xml:space="preserve"> </w:t>
      </w:r>
      <w:r w:rsidR="00950A56" w:rsidRPr="00950A56">
        <w:rPr>
          <w:rFonts w:ascii="Times New Roman" w:eastAsia="Times New Roman" w:hAnsi="Times New Roman" w:cs="Times New Roman"/>
          <w:sz w:val="24"/>
          <w:szCs w:val="24"/>
          <w:lang w:eastAsia="ru-RU"/>
        </w:rPr>
        <w:t>3</w:t>
      </w:r>
      <w:r w:rsidR="00950A56">
        <w:rPr>
          <w:rFonts w:ascii="Times New Roman" w:eastAsia="Times New Roman" w:hAnsi="Times New Roman" w:cs="Times New Roman"/>
          <w:sz w:val="24"/>
          <w:szCs w:val="24"/>
          <w:lang w:eastAsia="ru-RU"/>
        </w:rPr>
        <w:t>.</w:t>
      </w:r>
    </w:p>
    <w:p w:rsidR="009B02E7" w:rsidRDefault="009B02E7" w:rsidP="00950A5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25036" w:rsidRDefault="00950A56" w:rsidP="00950A5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w:t>
      </w:r>
    </w:p>
    <w:p w:rsidR="00325036" w:rsidRPr="00403290" w:rsidRDefault="00325036" w:rsidP="00950A5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16917">
        <w:rPr>
          <w:rFonts w:ascii="Times New Roman" w:eastAsia="Times New Roman" w:hAnsi="Times New Roman" w:cs="Times New Roman"/>
          <w:sz w:val="24"/>
          <w:szCs w:val="24"/>
          <w:lang w:eastAsia="ru-RU"/>
        </w:rPr>
        <w:t>Информация об объемах бюджетных ассигнований, утвержденных законом области об областном бюджете на 2015 год, сводной бюджетной росписью расходов областного бюджета на 2015 год, объемах бюджетных ассигнований, предусмотренных государственными программами области (за счет средств областного и федерального бюджетов) и об исполнении государственных программ за 2015 год</w:t>
      </w:r>
    </w:p>
    <w:p w:rsidR="009B02E7" w:rsidRDefault="009B02E7" w:rsidP="00325036">
      <w:pPr>
        <w:widowControl w:val="0"/>
        <w:autoSpaceDE w:val="0"/>
        <w:autoSpaceDN w:val="0"/>
        <w:adjustRightInd w:val="0"/>
        <w:spacing w:before="120" w:after="0" w:line="240" w:lineRule="auto"/>
        <w:jc w:val="right"/>
        <w:rPr>
          <w:rFonts w:ascii="Times New Roman" w:eastAsia="Times New Roman" w:hAnsi="Times New Roman" w:cs="Times New Roman"/>
          <w:sz w:val="24"/>
          <w:szCs w:val="24"/>
          <w:lang w:eastAsia="ru-RU"/>
        </w:rPr>
      </w:pPr>
    </w:p>
    <w:p w:rsidR="00325036" w:rsidRDefault="00325036" w:rsidP="00325036">
      <w:pPr>
        <w:widowControl w:val="0"/>
        <w:autoSpaceDE w:val="0"/>
        <w:autoSpaceDN w:val="0"/>
        <w:adjustRightInd w:val="0"/>
        <w:spacing w:before="120" w:after="0" w:line="240" w:lineRule="auto"/>
        <w:jc w:val="right"/>
        <w:rPr>
          <w:rFonts w:ascii="Times New Roman" w:eastAsia="Times New Roman" w:hAnsi="Times New Roman" w:cs="Times New Roman"/>
          <w:sz w:val="24"/>
          <w:szCs w:val="24"/>
          <w:lang w:eastAsia="ru-RU"/>
        </w:rPr>
      </w:pPr>
      <w:r w:rsidRPr="00403290">
        <w:rPr>
          <w:rFonts w:ascii="Times New Roman" w:eastAsia="Times New Roman" w:hAnsi="Times New Roman" w:cs="Times New Roman"/>
          <w:sz w:val="24"/>
          <w:szCs w:val="24"/>
          <w:lang w:eastAsia="ru-RU"/>
        </w:rPr>
        <w:t>тыс. рублей</w:t>
      </w:r>
    </w:p>
    <w:tbl>
      <w:tblPr>
        <w:tblStyle w:val="a6"/>
        <w:tblW w:w="10206" w:type="dxa"/>
        <w:tblInd w:w="-459" w:type="dxa"/>
        <w:tblLayout w:type="fixed"/>
        <w:tblLook w:val="04A0" w:firstRow="1" w:lastRow="0" w:firstColumn="1" w:lastColumn="0" w:noHBand="0" w:noVBand="1"/>
      </w:tblPr>
      <w:tblGrid>
        <w:gridCol w:w="4395"/>
        <w:gridCol w:w="1276"/>
        <w:gridCol w:w="1276"/>
        <w:gridCol w:w="1276"/>
        <w:gridCol w:w="1275"/>
        <w:gridCol w:w="708"/>
      </w:tblGrid>
      <w:tr w:rsidR="00325036" w:rsidRPr="00EB28DF" w:rsidTr="00614C10">
        <w:trPr>
          <w:trHeight w:val="369"/>
          <w:tblHeader/>
        </w:trPr>
        <w:tc>
          <w:tcPr>
            <w:tcW w:w="4395" w:type="dxa"/>
            <w:vMerge w:val="restart"/>
          </w:tcPr>
          <w:p w:rsidR="00325036" w:rsidRPr="00EB28DF" w:rsidRDefault="00325036" w:rsidP="00614C10">
            <w:pPr>
              <w:widowControl w:val="0"/>
              <w:autoSpaceDE w:val="0"/>
              <w:autoSpaceDN w:val="0"/>
              <w:adjustRightInd w:val="0"/>
              <w:jc w:val="center"/>
              <w:rPr>
                <w:b/>
              </w:rPr>
            </w:pPr>
            <w:r w:rsidRPr="00EB28DF">
              <w:rPr>
                <w:b/>
              </w:rPr>
              <w:t>Наименование</w:t>
            </w:r>
          </w:p>
        </w:tc>
        <w:tc>
          <w:tcPr>
            <w:tcW w:w="1276" w:type="dxa"/>
            <w:vMerge w:val="restart"/>
          </w:tcPr>
          <w:p w:rsidR="00325036" w:rsidRPr="00EB28DF" w:rsidRDefault="00325036" w:rsidP="00614C10">
            <w:pPr>
              <w:widowControl w:val="0"/>
              <w:autoSpaceDE w:val="0"/>
              <w:autoSpaceDN w:val="0"/>
              <w:adjustRightInd w:val="0"/>
              <w:jc w:val="center"/>
              <w:rPr>
                <w:b/>
              </w:rPr>
            </w:pPr>
            <w:r w:rsidRPr="00EB28DF">
              <w:rPr>
                <w:b/>
              </w:rPr>
              <w:t>Предусмот-рено гос. программой</w:t>
            </w:r>
          </w:p>
        </w:tc>
        <w:tc>
          <w:tcPr>
            <w:tcW w:w="1276" w:type="dxa"/>
            <w:vMerge w:val="restart"/>
          </w:tcPr>
          <w:p w:rsidR="00325036" w:rsidRPr="00EB28DF" w:rsidRDefault="00325036" w:rsidP="00614C10">
            <w:pPr>
              <w:widowControl w:val="0"/>
              <w:autoSpaceDE w:val="0"/>
              <w:autoSpaceDN w:val="0"/>
              <w:adjustRightInd w:val="0"/>
              <w:jc w:val="center"/>
              <w:rPr>
                <w:b/>
              </w:rPr>
            </w:pPr>
            <w:r w:rsidRPr="00EB28DF">
              <w:rPr>
                <w:b/>
              </w:rPr>
              <w:t>Утверждено Законом о бюджете</w:t>
            </w:r>
          </w:p>
        </w:tc>
        <w:tc>
          <w:tcPr>
            <w:tcW w:w="1276" w:type="dxa"/>
            <w:vMerge w:val="restart"/>
          </w:tcPr>
          <w:p w:rsidR="00325036" w:rsidRPr="00EB28DF" w:rsidRDefault="00325036" w:rsidP="00614C10">
            <w:pPr>
              <w:widowControl w:val="0"/>
              <w:autoSpaceDE w:val="0"/>
              <w:autoSpaceDN w:val="0"/>
              <w:adjustRightInd w:val="0"/>
              <w:jc w:val="center"/>
              <w:rPr>
                <w:b/>
              </w:rPr>
            </w:pPr>
            <w:r w:rsidRPr="00EB28DF">
              <w:rPr>
                <w:b/>
              </w:rPr>
              <w:t>План по бюджетной росписи</w:t>
            </w:r>
          </w:p>
        </w:tc>
        <w:tc>
          <w:tcPr>
            <w:tcW w:w="1983" w:type="dxa"/>
            <w:gridSpan w:val="2"/>
          </w:tcPr>
          <w:p w:rsidR="00325036" w:rsidRPr="00EB28DF" w:rsidRDefault="00325036" w:rsidP="00614C10">
            <w:pPr>
              <w:widowControl w:val="0"/>
              <w:autoSpaceDE w:val="0"/>
              <w:autoSpaceDN w:val="0"/>
              <w:adjustRightInd w:val="0"/>
              <w:jc w:val="center"/>
              <w:rPr>
                <w:b/>
              </w:rPr>
            </w:pPr>
            <w:r w:rsidRPr="00EB28DF">
              <w:rPr>
                <w:b/>
              </w:rPr>
              <w:t>Исполнено к бюджетной росписи</w:t>
            </w:r>
          </w:p>
        </w:tc>
      </w:tr>
      <w:tr w:rsidR="00325036" w:rsidRPr="00450340" w:rsidTr="00614C10">
        <w:trPr>
          <w:trHeight w:val="263"/>
          <w:tblHeader/>
        </w:trPr>
        <w:tc>
          <w:tcPr>
            <w:tcW w:w="4395" w:type="dxa"/>
            <w:vMerge/>
            <w:hideMark/>
          </w:tcPr>
          <w:p w:rsidR="00325036" w:rsidRPr="00E908B7" w:rsidRDefault="00325036" w:rsidP="00614C10">
            <w:pPr>
              <w:widowControl w:val="0"/>
              <w:autoSpaceDE w:val="0"/>
              <w:autoSpaceDN w:val="0"/>
              <w:adjustRightInd w:val="0"/>
            </w:pPr>
          </w:p>
        </w:tc>
        <w:tc>
          <w:tcPr>
            <w:tcW w:w="1276" w:type="dxa"/>
            <w:vMerge/>
            <w:hideMark/>
          </w:tcPr>
          <w:p w:rsidR="00325036" w:rsidRPr="00E908B7" w:rsidRDefault="00325036" w:rsidP="00614C10">
            <w:pPr>
              <w:widowControl w:val="0"/>
              <w:autoSpaceDE w:val="0"/>
              <w:autoSpaceDN w:val="0"/>
              <w:adjustRightInd w:val="0"/>
            </w:pPr>
          </w:p>
        </w:tc>
        <w:tc>
          <w:tcPr>
            <w:tcW w:w="1276" w:type="dxa"/>
            <w:vMerge/>
            <w:hideMark/>
          </w:tcPr>
          <w:p w:rsidR="00325036" w:rsidRPr="00E908B7" w:rsidRDefault="00325036" w:rsidP="00614C10">
            <w:pPr>
              <w:widowControl w:val="0"/>
              <w:autoSpaceDE w:val="0"/>
              <w:autoSpaceDN w:val="0"/>
              <w:adjustRightInd w:val="0"/>
            </w:pPr>
          </w:p>
        </w:tc>
        <w:tc>
          <w:tcPr>
            <w:tcW w:w="1276" w:type="dxa"/>
            <w:vMerge/>
            <w:hideMark/>
          </w:tcPr>
          <w:p w:rsidR="00325036" w:rsidRPr="00E908B7" w:rsidRDefault="00325036" w:rsidP="00614C10">
            <w:pPr>
              <w:widowControl w:val="0"/>
              <w:autoSpaceDE w:val="0"/>
              <w:autoSpaceDN w:val="0"/>
              <w:adjustRightInd w:val="0"/>
            </w:pPr>
          </w:p>
        </w:tc>
        <w:tc>
          <w:tcPr>
            <w:tcW w:w="1275" w:type="dxa"/>
          </w:tcPr>
          <w:p w:rsidR="00325036" w:rsidRPr="00E908B7" w:rsidRDefault="00325036" w:rsidP="00614C10">
            <w:pPr>
              <w:widowControl w:val="0"/>
              <w:autoSpaceDE w:val="0"/>
              <w:autoSpaceDN w:val="0"/>
              <w:adjustRightInd w:val="0"/>
              <w:jc w:val="center"/>
            </w:pPr>
            <w:r w:rsidRPr="00E908B7">
              <w:t>сумма</w:t>
            </w:r>
          </w:p>
        </w:tc>
        <w:tc>
          <w:tcPr>
            <w:tcW w:w="708" w:type="dxa"/>
          </w:tcPr>
          <w:p w:rsidR="00325036" w:rsidRPr="00E908B7" w:rsidRDefault="00325036" w:rsidP="00614C10">
            <w:pPr>
              <w:widowControl w:val="0"/>
              <w:autoSpaceDE w:val="0"/>
              <w:autoSpaceDN w:val="0"/>
              <w:adjustRightInd w:val="0"/>
            </w:pPr>
            <w:r w:rsidRPr="00E908B7">
              <w:t>%</w:t>
            </w:r>
          </w:p>
        </w:tc>
      </w:tr>
      <w:tr w:rsidR="00325036" w:rsidRPr="00450340" w:rsidTr="00614C10">
        <w:trPr>
          <w:trHeight w:val="1208"/>
        </w:trPr>
        <w:tc>
          <w:tcPr>
            <w:tcW w:w="4395" w:type="dxa"/>
            <w:hideMark/>
          </w:tcPr>
          <w:p w:rsidR="00325036" w:rsidRPr="00E908B7" w:rsidRDefault="00325036" w:rsidP="009B02E7">
            <w:pPr>
              <w:widowControl w:val="0"/>
              <w:autoSpaceDE w:val="0"/>
              <w:autoSpaceDN w:val="0"/>
              <w:adjustRightInd w:val="0"/>
              <w:rPr>
                <w:sz w:val="22"/>
                <w:szCs w:val="22"/>
              </w:rPr>
            </w:pPr>
            <w:r w:rsidRPr="00E908B7">
              <w:rPr>
                <w:sz w:val="22"/>
                <w:szCs w:val="22"/>
              </w:rPr>
              <w:t>1. Государственная программа «Развитие сельского хозяйства и регулирование рынков сельскохозяйственной продукции, сырья и продовольствия Амурской области на 2014-2020 годы»</w:t>
            </w:r>
          </w:p>
        </w:tc>
        <w:tc>
          <w:tcPr>
            <w:tcW w:w="1276" w:type="dxa"/>
            <w:hideMark/>
          </w:tcPr>
          <w:p w:rsidR="00325036" w:rsidRPr="00E908B7" w:rsidRDefault="00325036" w:rsidP="00614C10">
            <w:pPr>
              <w:widowControl w:val="0"/>
              <w:autoSpaceDE w:val="0"/>
              <w:autoSpaceDN w:val="0"/>
              <w:adjustRightInd w:val="0"/>
              <w:rPr>
                <w:sz w:val="22"/>
                <w:szCs w:val="22"/>
              </w:rPr>
            </w:pPr>
            <w:r w:rsidRPr="00E908B7">
              <w:rPr>
                <w:sz w:val="22"/>
                <w:szCs w:val="22"/>
              </w:rPr>
              <w:t>2240150,7</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1427970,1</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2342779,9</w:t>
            </w:r>
          </w:p>
        </w:tc>
        <w:tc>
          <w:tcPr>
            <w:tcW w:w="1275"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2194140,3</w:t>
            </w:r>
          </w:p>
        </w:tc>
        <w:tc>
          <w:tcPr>
            <w:tcW w:w="708"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93,7</w:t>
            </w:r>
          </w:p>
        </w:tc>
      </w:tr>
      <w:tr w:rsidR="00325036" w:rsidRPr="00450340" w:rsidTr="00614C10">
        <w:trPr>
          <w:trHeight w:val="645"/>
        </w:trPr>
        <w:tc>
          <w:tcPr>
            <w:tcW w:w="4395" w:type="dxa"/>
            <w:hideMark/>
          </w:tcPr>
          <w:p w:rsidR="00325036" w:rsidRPr="00E908B7" w:rsidRDefault="00325036" w:rsidP="00614C10">
            <w:pPr>
              <w:widowControl w:val="0"/>
              <w:autoSpaceDE w:val="0"/>
              <w:autoSpaceDN w:val="0"/>
              <w:adjustRightInd w:val="0"/>
              <w:rPr>
                <w:sz w:val="22"/>
                <w:szCs w:val="22"/>
              </w:rPr>
            </w:pPr>
            <w:r w:rsidRPr="00E908B7">
              <w:rPr>
                <w:sz w:val="22"/>
                <w:szCs w:val="22"/>
              </w:rPr>
              <w:t>2. Государственная программа «Развитие системы социальной защиты населения Амурской области на 2014–2020 гг.»</w:t>
            </w:r>
          </w:p>
        </w:tc>
        <w:tc>
          <w:tcPr>
            <w:tcW w:w="1276" w:type="dxa"/>
            <w:hideMark/>
          </w:tcPr>
          <w:p w:rsidR="00325036" w:rsidRPr="00E908B7" w:rsidRDefault="00325036" w:rsidP="00614C10">
            <w:pPr>
              <w:widowControl w:val="0"/>
              <w:autoSpaceDE w:val="0"/>
              <w:autoSpaceDN w:val="0"/>
              <w:adjustRightInd w:val="0"/>
              <w:rPr>
                <w:sz w:val="22"/>
                <w:szCs w:val="22"/>
              </w:rPr>
            </w:pPr>
            <w:r w:rsidRPr="00E908B7">
              <w:rPr>
                <w:sz w:val="22"/>
                <w:szCs w:val="22"/>
              </w:rPr>
              <w:t>8314579,3</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8306250,6</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9245790,7</w:t>
            </w:r>
          </w:p>
        </w:tc>
        <w:tc>
          <w:tcPr>
            <w:tcW w:w="1275"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9055640,2</w:t>
            </w:r>
          </w:p>
        </w:tc>
        <w:tc>
          <w:tcPr>
            <w:tcW w:w="708"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97,9</w:t>
            </w:r>
          </w:p>
        </w:tc>
      </w:tr>
      <w:tr w:rsidR="00325036" w:rsidRPr="00450340" w:rsidTr="00614C10">
        <w:trPr>
          <w:trHeight w:val="726"/>
        </w:trPr>
        <w:tc>
          <w:tcPr>
            <w:tcW w:w="4395" w:type="dxa"/>
            <w:hideMark/>
          </w:tcPr>
          <w:p w:rsidR="00325036" w:rsidRPr="00E908B7" w:rsidRDefault="00325036" w:rsidP="00614C10">
            <w:pPr>
              <w:widowControl w:val="0"/>
              <w:autoSpaceDE w:val="0"/>
              <w:autoSpaceDN w:val="0"/>
              <w:adjustRightInd w:val="0"/>
              <w:rPr>
                <w:sz w:val="22"/>
                <w:szCs w:val="22"/>
              </w:rPr>
            </w:pPr>
            <w:r w:rsidRPr="00E908B7">
              <w:rPr>
                <w:sz w:val="22"/>
                <w:szCs w:val="22"/>
              </w:rPr>
              <w:t>3. Государственная программа «Развитие и сохранение культуры и искусства Амурской области на 2014–2020 годы»</w:t>
            </w:r>
          </w:p>
        </w:tc>
        <w:tc>
          <w:tcPr>
            <w:tcW w:w="1276" w:type="dxa"/>
            <w:hideMark/>
          </w:tcPr>
          <w:p w:rsidR="00325036" w:rsidRPr="00E908B7" w:rsidRDefault="00325036" w:rsidP="00614C10">
            <w:pPr>
              <w:widowControl w:val="0"/>
              <w:autoSpaceDE w:val="0"/>
              <w:autoSpaceDN w:val="0"/>
              <w:adjustRightInd w:val="0"/>
              <w:rPr>
                <w:sz w:val="22"/>
                <w:szCs w:val="22"/>
              </w:rPr>
            </w:pPr>
            <w:r w:rsidRPr="00E908B7">
              <w:rPr>
                <w:sz w:val="22"/>
                <w:szCs w:val="22"/>
              </w:rPr>
              <w:t>291721,6</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291721,6</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292760,4</w:t>
            </w:r>
          </w:p>
        </w:tc>
        <w:tc>
          <w:tcPr>
            <w:tcW w:w="1275"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278432,9</w:t>
            </w:r>
          </w:p>
        </w:tc>
        <w:tc>
          <w:tcPr>
            <w:tcW w:w="708"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95,1</w:t>
            </w:r>
          </w:p>
        </w:tc>
      </w:tr>
      <w:tr w:rsidR="00325036" w:rsidRPr="00450340" w:rsidTr="00614C10">
        <w:trPr>
          <w:trHeight w:val="653"/>
        </w:trPr>
        <w:tc>
          <w:tcPr>
            <w:tcW w:w="4395" w:type="dxa"/>
            <w:hideMark/>
          </w:tcPr>
          <w:p w:rsidR="00325036" w:rsidRPr="00E908B7" w:rsidRDefault="00325036" w:rsidP="00614C10">
            <w:pPr>
              <w:widowControl w:val="0"/>
              <w:autoSpaceDE w:val="0"/>
              <w:autoSpaceDN w:val="0"/>
              <w:adjustRightInd w:val="0"/>
              <w:rPr>
                <w:sz w:val="22"/>
                <w:szCs w:val="22"/>
              </w:rPr>
            </w:pPr>
            <w:r w:rsidRPr="00E908B7">
              <w:rPr>
                <w:sz w:val="22"/>
                <w:szCs w:val="22"/>
              </w:rPr>
              <w:lastRenderedPageBreak/>
              <w:t>4. Государственная программа «Охрана окружающей среды в Амурской области на 2014–2020 годы»</w:t>
            </w:r>
          </w:p>
        </w:tc>
        <w:tc>
          <w:tcPr>
            <w:tcW w:w="1276" w:type="dxa"/>
            <w:hideMark/>
          </w:tcPr>
          <w:p w:rsidR="00325036" w:rsidRPr="00E908B7" w:rsidRDefault="00325036" w:rsidP="00614C10">
            <w:pPr>
              <w:widowControl w:val="0"/>
              <w:autoSpaceDE w:val="0"/>
              <w:autoSpaceDN w:val="0"/>
              <w:adjustRightInd w:val="0"/>
              <w:rPr>
                <w:sz w:val="22"/>
                <w:szCs w:val="22"/>
              </w:rPr>
            </w:pPr>
            <w:r w:rsidRPr="00E908B7">
              <w:rPr>
                <w:sz w:val="22"/>
                <w:szCs w:val="22"/>
              </w:rPr>
              <w:t>1028600,7</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1028600,7</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1113789,4</w:t>
            </w:r>
          </w:p>
        </w:tc>
        <w:tc>
          <w:tcPr>
            <w:tcW w:w="1275"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1082517,5</w:t>
            </w:r>
          </w:p>
        </w:tc>
        <w:tc>
          <w:tcPr>
            <w:tcW w:w="708"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97,2</w:t>
            </w:r>
          </w:p>
        </w:tc>
      </w:tr>
      <w:tr w:rsidR="00325036" w:rsidRPr="00450340" w:rsidTr="00614C10">
        <w:trPr>
          <w:trHeight w:val="1248"/>
        </w:trPr>
        <w:tc>
          <w:tcPr>
            <w:tcW w:w="4395" w:type="dxa"/>
            <w:hideMark/>
          </w:tcPr>
          <w:p w:rsidR="00325036" w:rsidRPr="00E908B7" w:rsidRDefault="00325036" w:rsidP="00614C10">
            <w:pPr>
              <w:widowControl w:val="0"/>
              <w:autoSpaceDE w:val="0"/>
              <w:autoSpaceDN w:val="0"/>
              <w:adjustRightInd w:val="0"/>
              <w:rPr>
                <w:sz w:val="22"/>
                <w:szCs w:val="22"/>
              </w:rPr>
            </w:pPr>
            <w:r w:rsidRPr="00E908B7">
              <w:rPr>
                <w:sz w:val="22"/>
                <w:szCs w:val="22"/>
              </w:rPr>
              <w:t>5. Государственная программа «Модернизация жилищно–коммунального комплекса, энергосбережение и повышение энергетической эффективности в Амурской области на 2014–2020 годы»</w:t>
            </w:r>
          </w:p>
        </w:tc>
        <w:tc>
          <w:tcPr>
            <w:tcW w:w="1276" w:type="dxa"/>
            <w:hideMark/>
          </w:tcPr>
          <w:p w:rsidR="00325036" w:rsidRPr="00E908B7" w:rsidRDefault="00325036" w:rsidP="00614C10">
            <w:pPr>
              <w:widowControl w:val="0"/>
              <w:autoSpaceDE w:val="0"/>
              <w:autoSpaceDN w:val="0"/>
              <w:adjustRightInd w:val="0"/>
              <w:rPr>
                <w:sz w:val="22"/>
                <w:szCs w:val="22"/>
              </w:rPr>
            </w:pPr>
            <w:r w:rsidRPr="00E908B7">
              <w:rPr>
                <w:sz w:val="22"/>
                <w:szCs w:val="22"/>
              </w:rPr>
              <w:t>2539329,0</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2514064,4</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2520494,4</w:t>
            </w:r>
          </w:p>
        </w:tc>
        <w:tc>
          <w:tcPr>
            <w:tcW w:w="1275"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2461694,3</w:t>
            </w:r>
          </w:p>
        </w:tc>
        <w:tc>
          <w:tcPr>
            <w:tcW w:w="708"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97,7</w:t>
            </w:r>
          </w:p>
        </w:tc>
      </w:tr>
      <w:tr w:rsidR="00325036" w:rsidRPr="00450340" w:rsidTr="00614C10">
        <w:trPr>
          <w:trHeight w:val="753"/>
        </w:trPr>
        <w:tc>
          <w:tcPr>
            <w:tcW w:w="4395" w:type="dxa"/>
            <w:hideMark/>
          </w:tcPr>
          <w:p w:rsidR="00325036" w:rsidRPr="00E908B7" w:rsidRDefault="00325036" w:rsidP="00614C10">
            <w:pPr>
              <w:widowControl w:val="0"/>
              <w:autoSpaceDE w:val="0"/>
              <w:autoSpaceDN w:val="0"/>
              <w:adjustRightInd w:val="0"/>
              <w:rPr>
                <w:sz w:val="22"/>
                <w:szCs w:val="22"/>
              </w:rPr>
            </w:pPr>
            <w:r w:rsidRPr="00E908B7">
              <w:rPr>
                <w:sz w:val="22"/>
                <w:szCs w:val="22"/>
              </w:rPr>
              <w:t>6. Государственная программа «Развитие здравоохранения Амурской области на 2014–2020 годы»</w:t>
            </w:r>
          </w:p>
        </w:tc>
        <w:tc>
          <w:tcPr>
            <w:tcW w:w="1276" w:type="dxa"/>
            <w:hideMark/>
          </w:tcPr>
          <w:p w:rsidR="00325036" w:rsidRPr="00E908B7" w:rsidRDefault="00325036" w:rsidP="00614C10">
            <w:pPr>
              <w:widowControl w:val="0"/>
              <w:autoSpaceDE w:val="0"/>
              <w:autoSpaceDN w:val="0"/>
              <w:adjustRightInd w:val="0"/>
              <w:rPr>
                <w:sz w:val="22"/>
                <w:szCs w:val="22"/>
              </w:rPr>
            </w:pPr>
            <w:r w:rsidRPr="00E908B7">
              <w:rPr>
                <w:sz w:val="22"/>
                <w:szCs w:val="22"/>
              </w:rPr>
              <w:t>7228609,6</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7228609,7</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7558186,6</w:t>
            </w:r>
          </w:p>
        </w:tc>
        <w:tc>
          <w:tcPr>
            <w:tcW w:w="1275"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7491587,9</w:t>
            </w:r>
          </w:p>
        </w:tc>
        <w:tc>
          <w:tcPr>
            <w:tcW w:w="708"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99,1</w:t>
            </w:r>
          </w:p>
        </w:tc>
      </w:tr>
      <w:tr w:rsidR="00325036" w:rsidRPr="00450340" w:rsidTr="00614C10">
        <w:trPr>
          <w:trHeight w:val="977"/>
        </w:trPr>
        <w:tc>
          <w:tcPr>
            <w:tcW w:w="4395" w:type="dxa"/>
            <w:hideMark/>
          </w:tcPr>
          <w:p w:rsidR="00325036" w:rsidRPr="00E908B7" w:rsidRDefault="00325036" w:rsidP="00614C10">
            <w:pPr>
              <w:widowControl w:val="0"/>
              <w:autoSpaceDE w:val="0"/>
              <w:autoSpaceDN w:val="0"/>
              <w:adjustRightInd w:val="0"/>
              <w:rPr>
                <w:sz w:val="22"/>
                <w:szCs w:val="22"/>
              </w:rPr>
            </w:pPr>
            <w:r w:rsidRPr="00E908B7">
              <w:rPr>
                <w:sz w:val="22"/>
                <w:szCs w:val="22"/>
              </w:rPr>
              <w:t>7. Государственная программа «Обеспечение доступным и качественным жильем населения Амурской области на 2014–2020 годы»</w:t>
            </w:r>
          </w:p>
        </w:tc>
        <w:tc>
          <w:tcPr>
            <w:tcW w:w="1276" w:type="dxa"/>
            <w:hideMark/>
          </w:tcPr>
          <w:p w:rsidR="00325036" w:rsidRPr="00E908B7" w:rsidRDefault="00325036" w:rsidP="00614C10">
            <w:pPr>
              <w:widowControl w:val="0"/>
              <w:autoSpaceDE w:val="0"/>
              <w:autoSpaceDN w:val="0"/>
              <w:adjustRightInd w:val="0"/>
              <w:rPr>
                <w:sz w:val="22"/>
                <w:szCs w:val="22"/>
              </w:rPr>
            </w:pPr>
            <w:r w:rsidRPr="00E908B7">
              <w:rPr>
                <w:sz w:val="22"/>
                <w:szCs w:val="22"/>
              </w:rPr>
              <w:t>3810381,9</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2000194,5</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4250798,8</w:t>
            </w:r>
          </w:p>
        </w:tc>
        <w:tc>
          <w:tcPr>
            <w:tcW w:w="1275"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1995581,3</w:t>
            </w:r>
          </w:p>
        </w:tc>
        <w:tc>
          <w:tcPr>
            <w:tcW w:w="708"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46,9</w:t>
            </w:r>
          </w:p>
        </w:tc>
      </w:tr>
      <w:tr w:rsidR="00325036" w:rsidRPr="00450340" w:rsidTr="00614C10">
        <w:trPr>
          <w:trHeight w:val="935"/>
        </w:trPr>
        <w:tc>
          <w:tcPr>
            <w:tcW w:w="4395" w:type="dxa"/>
            <w:hideMark/>
          </w:tcPr>
          <w:p w:rsidR="00325036" w:rsidRPr="00E908B7" w:rsidRDefault="00325036" w:rsidP="00614C10">
            <w:pPr>
              <w:widowControl w:val="0"/>
              <w:autoSpaceDE w:val="0"/>
              <w:autoSpaceDN w:val="0"/>
              <w:adjustRightInd w:val="0"/>
              <w:rPr>
                <w:sz w:val="22"/>
                <w:szCs w:val="22"/>
              </w:rPr>
            </w:pPr>
            <w:r w:rsidRPr="00E908B7">
              <w:rPr>
                <w:sz w:val="22"/>
                <w:szCs w:val="22"/>
              </w:rPr>
              <w:t>8. Государственная программа «Экономическое развитие и инновационная экономика Амурской области на 2014-2020 годы»</w:t>
            </w:r>
          </w:p>
        </w:tc>
        <w:tc>
          <w:tcPr>
            <w:tcW w:w="1276" w:type="dxa"/>
            <w:hideMark/>
          </w:tcPr>
          <w:p w:rsidR="00325036" w:rsidRPr="00E908B7" w:rsidRDefault="00325036" w:rsidP="00614C10">
            <w:pPr>
              <w:widowControl w:val="0"/>
              <w:autoSpaceDE w:val="0"/>
              <w:autoSpaceDN w:val="0"/>
              <w:adjustRightInd w:val="0"/>
              <w:rPr>
                <w:sz w:val="22"/>
                <w:szCs w:val="22"/>
              </w:rPr>
            </w:pPr>
            <w:r w:rsidRPr="00E908B7">
              <w:rPr>
                <w:sz w:val="22"/>
                <w:szCs w:val="22"/>
              </w:rPr>
              <w:t>1194004,7</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1192836,2</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1219666,3</w:t>
            </w:r>
          </w:p>
        </w:tc>
        <w:tc>
          <w:tcPr>
            <w:tcW w:w="1275"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1187401,9</w:t>
            </w:r>
          </w:p>
        </w:tc>
        <w:tc>
          <w:tcPr>
            <w:tcW w:w="708"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97,4</w:t>
            </w:r>
          </w:p>
        </w:tc>
      </w:tr>
      <w:tr w:rsidR="00325036" w:rsidRPr="00450340" w:rsidTr="00614C10">
        <w:trPr>
          <w:trHeight w:val="906"/>
        </w:trPr>
        <w:tc>
          <w:tcPr>
            <w:tcW w:w="4395" w:type="dxa"/>
            <w:hideMark/>
          </w:tcPr>
          <w:p w:rsidR="00325036" w:rsidRPr="00E908B7" w:rsidRDefault="00325036" w:rsidP="00614C10">
            <w:pPr>
              <w:widowControl w:val="0"/>
              <w:autoSpaceDE w:val="0"/>
              <w:autoSpaceDN w:val="0"/>
              <w:adjustRightInd w:val="0"/>
              <w:rPr>
                <w:sz w:val="22"/>
                <w:szCs w:val="22"/>
              </w:rPr>
            </w:pPr>
            <w:r w:rsidRPr="00E908B7">
              <w:rPr>
                <w:sz w:val="22"/>
                <w:szCs w:val="22"/>
              </w:rPr>
              <w:t>9. Государственная программа «Развитие физической культуры и спорта на территории Амурской области на 2014–2020 годы»</w:t>
            </w:r>
          </w:p>
        </w:tc>
        <w:tc>
          <w:tcPr>
            <w:tcW w:w="1276" w:type="dxa"/>
            <w:hideMark/>
          </w:tcPr>
          <w:p w:rsidR="00325036" w:rsidRPr="00E908B7" w:rsidRDefault="00325036" w:rsidP="00614C10">
            <w:pPr>
              <w:widowControl w:val="0"/>
              <w:autoSpaceDE w:val="0"/>
              <w:autoSpaceDN w:val="0"/>
              <w:adjustRightInd w:val="0"/>
              <w:rPr>
                <w:sz w:val="22"/>
                <w:szCs w:val="22"/>
              </w:rPr>
            </w:pPr>
            <w:r w:rsidRPr="00E908B7">
              <w:rPr>
                <w:sz w:val="22"/>
                <w:szCs w:val="22"/>
              </w:rPr>
              <w:t>260965,8</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140965,8</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267671,4</w:t>
            </w:r>
          </w:p>
        </w:tc>
        <w:tc>
          <w:tcPr>
            <w:tcW w:w="1275"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265496,1</w:t>
            </w:r>
          </w:p>
        </w:tc>
        <w:tc>
          <w:tcPr>
            <w:tcW w:w="708"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99,2</w:t>
            </w:r>
          </w:p>
        </w:tc>
      </w:tr>
      <w:tr w:rsidR="00325036" w:rsidRPr="00450340" w:rsidTr="00614C10">
        <w:trPr>
          <w:trHeight w:val="1162"/>
        </w:trPr>
        <w:tc>
          <w:tcPr>
            <w:tcW w:w="4395" w:type="dxa"/>
            <w:hideMark/>
          </w:tcPr>
          <w:p w:rsidR="00325036" w:rsidRPr="00E908B7" w:rsidRDefault="00325036" w:rsidP="00614C10">
            <w:pPr>
              <w:widowControl w:val="0"/>
              <w:autoSpaceDE w:val="0"/>
              <w:autoSpaceDN w:val="0"/>
              <w:adjustRightInd w:val="0"/>
              <w:rPr>
                <w:sz w:val="22"/>
                <w:szCs w:val="22"/>
              </w:rPr>
            </w:pPr>
            <w:r w:rsidRPr="00E908B7">
              <w:rPr>
                <w:sz w:val="22"/>
                <w:szCs w:val="22"/>
              </w:rPr>
              <w:t>10. Государственная программа «Повышение эффективности деятельности органов государственной власти и управления Амурской области на 2014–2020 годы»</w:t>
            </w:r>
          </w:p>
        </w:tc>
        <w:tc>
          <w:tcPr>
            <w:tcW w:w="1276" w:type="dxa"/>
            <w:hideMark/>
          </w:tcPr>
          <w:p w:rsidR="00325036" w:rsidRPr="00E908B7" w:rsidRDefault="00325036" w:rsidP="00614C10">
            <w:pPr>
              <w:widowControl w:val="0"/>
              <w:autoSpaceDE w:val="0"/>
              <w:autoSpaceDN w:val="0"/>
              <w:adjustRightInd w:val="0"/>
              <w:rPr>
                <w:sz w:val="22"/>
                <w:szCs w:val="22"/>
              </w:rPr>
            </w:pPr>
            <w:r w:rsidRPr="00E908B7">
              <w:rPr>
                <w:sz w:val="22"/>
                <w:szCs w:val="22"/>
              </w:rPr>
              <w:t>6499058,0</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6499058,5</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6492694,1</w:t>
            </w:r>
          </w:p>
        </w:tc>
        <w:tc>
          <w:tcPr>
            <w:tcW w:w="1275"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6448612,0</w:t>
            </w:r>
          </w:p>
        </w:tc>
        <w:tc>
          <w:tcPr>
            <w:tcW w:w="708"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99,3</w:t>
            </w:r>
          </w:p>
        </w:tc>
      </w:tr>
      <w:tr w:rsidR="00325036" w:rsidRPr="00450340" w:rsidTr="00614C10">
        <w:trPr>
          <w:trHeight w:val="1581"/>
        </w:trPr>
        <w:tc>
          <w:tcPr>
            <w:tcW w:w="4395" w:type="dxa"/>
            <w:hideMark/>
          </w:tcPr>
          <w:p w:rsidR="00325036" w:rsidRPr="00E908B7" w:rsidRDefault="00325036" w:rsidP="00614C10">
            <w:pPr>
              <w:widowControl w:val="0"/>
              <w:autoSpaceDE w:val="0"/>
              <w:autoSpaceDN w:val="0"/>
              <w:adjustRightInd w:val="0"/>
              <w:rPr>
                <w:sz w:val="22"/>
                <w:szCs w:val="22"/>
              </w:rPr>
            </w:pPr>
            <w:r w:rsidRPr="00E908B7">
              <w:rPr>
                <w:sz w:val="22"/>
                <w:szCs w:val="22"/>
              </w:rPr>
              <w:t>11. Государственная программа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w:t>
            </w:r>
          </w:p>
        </w:tc>
        <w:tc>
          <w:tcPr>
            <w:tcW w:w="1276" w:type="dxa"/>
            <w:hideMark/>
          </w:tcPr>
          <w:p w:rsidR="00325036" w:rsidRPr="00E908B7" w:rsidRDefault="00325036" w:rsidP="00614C10">
            <w:pPr>
              <w:widowControl w:val="0"/>
              <w:autoSpaceDE w:val="0"/>
              <w:autoSpaceDN w:val="0"/>
              <w:adjustRightInd w:val="0"/>
              <w:rPr>
                <w:sz w:val="22"/>
                <w:szCs w:val="22"/>
              </w:rPr>
            </w:pPr>
            <w:r w:rsidRPr="00E908B7">
              <w:rPr>
                <w:sz w:val="22"/>
                <w:szCs w:val="22"/>
              </w:rPr>
              <w:t>868882,2</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868882,1</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868882,0</w:t>
            </w:r>
          </w:p>
        </w:tc>
        <w:tc>
          <w:tcPr>
            <w:tcW w:w="1275"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847203,6</w:t>
            </w:r>
          </w:p>
        </w:tc>
        <w:tc>
          <w:tcPr>
            <w:tcW w:w="708"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97,5</w:t>
            </w:r>
          </w:p>
        </w:tc>
      </w:tr>
      <w:tr w:rsidR="00325036" w:rsidRPr="00450340" w:rsidTr="00614C10">
        <w:trPr>
          <w:trHeight w:val="634"/>
        </w:trPr>
        <w:tc>
          <w:tcPr>
            <w:tcW w:w="4395" w:type="dxa"/>
            <w:hideMark/>
          </w:tcPr>
          <w:p w:rsidR="00325036" w:rsidRPr="00E908B7" w:rsidRDefault="00325036" w:rsidP="00614C10">
            <w:pPr>
              <w:widowControl w:val="0"/>
              <w:autoSpaceDE w:val="0"/>
              <w:autoSpaceDN w:val="0"/>
              <w:adjustRightInd w:val="0"/>
              <w:rPr>
                <w:sz w:val="22"/>
                <w:szCs w:val="22"/>
              </w:rPr>
            </w:pPr>
            <w:r w:rsidRPr="00E908B7">
              <w:rPr>
                <w:sz w:val="22"/>
                <w:szCs w:val="22"/>
              </w:rPr>
              <w:t>12. Государственная программа «Развитие образования Амурской области на 2014–2020 годы»</w:t>
            </w:r>
          </w:p>
        </w:tc>
        <w:tc>
          <w:tcPr>
            <w:tcW w:w="1276" w:type="dxa"/>
            <w:hideMark/>
          </w:tcPr>
          <w:p w:rsidR="00325036" w:rsidRPr="00E908B7" w:rsidRDefault="00325036" w:rsidP="00614C10">
            <w:pPr>
              <w:widowControl w:val="0"/>
              <w:autoSpaceDE w:val="0"/>
              <w:autoSpaceDN w:val="0"/>
              <w:adjustRightInd w:val="0"/>
              <w:rPr>
                <w:sz w:val="22"/>
                <w:szCs w:val="22"/>
              </w:rPr>
            </w:pPr>
            <w:r w:rsidRPr="00E908B7">
              <w:rPr>
                <w:sz w:val="22"/>
                <w:szCs w:val="22"/>
              </w:rPr>
              <w:t>8467286,8</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8395784,4</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8504195,2</w:t>
            </w:r>
          </w:p>
        </w:tc>
        <w:tc>
          <w:tcPr>
            <w:tcW w:w="1275"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8435965,5</w:t>
            </w:r>
          </w:p>
        </w:tc>
        <w:tc>
          <w:tcPr>
            <w:tcW w:w="708"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99,2</w:t>
            </w:r>
          </w:p>
        </w:tc>
      </w:tr>
      <w:tr w:rsidR="00325036" w:rsidRPr="00450340" w:rsidTr="00614C10">
        <w:trPr>
          <w:trHeight w:val="811"/>
        </w:trPr>
        <w:tc>
          <w:tcPr>
            <w:tcW w:w="4395" w:type="dxa"/>
            <w:hideMark/>
          </w:tcPr>
          <w:p w:rsidR="00325036" w:rsidRPr="00E908B7" w:rsidRDefault="00325036" w:rsidP="00614C10">
            <w:pPr>
              <w:widowControl w:val="0"/>
              <w:autoSpaceDE w:val="0"/>
              <w:autoSpaceDN w:val="0"/>
              <w:adjustRightInd w:val="0"/>
              <w:rPr>
                <w:sz w:val="22"/>
                <w:szCs w:val="22"/>
              </w:rPr>
            </w:pPr>
            <w:r w:rsidRPr="00E908B7">
              <w:rPr>
                <w:sz w:val="22"/>
                <w:szCs w:val="22"/>
              </w:rPr>
              <w:t>13. Государственная программа «Развитие транспортной системы Амурской области на 2014–2020 годы»</w:t>
            </w:r>
          </w:p>
        </w:tc>
        <w:tc>
          <w:tcPr>
            <w:tcW w:w="1276" w:type="dxa"/>
            <w:hideMark/>
          </w:tcPr>
          <w:p w:rsidR="00325036" w:rsidRPr="00E908B7" w:rsidRDefault="00325036" w:rsidP="00614C10">
            <w:pPr>
              <w:widowControl w:val="0"/>
              <w:autoSpaceDE w:val="0"/>
              <w:autoSpaceDN w:val="0"/>
              <w:adjustRightInd w:val="0"/>
              <w:rPr>
                <w:sz w:val="22"/>
                <w:szCs w:val="22"/>
              </w:rPr>
            </w:pPr>
            <w:r w:rsidRPr="00E908B7">
              <w:rPr>
                <w:sz w:val="22"/>
                <w:szCs w:val="22"/>
              </w:rPr>
              <w:t>5868866,2</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5302366,1</w:t>
            </w:r>
          </w:p>
        </w:tc>
        <w:tc>
          <w:tcPr>
            <w:tcW w:w="1276"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5302366,1</w:t>
            </w:r>
          </w:p>
        </w:tc>
        <w:tc>
          <w:tcPr>
            <w:tcW w:w="1275"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5073947,2</w:t>
            </w:r>
          </w:p>
        </w:tc>
        <w:tc>
          <w:tcPr>
            <w:tcW w:w="708" w:type="dxa"/>
            <w:noWrap/>
            <w:hideMark/>
          </w:tcPr>
          <w:p w:rsidR="00325036" w:rsidRPr="00E908B7" w:rsidRDefault="00325036" w:rsidP="00614C10">
            <w:pPr>
              <w:widowControl w:val="0"/>
              <w:autoSpaceDE w:val="0"/>
              <w:autoSpaceDN w:val="0"/>
              <w:adjustRightInd w:val="0"/>
              <w:rPr>
                <w:sz w:val="22"/>
                <w:szCs w:val="22"/>
              </w:rPr>
            </w:pPr>
            <w:r w:rsidRPr="00E908B7">
              <w:rPr>
                <w:sz w:val="22"/>
                <w:szCs w:val="22"/>
              </w:rPr>
              <w:t>95,7</w:t>
            </w:r>
          </w:p>
        </w:tc>
      </w:tr>
      <w:tr w:rsidR="00325036" w:rsidRPr="009B02E7" w:rsidTr="00614C10">
        <w:trPr>
          <w:trHeight w:val="315"/>
        </w:trPr>
        <w:tc>
          <w:tcPr>
            <w:tcW w:w="4395" w:type="dxa"/>
            <w:hideMark/>
          </w:tcPr>
          <w:p w:rsidR="00325036" w:rsidRPr="009B02E7" w:rsidRDefault="00325036" w:rsidP="00614C10">
            <w:pPr>
              <w:widowControl w:val="0"/>
              <w:autoSpaceDE w:val="0"/>
              <w:autoSpaceDN w:val="0"/>
              <w:adjustRightInd w:val="0"/>
              <w:rPr>
                <w:b/>
                <w:bCs/>
                <w:sz w:val="22"/>
                <w:szCs w:val="22"/>
              </w:rPr>
            </w:pPr>
            <w:r w:rsidRPr="009B02E7">
              <w:rPr>
                <w:b/>
                <w:bCs/>
                <w:sz w:val="22"/>
                <w:szCs w:val="22"/>
              </w:rPr>
              <w:t>Всего:</w:t>
            </w:r>
          </w:p>
        </w:tc>
        <w:tc>
          <w:tcPr>
            <w:tcW w:w="1276" w:type="dxa"/>
            <w:noWrap/>
            <w:hideMark/>
          </w:tcPr>
          <w:p w:rsidR="00325036" w:rsidRPr="009B02E7" w:rsidRDefault="00325036" w:rsidP="00614C10">
            <w:pPr>
              <w:widowControl w:val="0"/>
              <w:autoSpaceDE w:val="0"/>
              <w:autoSpaceDN w:val="0"/>
              <w:adjustRightInd w:val="0"/>
              <w:rPr>
                <w:b/>
                <w:bCs/>
                <w:sz w:val="22"/>
                <w:szCs w:val="22"/>
              </w:rPr>
            </w:pPr>
            <w:r w:rsidRPr="009B02E7">
              <w:rPr>
                <w:b/>
                <w:bCs/>
                <w:sz w:val="22"/>
                <w:szCs w:val="22"/>
              </w:rPr>
              <w:t>48612436,5</w:t>
            </w:r>
          </w:p>
        </w:tc>
        <w:tc>
          <w:tcPr>
            <w:tcW w:w="1276" w:type="dxa"/>
            <w:noWrap/>
            <w:hideMark/>
          </w:tcPr>
          <w:p w:rsidR="00325036" w:rsidRPr="009B02E7" w:rsidRDefault="00325036" w:rsidP="00614C10">
            <w:pPr>
              <w:widowControl w:val="0"/>
              <w:autoSpaceDE w:val="0"/>
              <w:autoSpaceDN w:val="0"/>
              <w:adjustRightInd w:val="0"/>
              <w:rPr>
                <w:b/>
                <w:bCs/>
                <w:sz w:val="22"/>
                <w:szCs w:val="22"/>
              </w:rPr>
            </w:pPr>
            <w:r w:rsidRPr="009B02E7">
              <w:rPr>
                <w:b/>
                <w:bCs/>
                <w:sz w:val="22"/>
                <w:szCs w:val="22"/>
              </w:rPr>
              <w:t>45197304,7</w:t>
            </w:r>
          </w:p>
        </w:tc>
        <w:tc>
          <w:tcPr>
            <w:tcW w:w="1276" w:type="dxa"/>
            <w:noWrap/>
            <w:hideMark/>
          </w:tcPr>
          <w:p w:rsidR="00325036" w:rsidRPr="009B02E7" w:rsidRDefault="00325036" w:rsidP="00614C10">
            <w:pPr>
              <w:widowControl w:val="0"/>
              <w:autoSpaceDE w:val="0"/>
              <w:autoSpaceDN w:val="0"/>
              <w:adjustRightInd w:val="0"/>
              <w:rPr>
                <w:b/>
                <w:bCs/>
                <w:sz w:val="22"/>
                <w:szCs w:val="22"/>
              </w:rPr>
            </w:pPr>
            <w:r w:rsidRPr="009B02E7">
              <w:rPr>
                <w:b/>
                <w:bCs/>
                <w:sz w:val="22"/>
                <w:szCs w:val="22"/>
              </w:rPr>
              <w:t>49980075,3</w:t>
            </w:r>
          </w:p>
        </w:tc>
        <w:tc>
          <w:tcPr>
            <w:tcW w:w="1275" w:type="dxa"/>
            <w:noWrap/>
            <w:hideMark/>
          </w:tcPr>
          <w:p w:rsidR="00325036" w:rsidRPr="009B02E7" w:rsidRDefault="00325036" w:rsidP="00614C10">
            <w:pPr>
              <w:widowControl w:val="0"/>
              <w:autoSpaceDE w:val="0"/>
              <w:autoSpaceDN w:val="0"/>
              <w:adjustRightInd w:val="0"/>
              <w:rPr>
                <w:b/>
                <w:bCs/>
                <w:sz w:val="22"/>
                <w:szCs w:val="22"/>
              </w:rPr>
            </w:pPr>
            <w:r w:rsidRPr="009B02E7">
              <w:rPr>
                <w:b/>
                <w:bCs/>
                <w:sz w:val="22"/>
                <w:szCs w:val="22"/>
              </w:rPr>
              <w:t>46818220,7</w:t>
            </w:r>
          </w:p>
        </w:tc>
        <w:tc>
          <w:tcPr>
            <w:tcW w:w="708" w:type="dxa"/>
            <w:noWrap/>
            <w:hideMark/>
          </w:tcPr>
          <w:p w:rsidR="00325036" w:rsidRPr="009B02E7" w:rsidRDefault="00325036" w:rsidP="00614C10">
            <w:pPr>
              <w:widowControl w:val="0"/>
              <w:autoSpaceDE w:val="0"/>
              <w:autoSpaceDN w:val="0"/>
              <w:adjustRightInd w:val="0"/>
              <w:rPr>
                <w:b/>
                <w:bCs/>
                <w:sz w:val="22"/>
                <w:szCs w:val="22"/>
              </w:rPr>
            </w:pPr>
            <w:r w:rsidRPr="009B02E7">
              <w:rPr>
                <w:b/>
                <w:bCs/>
                <w:sz w:val="22"/>
                <w:szCs w:val="22"/>
              </w:rPr>
              <w:t>93,7</w:t>
            </w:r>
          </w:p>
        </w:tc>
      </w:tr>
    </w:tbl>
    <w:p w:rsidR="00950A56" w:rsidRDefault="00950A56" w:rsidP="00950A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02E7" w:rsidRDefault="009B02E7" w:rsidP="00950A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036" w:rsidRPr="00183F97" w:rsidRDefault="00325036" w:rsidP="009B02E7">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AB0D60">
        <w:rPr>
          <w:rFonts w:ascii="Times New Roman" w:eastAsia="Times New Roman" w:hAnsi="Times New Roman" w:cs="Times New Roman"/>
          <w:sz w:val="24"/>
          <w:szCs w:val="24"/>
          <w:lang w:eastAsia="ru-RU"/>
        </w:rPr>
        <w:t>Программная часть областного бюджета включает расходы по 13 государственным программам, ист</w:t>
      </w:r>
      <w:r>
        <w:rPr>
          <w:rFonts w:ascii="Times New Roman" w:eastAsia="Times New Roman" w:hAnsi="Times New Roman" w:cs="Times New Roman"/>
          <w:sz w:val="24"/>
          <w:szCs w:val="24"/>
          <w:lang w:eastAsia="ru-RU"/>
        </w:rPr>
        <w:t>очниками финансирования которых</w:t>
      </w:r>
      <w:r w:rsidRPr="00AB0D60">
        <w:rPr>
          <w:rFonts w:ascii="Times New Roman" w:eastAsia="Times New Roman" w:hAnsi="Times New Roman" w:cs="Times New Roman"/>
          <w:sz w:val="24"/>
          <w:szCs w:val="24"/>
          <w:lang w:eastAsia="ru-RU"/>
        </w:rPr>
        <w:t xml:space="preserve"> являлись средства бюджетов различного уровня бюджетной системы Российской Федерации и внебюджетные источники.</w:t>
      </w:r>
    </w:p>
    <w:p w:rsidR="009B02E7" w:rsidRDefault="009B02E7" w:rsidP="009B02E7">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p>
    <w:p w:rsidR="00325036" w:rsidRPr="00DD4F04" w:rsidRDefault="00325036" w:rsidP="009B02E7">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DD4F04">
        <w:rPr>
          <w:rFonts w:ascii="Times New Roman" w:eastAsia="Times New Roman" w:hAnsi="Times New Roman" w:cs="Times New Roman"/>
          <w:sz w:val="24"/>
          <w:szCs w:val="24"/>
          <w:lang w:eastAsia="ru-RU"/>
        </w:rPr>
        <w:t>Структура расходов областного бюджета за 2015 год в разрезе государственных программ и непрограммных ра</w:t>
      </w:r>
      <w:r w:rsidR="00950A56">
        <w:rPr>
          <w:rFonts w:ascii="Times New Roman" w:eastAsia="Times New Roman" w:hAnsi="Times New Roman" w:cs="Times New Roman"/>
          <w:sz w:val="24"/>
          <w:szCs w:val="24"/>
          <w:lang w:eastAsia="ru-RU"/>
        </w:rPr>
        <w:t>сходов представлена на рисунке 22.</w:t>
      </w:r>
    </w:p>
    <w:p w:rsidR="00325036" w:rsidRDefault="00325036" w:rsidP="00950A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036" w:rsidRPr="003676E7" w:rsidRDefault="00325036" w:rsidP="00325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0618">
        <w:rPr>
          <w:rFonts w:ascii="Times New Roman" w:eastAsia="Times New Roman" w:hAnsi="Times New Roman" w:cs="Times New Roman"/>
          <w:noProof/>
          <w:color w:val="FF0000"/>
          <w:sz w:val="24"/>
          <w:szCs w:val="24"/>
          <w:lang w:eastAsia="ru-RU"/>
        </w:rPr>
        <w:lastRenderedPageBreak/>
        <w:drawing>
          <wp:inline distT="0" distB="0" distL="0" distR="0" wp14:anchorId="3A79EE6F" wp14:editId="72BCF5FB">
            <wp:extent cx="6090700" cy="4921858"/>
            <wp:effectExtent l="0" t="0" r="571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25036" w:rsidRDefault="00325036" w:rsidP="0032503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Рис.</w:t>
      </w:r>
      <w:r w:rsidR="00950A56">
        <w:rPr>
          <w:rFonts w:ascii="Times New Roman" w:eastAsia="Times New Roman" w:hAnsi="Times New Roman" w:cs="Times New Roman"/>
          <w:b/>
          <w:sz w:val="24"/>
          <w:szCs w:val="24"/>
          <w:lang w:eastAsia="ru-RU"/>
        </w:rPr>
        <w:t xml:space="preserve"> 22 -</w:t>
      </w:r>
      <w:r>
        <w:rPr>
          <w:rFonts w:ascii="Times New Roman" w:eastAsia="Times New Roman" w:hAnsi="Times New Roman" w:cs="Times New Roman"/>
          <w:b/>
          <w:sz w:val="24"/>
          <w:szCs w:val="24"/>
          <w:lang w:eastAsia="ru-RU"/>
        </w:rPr>
        <w:t xml:space="preserve"> Структура расходов областного бюджета за 2015 год</w:t>
      </w:r>
    </w:p>
    <w:p w:rsidR="00325036" w:rsidRDefault="00325036" w:rsidP="0032503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325036" w:rsidRPr="00DD4F04" w:rsidRDefault="00325036" w:rsidP="009B0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4F04">
        <w:rPr>
          <w:rFonts w:ascii="Times New Roman" w:eastAsia="Times New Roman" w:hAnsi="Times New Roman" w:cs="Times New Roman"/>
          <w:sz w:val="24"/>
          <w:szCs w:val="24"/>
          <w:lang w:eastAsia="ru-RU"/>
        </w:rPr>
        <w:t>Анализ финансового обеспечения реализации государственных программ за 2015 год проведен в час</w:t>
      </w:r>
      <w:r w:rsidR="009B02E7">
        <w:rPr>
          <w:rFonts w:ascii="Times New Roman" w:eastAsia="Times New Roman" w:hAnsi="Times New Roman" w:cs="Times New Roman"/>
          <w:sz w:val="24"/>
          <w:szCs w:val="24"/>
          <w:lang w:eastAsia="ru-RU"/>
        </w:rPr>
        <w:t>ти расходов областного бюджета.</w:t>
      </w:r>
    </w:p>
    <w:p w:rsidR="00325036" w:rsidRDefault="00325036" w:rsidP="001A299F">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325036" w:rsidRPr="00325036" w:rsidRDefault="00325036" w:rsidP="0032503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25036">
        <w:rPr>
          <w:rFonts w:ascii="Times New Roman" w:eastAsia="Times New Roman" w:hAnsi="Times New Roman" w:cs="Times New Roman"/>
          <w:b/>
          <w:sz w:val="24"/>
          <w:szCs w:val="24"/>
          <w:lang w:eastAsia="ru-RU"/>
        </w:rPr>
        <w:t xml:space="preserve">5.1. Исполнение расходов областного бюджета за 2015 год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w:t>
      </w:r>
      <w:r w:rsidRPr="00325036">
        <w:rPr>
          <w:rFonts w:ascii="Times New Roman" w:eastAsia="Times New Roman" w:hAnsi="Times New Roman" w:cs="Times New Roman"/>
          <w:b/>
          <w:sz w:val="24"/>
          <w:szCs w:val="24"/>
          <w:lang w:eastAsia="ru-RU"/>
        </w:rPr>
        <w:br/>
        <w:t>2014-2020 годы»</w:t>
      </w:r>
    </w:p>
    <w:p w:rsidR="00325036" w:rsidRPr="00325036" w:rsidRDefault="00325036" w:rsidP="00325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 xml:space="preserve">Государственная программа «Развитие сельского хозяйства и регулирование рынков сельскохозяйственной продукции, сырья и продовольствия Амурской области на </w:t>
      </w:r>
      <w:r w:rsidRPr="00325036">
        <w:rPr>
          <w:rFonts w:ascii="Times New Roman" w:eastAsia="Times New Roman" w:hAnsi="Times New Roman" w:cs="Times New Roman"/>
          <w:sz w:val="24"/>
          <w:szCs w:val="24"/>
          <w:lang w:eastAsia="ru-RU"/>
        </w:rPr>
        <w:br/>
        <w:t>2014-2020 годы» утверждена постановлением Правительства Амурской области от 25.09.2013 № 447 (с изменениями и дополнениями) с объемом ассигнований на 2015 год – 2240150,7 тыс. рублей, в том числе:</w:t>
      </w:r>
    </w:p>
    <w:p w:rsidR="00325036" w:rsidRPr="00325036" w:rsidRDefault="00325036" w:rsidP="00325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-за счет средств федерального бюджета – 1239495,7 тыс. рублей;</w:t>
      </w:r>
    </w:p>
    <w:p w:rsidR="00325036" w:rsidRPr="00325036" w:rsidRDefault="00325036" w:rsidP="00325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-за счет средств областного бюджета – 1000655,0 тыс. рублей.</w:t>
      </w:r>
    </w:p>
    <w:p w:rsidR="00325036" w:rsidRPr="00325036" w:rsidRDefault="00325036" w:rsidP="003250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Координатором государственной программы является министерство сельского хозяйства Амурской области.</w:t>
      </w:r>
    </w:p>
    <w:p w:rsidR="00325036" w:rsidRPr="00325036" w:rsidRDefault="00325036" w:rsidP="003250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Координаторами подпрограмм являются министерство сельского хозяйства Амурской области</w:t>
      </w:r>
      <w:r w:rsidRPr="00325036">
        <w:rPr>
          <w:rFonts w:ascii="Times New Roman" w:eastAsia="Calibri" w:hAnsi="Times New Roman" w:cs="Times New Roman"/>
          <w:bCs/>
          <w:iCs/>
          <w:sz w:val="24"/>
          <w:szCs w:val="24"/>
        </w:rPr>
        <w:t xml:space="preserve"> и у</w:t>
      </w:r>
      <w:r w:rsidRPr="00325036">
        <w:rPr>
          <w:rFonts w:ascii="Times New Roman" w:eastAsia="Calibri" w:hAnsi="Times New Roman" w:cs="Times New Roman"/>
          <w:sz w:val="24"/>
          <w:szCs w:val="24"/>
        </w:rPr>
        <w:t>правление ветеринарии и племенного животноводства Амурской области.</w:t>
      </w:r>
    </w:p>
    <w:p w:rsidR="00325036" w:rsidRPr="00325036" w:rsidRDefault="00325036" w:rsidP="003250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Участниками государственной программы являются министерство сельского хозяйства Амурской области, министерство транспорта и строительства Амурской области, министерство имущественных отношений Амурской области, управление ветеринарии и племенного животноводства Амурской области.</w:t>
      </w:r>
    </w:p>
    <w:p w:rsidR="00950A56" w:rsidRDefault="00950A56" w:rsidP="003250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036" w:rsidRPr="00325036" w:rsidRDefault="00325036" w:rsidP="003250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lastRenderedPageBreak/>
        <w:t xml:space="preserve">Государственная программа «Развитие сельского хозяйства и регулирование рынков сельскохозяйственной продукции, сырья и продовольствия Амурской области на </w:t>
      </w:r>
      <w:r w:rsidRPr="00325036">
        <w:rPr>
          <w:rFonts w:ascii="Times New Roman" w:eastAsia="Times New Roman" w:hAnsi="Times New Roman" w:cs="Times New Roman"/>
          <w:sz w:val="24"/>
          <w:szCs w:val="24"/>
          <w:lang w:eastAsia="ru-RU"/>
        </w:rPr>
        <w:br/>
        <w:t>2014-2020 годы» включает девять подпрограмм, шесть из которых предусматривают софинансирование за счет средств федерального бюджета.</w:t>
      </w:r>
    </w:p>
    <w:p w:rsidR="00325036" w:rsidRPr="00325036" w:rsidRDefault="00325036" w:rsidP="0032503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Законом Амурской области «Об областном бюджете на 2015 год и плановый период 2016 и 2017 годов» на реализацию государственной программы утверждены ассигнования областного бюджета в сумме 1427970,3 тыс. рублей.</w:t>
      </w:r>
    </w:p>
    <w:p w:rsidR="00325036" w:rsidRPr="00325036" w:rsidRDefault="00325036" w:rsidP="003250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25036">
        <w:rPr>
          <w:rFonts w:ascii="Times New Roman" w:eastAsia="Times New Roman" w:hAnsi="Times New Roman" w:cs="Times New Roman"/>
          <w:sz w:val="24"/>
          <w:szCs w:val="24"/>
          <w:lang w:eastAsia="ru-RU"/>
        </w:rPr>
        <w:t xml:space="preserve">Сводной бюджетной росписью расходов областного бюджета на 2015 год на реализацию государственной программы предусмотрено 2342779,9 тыс. рублей, в том </w:t>
      </w:r>
      <w:r w:rsidRPr="00325036">
        <w:rPr>
          <w:rFonts w:ascii="Times New Roman" w:eastAsia="Calibri" w:hAnsi="Times New Roman" w:cs="Times New Roman"/>
          <w:sz w:val="24"/>
          <w:szCs w:val="24"/>
        </w:rPr>
        <w:t>числе за счет средств областного бюджета – 1000655,2 тыс. рублей (соответствует программе) и за счет федерального бюджета – 1342124,7 тыс. рублей на софинансирование подпрограмм:</w:t>
      </w:r>
    </w:p>
    <w:p w:rsidR="00325036" w:rsidRPr="00325036" w:rsidRDefault="00325036" w:rsidP="003250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-«Развитие подотрасли растениеводства, переработки и реализации продукции растениеводства» - 985697,3 тыс. рублей;</w:t>
      </w:r>
    </w:p>
    <w:p w:rsidR="00325036" w:rsidRPr="00325036" w:rsidRDefault="00325036" w:rsidP="003250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-«Развитие мелиорации сельскохозяйственных земель области» - 1805,0 тыс. рублей;</w:t>
      </w:r>
    </w:p>
    <w:p w:rsidR="00325036" w:rsidRPr="00325036" w:rsidRDefault="00325036" w:rsidP="003250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-«Развитие подотрасли животноводства, переработки и реализации продукции животноводства» - 167570,4 тыс. рублей;</w:t>
      </w:r>
    </w:p>
    <w:p w:rsidR="00325036" w:rsidRPr="00325036" w:rsidRDefault="00325036" w:rsidP="003250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-«Развитие мясного скотоводства» - 4378,9 тыс. рублей;</w:t>
      </w:r>
    </w:p>
    <w:p w:rsidR="00325036" w:rsidRPr="00325036" w:rsidRDefault="00325036" w:rsidP="003250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-«Поддержка малых форм хозяйствования» - 120219,5 тыс. рублей;</w:t>
      </w:r>
    </w:p>
    <w:p w:rsidR="00325036" w:rsidRPr="00325036" w:rsidRDefault="00325036" w:rsidP="003250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-«Устойчивое развитие сельских территорий» - 49502,0 тыс. рублей;</w:t>
      </w:r>
    </w:p>
    <w:p w:rsidR="00325036" w:rsidRPr="00325036" w:rsidRDefault="00325036" w:rsidP="003250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-«Обеспечение реализации  основных направлений государственной политики в сфере реализации государственной программы»-12951,6 тыс. рублей.</w:t>
      </w:r>
    </w:p>
    <w:p w:rsidR="00325036" w:rsidRPr="00325036" w:rsidRDefault="00325036" w:rsidP="003250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 xml:space="preserve">Исполнение бюджетных назначений, предусмотренных на реализацию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w:t>
      </w:r>
      <w:r w:rsidRPr="00325036">
        <w:rPr>
          <w:rFonts w:ascii="Times New Roman" w:eastAsia="Times New Roman" w:hAnsi="Times New Roman" w:cs="Times New Roman"/>
          <w:sz w:val="24"/>
          <w:szCs w:val="24"/>
          <w:lang w:eastAsia="ru-RU"/>
        </w:rPr>
        <w:br/>
        <w:t>2014-2020 годы» сводной бюджетной росписью расходов, составило 2194140,3 тыс. рублей, или 93,7 процента.</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Согласно приложению № 1 к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2015 год объем исполненных ассигнований за счет средств федерального бюджета и области, отраженных в докладе, соответствует  результатам исполнения областного бюджета по государственной программе, отраженным в законопроекте.</w:t>
      </w:r>
    </w:p>
    <w:p w:rsidR="00325036" w:rsidRPr="00325036" w:rsidRDefault="00325036" w:rsidP="003250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В таблице 4 представлена информация об исполнении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2014-2020 годы» в разрезе подпрограмм.</w:t>
      </w:r>
    </w:p>
    <w:p w:rsidR="00950A56" w:rsidRDefault="00950A56" w:rsidP="003250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25036" w:rsidRPr="00325036" w:rsidRDefault="00325036" w:rsidP="003250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Таблица 4</w:t>
      </w:r>
    </w:p>
    <w:p w:rsidR="00325036" w:rsidRPr="00325036" w:rsidRDefault="00325036" w:rsidP="0032503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25036">
        <w:rPr>
          <w:rFonts w:ascii="Times New Roman" w:eastAsia="Times New Roman" w:hAnsi="Times New Roman" w:cs="Times New Roman"/>
          <w:b/>
          <w:sz w:val="24"/>
          <w:szCs w:val="24"/>
          <w:lang w:eastAsia="ru-RU"/>
        </w:rPr>
        <w:t>Анализ исполнения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2014-2020 годы» в разрезе подпрограмм</w:t>
      </w:r>
    </w:p>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315"/>
        <w:gridCol w:w="1531"/>
        <w:gridCol w:w="1505"/>
        <w:gridCol w:w="1425"/>
      </w:tblGrid>
      <w:tr w:rsidR="00325036" w:rsidRPr="00325036" w:rsidTr="009B02E7">
        <w:trPr>
          <w:trHeight w:val="687"/>
          <w:tblHeader/>
        </w:trPr>
        <w:tc>
          <w:tcPr>
            <w:tcW w:w="4077" w:type="dxa"/>
            <w:shd w:val="clear" w:color="auto" w:fill="auto"/>
          </w:tcPr>
          <w:p w:rsidR="00325036" w:rsidRPr="00325036" w:rsidRDefault="00325036" w:rsidP="003250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5036">
              <w:rPr>
                <w:rFonts w:ascii="Times New Roman" w:eastAsia="Times New Roman" w:hAnsi="Times New Roman" w:cs="Times New Roman"/>
                <w:b/>
                <w:bCs/>
                <w:sz w:val="24"/>
                <w:szCs w:val="24"/>
                <w:lang w:eastAsia="ru-RU"/>
              </w:rPr>
              <w:t>Наименование государственной программы/подпрограммы</w:t>
            </w:r>
          </w:p>
        </w:tc>
        <w:tc>
          <w:tcPr>
            <w:tcW w:w="1315" w:type="dxa"/>
            <w:shd w:val="clear" w:color="auto" w:fill="auto"/>
            <w:noWrap/>
          </w:tcPr>
          <w:p w:rsidR="00325036" w:rsidRPr="00325036" w:rsidRDefault="00325036" w:rsidP="003250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5036">
              <w:rPr>
                <w:rFonts w:ascii="Times New Roman" w:eastAsia="Times New Roman" w:hAnsi="Times New Roman" w:cs="Times New Roman"/>
                <w:b/>
                <w:bCs/>
                <w:sz w:val="24"/>
                <w:szCs w:val="24"/>
                <w:lang w:eastAsia="ru-RU"/>
              </w:rPr>
              <w:t>План</w:t>
            </w:r>
          </w:p>
        </w:tc>
        <w:tc>
          <w:tcPr>
            <w:tcW w:w="1531" w:type="dxa"/>
            <w:shd w:val="clear" w:color="auto" w:fill="auto"/>
            <w:noWrap/>
          </w:tcPr>
          <w:p w:rsidR="00325036" w:rsidRPr="00325036" w:rsidRDefault="00325036" w:rsidP="003250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5036">
              <w:rPr>
                <w:rFonts w:ascii="Times New Roman" w:eastAsia="Times New Roman" w:hAnsi="Times New Roman" w:cs="Times New Roman"/>
                <w:b/>
                <w:bCs/>
                <w:sz w:val="24"/>
                <w:szCs w:val="24"/>
                <w:lang w:eastAsia="ru-RU"/>
              </w:rPr>
              <w:t>Исполнение</w:t>
            </w:r>
          </w:p>
        </w:tc>
        <w:tc>
          <w:tcPr>
            <w:tcW w:w="1505" w:type="dxa"/>
            <w:shd w:val="clear" w:color="auto" w:fill="auto"/>
            <w:noWrap/>
          </w:tcPr>
          <w:p w:rsidR="00325036" w:rsidRPr="00325036" w:rsidRDefault="00325036" w:rsidP="003250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5036">
              <w:rPr>
                <w:rFonts w:ascii="Times New Roman" w:eastAsia="Times New Roman" w:hAnsi="Times New Roman" w:cs="Times New Roman"/>
                <w:b/>
                <w:bCs/>
                <w:sz w:val="24"/>
                <w:szCs w:val="24"/>
                <w:lang w:eastAsia="ru-RU"/>
              </w:rPr>
              <w:t>Уровень исполнения</w:t>
            </w:r>
          </w:p>
        </w:tc>
        <w:tc>
          <w:tcPr>
            <w:tcW w:w="1425" w:type="dxa"/>
            <w:shd w:val="clear" w:color="auto" w:fill="auto"/>
            <w:noWrap/>
          </w:tcPr>
          <w:p w:rsidR="00325036" w:rsidRPr="00325036" w:rsidRDefault="00325036" w:rsidP="003250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5036">
              <w:rPr>
                <w:rFonts w:ascii="Times New Roman" w:eastAsia="Times New Roman" w:hAnsi="Times New Roman" w:cs="Times New Roman"/>
                <w:b/>
                <w:bCs/>
                <w:sz w:val="24"/>
                <w:szCs w:val="24"/>
                <w:lang w:eastAsia="ru-RU"/>
              </w:rPr>
              <w:t>Не исполнены</w:t>
            </w:r>
          </w:p>
        </w:tc>
      </w:tr>
      <w:tr w:rsidR="00325036" w:rsidRPr="00325036" w:rsidTr="00614C10">
        <w:trPr>
          <w:trHeight w:val="1575"/>
        </w:trPr>
        <w:tc>
          <w:tcPr>
            <w:tcW w:w="4077" w:type="dxa"/>
            <w:shd w:val="clear" w:color="auto" w:fill="auto"/>
            <w:hideMark/>
          </w:tcPr>
          <w:p w:rsidR="00325036" w:rsidRPr="00325036" w:rsidRDefault="00325036" w:rsidP="0032503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25036">
              <w:rPr>
                <w:rFonts w:ascii="Times New Roman" w:eastAsia="Times New Roman" w:hAnsi="Times New Roman" w:cs="Times New Roman"/>
                <w:b/>
                <w:bCs/>
                <w:sz w:val="24"/>
                <w:szCs w:val="24"/>
                <w:lang w:eastAsia="ru-RU"/>
              </w:rPr>
              <w:t>Государственная программа «</w:t>
            </w:r>
            <w:r w:rsidRPr="00325036">
              <w:rPr>
                <w:rFonts w:ascii="Times New Roman" w:eastAsia="Times New Roman" w:hAnsi="Times New Roman" w:cs="Times New Roman"/>
                <w:b/>
                <w:sz w:val="24"/>
                <w:szCs w:val="24"/>
                <w:lang w:eastAsia="ru-RU"/>
              </w:rPr>
              <w:t>Развитие сельского хозяйства и регулирование рынков сельскохозяйственной продукции, сырья и продовольствия Амурской области на 2014-2020 годы</w:t>
            </w:r>
            <w:r w:rsidRPr="00325036">
              <w:rPr>
                <w:rFonts w:ascii="Times New Roman" w:eastAsia="Times New Roman" w:hAnsi="Times New Roman" w:cs="Times New Roman"/>
                <w:b/>
                <w:bCs/>
                <w:sz w:val="24"/>
                <w:szCs w:val="24"/>
                <w:lang w:eastAsia="ru-RU"/>
              </w:rPr>
              <w:t xml:space="preserve">», </w:t>
            </w:r>
            <w:r w:rsidRPr="00325036">
              <w:rPr>
                <w:rFonts w:ascii="Times New Roman" w:eastAsia="Times New Roman" w:hAnsi="Times New Roman" w:cs="Times New Roman"/>
                <w:bCs/>
                <w:sz w:val="24"/>
                <w:szCs w:val="24"/>
                <w:lang w:eastAsia="ru-RU"/>
              </w:rPr>
              <w:t>в том числе:</w:t>
            </w:r>
          </w:p>
        </w:tc>
        <w:tc>
          <w:tcPr>
            <w:tcW w:w="1315"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25036">
              <w:rPr>
                <w:rFonts w:ascii="Times New Roman" w:eastAsia="Times New Roman" w:hAnsi="Times New Roman" w:cs="Times New Roman"/>
                <w:b/>
                <w:bCs/>
                <w:sz w:val="24"/>
                <w:szCs w:val="24"/>
                <w:lang w:eastAsia="ru-RU"/>
              </w:rPr>
              <w:t>2342779,9</w:t>
            </w:r>
          </w:p>
        </w:tc>
        <w:tc>
          <w:tcPr>
            <w:tcW w:w="1531"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25036">
              <w:rPr>
                <w:rFonts w:ascii="Times New Roman" w:eastAsia="Times New Roman" w:hAnsi="Times New Roman" w:cs="Times New Roman"/>
                <w:b/>
                <w:bCs/>
                <w:sz w:val="24"/>
                <w:szCs w:val="24"/>
                <w:lang w:eastAsia="ru-RU"/>
              </w:rPr>
              <w:t>2194140,3</w:t>
            </w:r>
          </w:p>
        </w:tc>
        <w:tc>
          <w:tcPr>
            <w:tcW w:w="1505"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25036">
              <w:rPr>
                <w:rFonts w:ascii="Times New Roman" w:eastAsia="Times New Roman" w:hAnsi="Times New Roman" w:cs="Times New Roman"/>
                <w:b/>
                <w:bCs/>
                <w:sz w:val="24"/>
                <w:szCs w:val="24"/>
                <w:lang w:eastAsia="ru-RU"/>
              </w:rPr>
              <w:t>93,7</w:t>
            </w:r>
          </w:p>
        </w:tc>
        <w:tc>
          <w:tcPr>
            <w:tcW w:w="1425"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25036">
              <w:rPr>
                <w:rFonts w:ascii="Times New Roman" w:eastAsia="Times New Roman" w:hAnsi="Times New Roman" w:cs="Times New Roman"/>
                <w:b/>
                <w:bCs/>
                <w:sz w:val="24"/>
                <w:szCs w:val="24"/>
                <w:lang w:eastAsia="ru-RU"/>
              </w:rPr>
              <w:t>-148639,6</w:t>
            </w:r>
          </w:p>
        </w:tc>
      </w:tr>
      <w:tr w:rsidR="00325036" w:rsidRPr="00325036" w:rsidTr="00614C10">
        <w:trPr>
          <w:trHeight w:val="1078"/>
        </w:trPr>
        <w:tc>
          <w:tcPr>
            <w:tcW w:w="4077" w:type="dxa"/>
            <w:shd w:val="clear" w:color="auto" w:fill="auto"/>
            <w:hideMark/>
          </w:tcPr>
          <w:p w:rsidR="00325036" w:rsidRPr="00325036" w:rsidRDefault="00325036" w:rsidP="00325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lastRenderedPageBreak/>
              <w:t>Подпрограмма «Развитие подотрасли растениеводства, переработки и реализации продукции растениеводства»</w:t>
            </w:r>
          </w:p>
        </w:tc>
        <w:tc>
          <w:tcPr>
            <w:tcW w:w="1315"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1274609,6</w:t>
            </w:r>
          </w:p>
        </w:tc>
        <w:tc>
          <w:tcPr>
            <w:tcW w:w="1531"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11262649,8</w:t>
            </w:r>
          </w:p>
        </w:tc>
        <w:tc>
          <w:tcPr>
            <w:tcW w:w="1505"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99,1</w:t>
            </w:r>
          </w:p>
        </w:tc>
        <w:tc>
          <w:tcPr>
            <w:tcW w:w="1425"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-11959,8</w:t>
            </w:r>
          </w:p>
        </w:tc>
      </w:tr>
      <w:tr w:rsidR="00325036" w:rsidRPr="00325036" w:rsidTr="00614C10">
        <w:trPr>
          <w:trHeight w:val="945"/>
        </w:trPr>
        <w:tc>
          <w:tcPr>
            <w:tcW w:w="4077" w:type="dxa"/>
            <w:shd w:val="clear" w:color="auto" w:fill="auto"/>
            <w:hideMark/>
          </w:tcPr>
          <w:p w:rsidR="00325036" w:rsidRPr="00325036" w:rsidRDefault="00325036" w:rsidP="00325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Подпрограмма «Развитие мелиорации сельскохозяйственных земель области»</w:t>
            </w:r>
          </w:p>
        </w:tc>
        <w:tc>
          <w:tcPr>
            <w:tcW w:w="1315"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11749,6</w:t>
            </w:r>
          </w:p>
        </w:tc>
        <w:tc>
          <w:tcPr>
            <w:tcW w:w="1531"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11749,6</w:t>
            </w:r>
          </w:p>
        </w:tc>
        <w:tc>
          <w:tcPr>
            <w:tcW w:w="1505"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100,0</w:t>
            </w:r>
          </w:p>
        </w:tc>
        <w:tc>
          <w:tcPr>
            <w:tcW w:w="1425"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0</w:t>
            </w:r>
          </w:p>
        </w:tc>
      </w:tr>
      <w:tr w:rsidR="00325036" w:rsidRPr="00325036" w:rsidTr="00614C10">
        <w:trPr>
          <w:trHeight w:val="945"/>
        </w:trPr>
        <w:tc>
          <w:tcPr>
            <w:tcW w:w="4077" w:type="dxa"/>
            <w:shd w:val="clear" w:color="auto" w:fill="auto"/>
            <w:hideMark/>
          </w:tcPr>
          <w:p w:rsidR="00325036" w:rsidRPr="00325036" w:rsidRDefault="00325036" w:rsidP="00325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Подпрограмма «Развитие подотрасли животноводства, переработки и реализации продукции животноводства»</w:t>
            </w:r>
          </w:p>
        </w:tc>
        <w:tc>
          <w:tcPr>
            <w:tcW w:w="1315"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411479,6</w:t>
            </w:r>
          </w:p>
        </w:tc>
        <w:tc>
          <w:tcPr>
            <w:tcW w:w="1531"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334606,4</w:t>
            </w:r>
          </w:p>
        </w:tc>
        <w:tc>
          <w:tcPr>
            <w:tcW w:w="1505"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81,3</w:t>
            </w:r>
          </w:p>
        </w:tc>
        <w:tc>
          <w:tcPr>
            <w:tcW w:w="1425"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-76873,2</w:t>
            </w:r>
          </w:p>
        </w:tc>
      </w:tr>
      <w:tr w:rsidR="00325036" w:rsidRPr="00325036" w:rsidTr="00614C10">
        <w:trPr>
          <w:trHeight w:val="600"/>
        </w:trPr>
        <w:tc>
          <w:tcPr>
            <w:tcW w:w="4077" w:type="dxa"/>
            <w:shd w:val="clear" w:color="auto" w:fill="auto"/>
            <w:hideMark/>
          </w:tcPr>
          <w:p w:rsidR="00325036" w:rsidRPr="00325036" w:rsidRDefault="00325036" w:rsidP="00325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Подпрограмма «Развитие мясного скотоводства»</w:t>
            </w:r>
          </w:p>
        </w:tc>
        <w:tc>
          <w:tcPr>
            <w:tcW w:w="1315"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28750,2</w:t>
            </w:r>
          </w:p>
        </w:tc>
        <w:tc>
          <w:tcPr>
            <w:tcW w:w="1531"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27965,4</w:t>
            </w:r>
          </w:p>
        </w:tc>
        <w:tc>
          <w:tcPr>
            <w:tcW w:w="1505"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97,3</w:t>
            </w:r>
          </w:p>
        </w:tc>
        <w:tc>
          <w:tcPr>
            <w:tcW w:w="1425" w:type="dxa"/>
            <w:shd w:val="clear" w:color="auto" w:fill="auto"/>
            <w:noWrap/>
            <w:hideMark/>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-784,8</w:t>
            </w:r>
          </w:p>
        </w:tc>
      </w:tr>
      <w:tr w:rsidR="00325036" w:rsidRPr="00325036" w:rsidTr="00614C10">
        <w:trPr>
          <w:trHeight w:val="539"/>
        </w:trPr>
        <w:tc>
          <w:tcPr>
            <w:tcW w:w="4077" w:type="dxa"/>
            <w:shd w:val="clear" w:color="auto" w:fill="auto"/>
          </w:tcPr>
          <w:p w:rsidR="00325036" w:rsidRPr="00325036" w:rsidRDefault="00325036" w:rsidP="00325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Подпрограмма «Обеспечение эпизоотического и ветеринарно-санитарного благополучия на территории области»</w:t>
            </w:r>
          </w:p>
        </w:tc>
        <w:tc>
          <w:tcPr>
            <w:tcW w:w="1315"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157080,1</w:t>
            </w:r>
          </w:p>
        </w:tc>
        <w:tc>
          <w:tcPr>
            <w:tcW w:w="1531"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153510,9</w:t>
            </w:r>
          </w:p>
        </w:tc>
        <w:tc>
          <w:tcPr>
            <w:tcW w:w="1505"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97,7</w:t>
            </w:r>
          </w:p>
        </w:tc>
        <w:tc>
          <w:tcPr>
            <w:tcW w:w="1425"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-3569,2</w:t>
            </w:r>
          </w:p>
        </w:tc>
      </w:tr>
      <w:tr w:rsidR="00325036" w:rsidRPr="00325036" w:rsidTr="00614C10">
        <w:trPr>
          <w:trHeight w:val="539"/>
        </w:trPr>
        <w:tc>
          <w:tcPr>
            <w:tcW w:w="4077" w:type="dxa"/>
            <w:shd w:val="clear" w:color="auto" w:fill="auto"/>
          </w:tcPr>
          <w:p w:rsidR="00325036" w:rsidRPr="00325036" w:rsidRDefault="00325036" w:rsidP="00325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Подпрограмма «Поддержка малых форм хозяйствования»</w:t>
            </w:r>
          </w:p>
        </w:tc>
        <w:tc>
          <w:tcPr>
            <w:tcW w:w="1315"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144054,6</w:t>
            </w:r>
          </w:p>
        </w:tc>
        <w:tc>
          <w:tcPr>
            <w:tcW w:w="1531"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104266,0</w:t>
            </w:r>
          </w:p>
        </w:tc>
        <w:tc>
          <w:tcPr>
            <w:tcW w:w="1505"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72,4</w:t>
            </w:r>
          </w:p>
        </w:tc>
        <w:tc>
          <w:tcPr>
            <w:tcW w:w="1425"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-39788,6</w:t>
            </w:r>
          </w:p>
        </w:tc>
      </w:tr>
      <w:tr w:rsidR="00325036" w:rsidRPr="00325036" w:rsidTr="00614C10">
        <w:trPr>
          <w:trHeight w:val="850"/>
        </w:trPr>
        <w:tc>
          <w:tcPr>
            <w:tcW w:w="4077" w:type="dxa"/>
            <w:shd w:val="clear" w:color="auto" w:fill="auto"/>
          </w:tcPr>
          <w:p w:rsidR="00325036" w:rsidRPr="00325036" w:rsidRDefault="00325036" w:rsidP="00325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Подпрограмма «Техническая и технологическая модернизация, инновационное развитие»</w:t>
            </w:r>
          </w:p>
        </w:tc>
        <w:tc>
          <w:tcPr>
            <w:tcW w:w="1315"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134705,6</w:t>
            </w:r>
          </w:p>
        </w:tc>
        <w:tc>
          <w:tcPr>
            <w:tcW w:w="1531"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122418,5</w:t>
            </w:r>
          </w:p>
        </w:tc>
        <w:tc>
          <w:tcPr>
            <w:tcW w:w="1505"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90,9</w:t>
            </w:r>
          </w:p>
        </w:tc>
        <w:tc>
          <w:tcPr>
            <w:tcW w:w="1425"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-12287,1</w:t>
            </w:r>
          </w:p>
        </w:tc>
      </w:tr>
      <w:tr w:rsidR="00325036" w:rsidRPr="00325036" w:rsidTr="00614C10">
        <w:trPr>
          <w:trHeight w:val="551"/>
        </w:trPr>
        <w:tc>
          <w:tcPr>
            <w:tcW w:w="4077" w:type="dxa"/>
            <w:shd w:val="clear" w:color="auto" w:fill="auto"/>
          </w:tcPr>
          <w:p w:rsidR="00325036" w:rsidRPr="00325036" w:rsidRDefault="00325036" w:rsidP="00325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Подпрограмма «Устойчивое развитие сельских территорий»</w:t>
            </w:r>
          </w:p>
        </w:tc>
        <w:tc>
          <w:tcPr>
            <w:tcW w:w="1315"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88787,0</w:t>
            </w:r>
          </w:p>
        </w:tc>
        <w:tc>
          <w:tcPr>
            <w:tcW w:w="1531"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88787,0</w:t>
            </w:r>
          </w:p>
        </w:tc>
        <w:tc>
          <w:tcPr>
            <w:tcW w:w="1505"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100,0</w:t>
            </w:r>
          </w:p>
        </w:tc>
        <w:tc>
          <w:tcPr>
            <w:tcW w:w="1425"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0</w:t>
            </w:r>
          </w:p>
        </w:tc>
      </w:tr>
      <w:tr w:rsidR="00325036" w:rsidRPr="00325036" w:rsidTr="00614C10">
        <w:trPr>
          <w:trHeight w:val="1260"/>
        </w:trPr>
        <w:tc>
          <w:tcPr>
            <w:tcW w:w="4077" w:type="dxa"/>
            <w:shd w:val="clear" w:color="auto" w:fill="auto"/>
          </w:tcPr>
          <w:p w:rsidR="00325036" w:rsidRPr="00325036" w:rsidRDefault="00325036" w:rsidP="00325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315"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91563,6</w:t>
            </w:r>
          </w:p>
        </w:tc>
        <w:tc>
          <w:tcPr>
            <w:tcW w:w="1531"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88186,7</w:t>
            </w:r>
          </w:p>
        </w:tc>
        <w:tc>
          <w:tcPr>
            <w:tcW w:w="1505"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96,3</w:t>
            </w:r>
          </w:p>
        </w:tc>
        <w:tc>
          <w:tcPr>
            <w:tcW w:w="1425" w:type="dxa"/>
            <w:shd w:val="clear" w:color="auto" w:fill="auto"/>
            <w:noWrap/>
          </w:tcPr>
          <w:p w:rsidR="00325036" w:rsidRPr="00325036" w:rsidRDefault="00325036" w:rsidP="003250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-3376,9</w:t>
            </w:r>
          </w:p>
        </w:tc>
      </w:tr>
    </w:tbl>
    <w:p w:rsidR="00325036" w:rsidRPr="00325036" w:rsidRDefault="00325036"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325036">
        <w:rPr>
          <w:rFonts w:ascii="Times New Roman" w:eastAsia="Times New Roman" w:hAnsi="Times New Roman" w:cs="Times New Roman"/>
          <w:i/>
          <w:sz w:val="24"/>
          <w:szCs w:val="24"/>
          <w:lang w:eastAsia="ru-RU"/>
        </w:rPr>
        <w:t>Подпрограмма «Развитие подотрасли растениеводства, переработки и реализации продукции растениеводства»</w:t>
      </w:r>
    </w:p>
    <w:p w:rsidR="00325036" w:rsidRPr="00325036" w:rsidRDefault="00325036" w:rsidP="00325036">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325036">
        <w:rPr>
          <w:rFonts w:ascii="Times New Roman" w:eastAsia="Times New Roman" w:hAnsi="Times New Roman" w:cs="Times New Roman"/>
          <w:sz w:val="24"/>
          <w:szCs w:val="24"/>
          <w:lang w:eastAsia="ru-RU"/>
        </w:rPr>
        <w:t>Сводной бюджетной росписью н</w:t>
      </w:r>
      <w:r w:rsidRPr="00325036">
        <w:rPr>
          <w:rFonts w:ascii="Times New Roman" w:eastAsia="Calibri" w:hAnsi="Times New Roman" w:cs="Times New Roman"/>
          <w:sz w:val="24"/>
          <w:szCs w:val="24"/>
        </w:rPr>
        <w:t>а реализацию подпрограммы «</w:t>
      </w:r>
      <w:r w:rsidRPr="00325036">
        <w:rPr>
          <w:rFonts w:ascii="Times New Roman" w:eastAsia="Times New Roman" w:hAnsi="Times New Roman" w:cs="Times New Roman"/>
          <w:sz w:val="24"/>
          <w:szCs w:val="24"/>
          <w:lang w:eastAsia="ru-RU"/>
        </w:rPr>
        <w:t>Развитие подотрасли растениеводства, переработки и реализации продукции растениеводства</w:t>
      </w:r>
      <w:r w:rsidRPr="00325036">
        <w:rPr>
          <w:rFonts w:ascii="Times New Roman" w:eastAsia="Calibri" w:hAnsi="Times New Roman" w:cs="Times New Roman"/>
          <w:sz w:val="24"/>
          <w:szCs w:val="24"/>
        </w:rPr>
        <w:t>» в 2014 году по целевой статье расходов 0110000 утверждены ассигнования в сумме 1274609,6 тыс. рублей, в том числе за счет средств федерального бюджета – 985697,3 тыс. рублей, областного бюджета – 288912,3 тыс. рублей. В общем объеме расходов государственной программы доля расходов по подпрограмме составляет 57,5 процента.</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заключающихся в предоставлении 11 видов государственной поддержки сельхозтоваропроизводителям в области растениеводства, составил 99,1 процента. На софинансирование девяти видов государственной поддержки направлены средства федерального бюджета.</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В полном объеме исполнены ассигнования, предусмотренные на оказание государственной поддержки (предоставление субсидий) сельхозтоваропроизводителям:</w:t>
      </w:r>
    </w:p>
    <w:p w:rsidR="00325036" w:rsidRPr="00325036" w:rsidRDefault="00325036" w:rsidP="0014690C">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на поддержку экономически значимых региональных программ в области растениеводства – 217054,0 тыс. рублей;</w:t>
      </w:r>
    </w:p>
    <w:p w:rsidR="00325036" w:rsidRPr="00325036" w:rsidRDefault="00325036" w:rsidP="0014690C">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на возмещение части процентной ставки по краткосрочным кредитам на развитие растениеводства, переработки и реализации продукции растениеводства – 178366,7 тыс. рублей;</w:t>
      </w:r>
    </w:p>
    <w:p w:rsidR="00325036" w:rsidRPr="00325036" w:rsidRDefault="00325036" w:rsidP="0014690C">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lastRenderedPageBreak/>
        <w:t>на оказание несвязанной поддержки  сельскохозяйственным товаропроизводителям в области растениеводства – 318300,2 тыс. рублей;</w:t>
      </w:r>
    </w:p>
    <w:p w:rsidR="00325036" w:rsidRPr="00325036" w:rsidRDefault="00325036" w:rsidP="0014690C">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на возмещение части прямых понесенных затрат на создание и модернизацию объектов тепличных комплексов – 108458,2 тыс. рублей;</w:t>
      </w:r>
    </w:p>
    <w:p w:rsidR="00325036" w:rsidRPr="00325036" w:rsidRDefault="00325036" w:rsidP="0014690C">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на финансовое обеспечение (возмещение) части затрат на строительство современных теплиц – 30000,0 тыс. рублей;</w:t>
      </w:r>
    </w:p>
    <w:p w:rsidR="00325036" w:rsidRPr="00325036" w:rsidRDefault="00325036" w:rsidP="0014690C">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на возмещение части затрат на приобретение электрической и тепловой энергии, используемой на производственные цели – 28247,9 тыс. рублей;</w:t>
      </w:r>
    </w:p>
    <w:p w:rsidR="00325036" w:rsidRPr="00325036" w:rsidRDefault="00325036" w:rsidP="0014690C">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на возмещение части прямых понесенных затрат на создание и модернизацию селекционно-семеноводческих центров в растениеводства – 2000,0 тыс. рублей.</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Наиболее низкое исполнение (75,9 процента) наблюдается по расходам на возмещение части затрат на приобретение элитных семян.</w:t>
      </w:r>
    </w:p>
    <w:p w:rsidR="00325036" w:rsidRPr="00325036" w:rsidRDefault="00325036"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325036">
        <w:rPr>
          <w:rFonts w:ascii="Times New Roman" w:eastAsia="Times New Roman" w:hAnsi="Times New Roman" w:cs="Times New Roman"/>
          <w:i/>
          <w:sz w:val="24"/>
          <w:szCs w:val="24"/>
          <w:lang w:eastAsia="ru-RU"/>
        </w:rPr>
        <w:t>Подпрограмма «Развитие мелиорации сельскохозяйственных земель области»</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Times New Roman" w:hAnsi="Times New Roman" w:cs="Times New Roman"/>
          <w:sz w:val="24"/>
          <w:szCs w:val="24"/>
          <w:lang w:eastAsia="ru-RU"/>
        </w:rPr>
        <w:t>Сводной бюджетной росписью н</w:t>
      </w:r>
      <w:r w:rsidRPr="00325036">
        <w:rPr>
          <w:rFonts w:ascii="Times New Roman" w:eastAsia="Calibri" w:hAnsi="Times New Roman" w:cs="Times New Roman"/>
          <w:sz w:val="24"/>
          <w:szCs w:val="24"/>
        </w:rPr>
        <w:t>а реализацию подпрограммы по целевой статье расходов 0120000 утверждены ассигнования в сумме в сумме 11749,6 тыс. рублей, в том числе за счет областного бюджета – 9944,6 тыс. рублей, за счет федерального бюджета – 1805,0 тыс. рублей.</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В общем объеме расходов государственной программы доля расходов по подпрограмме составляет 0,5 процента.</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 100,0 процентов.</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 xml:space="preserve">В полном объеме исполнены ассигнования федерального бюджета в сумме </w:t>
      </w:r>
      <w:r w:rsidRPr="00325036">
        <w:rPr>
          <w:rFonts w:ascii="Times New Roman" w:eastAsia="Calibri" w:hAnsi="Times New Roman" w:cs="Times New Roman"/>
          <w:sz w:val="24"/>
          <w:szCs w:val="24"/>
        </w:rPr>
        <w:br/>
        <w:t>1805,0 тыс. рублей на финансирование реализации мероприятий федеральной целевой программы «Развитие мелиорации земель сельскохозяйственного назначения России на 2014-2020 годы».</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В полном объеме исполнены ассигнования за счет средств области, предусмотренные на возмещение части затрат по проведению культуртехнических мероприятий.</w:t>
      </w:r>
    </w:p>
    <w:p w:rsidR="00325036" w:rsidRPr="00325036" w:rsidRDefault="00325036"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325036">
        <w:rPr>
          <w:rFonts w:ascii="Times New Roman" w:eastAsia="Times New Roman" w:hAnsi="Times New Roman" w:cs="Times New Roman"/>
          <w:i/>
          <w:sz w:val="24"/>
          <w:szCs w:val="24"/>
          <w:lang w:eastAsia="ru-RU"/>
        </w:rPr>
        <w:t xml:space="preserve">Подпрограмма </w:t>
      </w:r>
      <w:r w:rsidRPr="00325036">
        <w:rPr>
          <w:rFonts w:ascii="Times New Roman" w:eastAsia="Times New Roman" w:hAnsi="Times New Roman" w:cs="Times New Roman"/>
          <w:sz w:val="24"/>
          <w:szCs w:val="24"/>
          <w:lang w:eastAsia="ru-RU"/>
        </w:rPr>
        <w:t>«</w:t>
      </w:r>
      <w:r w:rsidRPr="00325036">
        <w:rPr>
          <w:rFonts w:ascii="Times New Roman" w:eastAsia="Times New Roman" w:hAnsi="Times New Roman" w:cs="Times New Roman"/>
          <w:i/>
          <w:sz w:val="24"/>
          <w:szCs w:val="24"/>
          <w:lang w:eastAsia="ru-RU"/>
        </w:rPr>
        <w:t>Развитие подотрасли животноводства, переработки и реализации продукции животноводства»</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Times New Roman" w:hAnsi="Times New Roman" w:cs="Times New Roman"/>
          <w:sz w:val="24"/>
          <w:szCs w:val="24"/>
          <w:lang w:eastAsia="ru-RU"/>
        </w:rPr>
        <w:t>Сводной бюджетной росписью н</w:t>
      </w:r>
      <w:r w:rsidRPr="00325036">
        <w:rPr>
          <w:rFonts w:ascii="Times New Roman" w:eastAsia="Calibri" w:hAnsi="Times New Roman" w:cs="Times New Roman"/>
          <w:sz w:val="24"/>
          <w:szCs w:val="24"/>
        </w:rPr>
        <w:t xml:space="preserve">а реализацию подпрограммы по целевой статье расходов 0130000 утверждены ассигнования в сумме 411479,6 тыс. рублей, в том числе за счет средств федерального бюджета – 167570,4 тыс. рублей, областного бюджета – </w:t>
      </w:r>
      <w:r w:rsidRPr="00325036">
        <w:rPr>
          <w:rFonts w:ascii="Times New Roman" w:eastAsia="Calibri" w:hAnsi="Times New Roman" w:cs="Times New Roman"/>
          <w:sz w:val="24"/>
          <w:szCs w:val="24"/>
        </w:rPr>
        <w:br/>
        <w:t>243909,2 тыс. рублей. В общем объеме расходов государственной программы доля расходов по подпрограмме составляет 15,3 процента.</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Уровень исполнения расходов на реализацию мероприятий подпрограммы, предусмотренных на предоставление 11 видов государственной поддержки сельхозтоваропроизводителям, составил 81,3 процента. Шесть видов государственной поддержки предусматривали софинансирование из федерального бюджета.</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В полном объеме исполнены ассигнования на оказание государственной поддержки (предоставление субсидий) сельхозтоваропроизводителям:</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-на возмещение части затрат на 1 литр (килограмм) реализованного товарного молока – 23319,7 тыс. рублей;</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color w:val="0070C0"/>
          <w:sz w:val="24"/>
          <w:szCs w:val="24"/>
        </w:rPr>
        <w:t>-</w:t>
      </w:r>
      <w:r w:rsidRPr="00325036">
        <w:rPr>
          <w:rFonts w:ascii="Times New Roman" w:eastAsia="Calibri" w:hAnsi="Times New Roman" w:cs="Times New Roman"/>
          <w:sz w:val="24"/>
          <w:szCs w:val="24"/>
        </w:rPr>
        <w:t>на возмещение части затрат по наращиванию или сохранению поголовья северных оленей и поголовья лошадей – 11998,7 тыс. рублей;</w:t>
      </w:r>
    </w:p>
    <w:p w:rsidR="00325036" w:rsidRPr="00325036" w:rsidRDefault="00325036" w:rsidP="00325036">
      <w:pPr>
        <w:spacing w:after="0" w:line="240" w:lineRule="auto"/>
        <w:ind w:firstLine="709"/>
        <w:jc w:val="both"/>
        <w:rPr>
          <w:rFonts w:ascii="Times New Roman" w:eastAsia="Calibri" w:hAnsi="Times New Roman" w:cs="Times New Roman"/>
          <w:color w:val="0070C0"/>
          <w:sz w:val="24"/>
          <w:szCs w:val="24"/>
        </w:rPr>
      </w:pPr>
      <w:r w:rsidRPr="00325036">
        <w:rPr>
          <w:rFonts w:ascii="Times New Roman" w:eastAsia="Calibri" w:hAnsi="Times New Roman" w:cs="Times New Roman"/>
          <w:sz w:val="24"/>
          <w:szCs w:val="24"/>
        </w:rPr>
        <w:t>-на возмещение части затрат на приобретение электрической энергии, используемой в животноводстве – 83995,8 тыс. рублей;</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-на возмещение части затрат на развитие сельскохозяйственного производства с уклоном на животноводство и интенсивное кормопроизводство в закрытых пограничных территориях поймы р.Амур – 30700,0 тыс. рублей.</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Низкий уровень исполнения (46,3 процента) сложился по расходам, связанным с субсидированием части процентной ставки по краткосрочным кредитам (займам) на развитие животноводства, переработки и реализации продукции животноводства.</w:t>
      </w:r>
    </w:p>
    <w:p w:rsidR="00325036" w:rsidRPr="00325036" w:rsidRDefault="00325036"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325036">
        <w:rPr>
          <w:rFonts w:ascii="Times New Roman" w:eastAsia="Times New Roman" w:hAnsi="Times New Roman" w:cs="Times New Roman"/>
          <w:i/>
          <w:sz w:val="24"/>
          <w:szCs w:val="24"/>
          <w:lang w:eastAsia="ru-RU"/>
        </w:rPr>
        <w:t xml:space="preserve">Подпрограмма </w:t>
      </w:r>
      <w:r w:rsidRPr="00325036">
        <w:rPr>
          <w:rFonts w:ascii="Times New Roman" w:eastAsia="Times New Roman" w:hAnsi="Times New Roman" w:cs="Times New Roman"/>
          <w:sz w:val="24"/>
          <w:szCs w:val="24"/>
          <w:lang w:eastAsia="ru-RU"/>
        </w:rPr>
        <w:t>«</w:t>
      </w:r>
      <w:r w:rsidRPr="00325036">
        <w:rPr>
          <w:rFonts w:ascii="Times New Roman" w:eastAsia="Times New Roman" w:hAnsi="Times New Roman" w:cs="Times New Roman"/>
          <w:i/>
          <w:sz w:val="24"/>
          <w:szCs w:val="24"/>
          <w:lang w:eastAsia="ru-RU"/>
        </w:rPr>
        <w:t>Развитие мясного скотоводства»</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Times New Roman" w:hAnsi="Times New Roman" w:cs="Times New Roman"/>
          <w:sz w:val="24"/>
          <w:szCs w:val="24"/>
          <w:lang w:eastAsia="ru-RU"/>
        </w:rPr>
        <w:lastRenderedPageBreak/>
        <w:t>Сводной бюджетной росписью н</w:t>
      </w:r>
      <w:r w:rsidRPr="00325036">
        <w:rPr>
          <w:rFonts w:ascii="Times New Roman" w:eastAsia="Calibri" w:hAnsi="Times New Roman" w:cs="Times New Roman"/>
          <w:sz w:val="24"/>
          <w:szCs w:val="24"/>
        </w:rPr>
        <w:t>а реализацию подпрограммы в 2014 году по целевой статье расходов 0140000 утверждены ассигнования в сумме 28750,2 тыс. рублей, в том числе за счет средств федерального бюджета – 4378,9 тыс. рублей, областного бюджета –24371,3 тыс. рублей.</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В общем объеме расходов государственной программы доля расходов по подпрограмме составляет 1,3 процента.</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Уровень исполнения ассигнований, предусмотренных на реализацию мероприятия подпрограммы, заключающегося в предоставлении государственной поддержки в виде субсидии на поддержку племенного крупного рогатого скота мясного направления, составил 97,3 процента. Ассигнования федерального бюджета на софинансирование указанной поддержки в объеме 4378,9 тыс. рублей исполнены в полном объеме.</w:t>
      </w:r>
    </w:p>
    <w:p w:rsidR="00325036" w:rsidRPr="00325036" w:rsidRDefault="00325036"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325036">
        <w:rPr>
          <w:rFonts w:ascii="Times New Roman" w:eastAsia="Times New Roman" w:hAnsi="Times New Roman" w:cs="Times New Roman"/>
          <w:i/>
          <w:sz w:val="24"/>
          <w:szCs w:val="24"/>
          <w:lang w:eastAsia="ru-RU"/>
        </w:rPr>
        <w:t xml:space="preserve">Подпрограмма </w:t>
      </w:r>
      <w:r w:rsidRPr="00325036">
        <w:rPr>
          <w:rFonts w:ascii="Times New Roman" w:eastAsia="Times New Roman" w:hAnsi="Times New Roman" w:cs="Times New Roman"/>
          <w:sz w:val="24"/>
          <w:szCs w:val="24"/>
          <w:lang w:eastAsia="ru-RU"/>
        </w:rPr>
        <w:t>«</w:t>
      </w:r>
      <w:r w:rsidRPr="00325036">
        <w:rPr>
          <w:rFonts w:ascii="Times New Roman" w:eastAsia="Times New Roman" w:hAnsi="Times New Roman" w:cs="Times New Roman"/>
          <w:i/>
          <w:sz w:val="24"/>
          <w:szCs w:val="24"/>
          <w:lang w:eastAsia="ru-RU"/>
        </w:rPr>
        <w:t>Обеспечение эпизоотического и ветеринарно-санитарного благополучия на территории области»</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 xml:space="preserve">Бюджетные ассигнования по подпрограмме утверждены в расходах областного бюджета по целевой статье расходов 0150000 в сумме 157080,1 тыс. рублей. В общем объеме расходов государственной программы доля расходов по подпрограмме составляет </w:t>
      </w:r>
      <w:r w:rsidRPr="00325036">
        <w:rPr>
          <w:rFonts w:ascii="Times New Roman" w:eastAsia="Calibri" w:hAnsi="Times New Roman" w:cs="Times New Roman"/>
          <w:sz w:val="24"/>
          <w:szCs w:val="24"/>
        </w:rPr>
        <w:br/>
        <w:t>7,0 процентов.</w:t>
      </w:r>
    </w:p>
    <w:p w:rsidR="00325036" w:rsidRPr="00325036" w:rsidRDefault="00325036" w:rsidP="00325036">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Уровень исполнения ассигнований, предусмотренных на реализацию подпрограммы, составил 97,7 процента. Низкий уровень исполнения (81,7 процента) сложился по расходам на осуществление отдельных полномочий по регулированию численности безнадзорных животных.</w:t>
      </w:r>
    </w:p>
    <w:p w:rsidR="00325036" w:rsidRPr="00325036" w:rsidRDefault="00325036"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325036">
        <w:rPr>
          <w:rFonts w:ascii="Times New Roman" w:eastAsia="Times New Roman" w:hAnsi="Times New Roman" w:cs="Times New Roman"/>
          <w:i/>
          <w:sz w:val="24"/>
          <w:szCs w:val="24"/>
          <w:lang w:eastAsia="ru-RU"/>
        </w:rPr>
        <w:t xml:space="preserve">Подпрограмма </w:t>
      </w:r>
      <w:r w:rsidRPr="00325036">
        <w:rPr>
          <w:rFonts w:ascii="Times New Roman" w:eastAsia="Times New Roman" w:hAnsi="Times New Roman" w:cs="Times New Roman"/>
          <w:sz w:val="24"/>
          <w:szCs w:val="24"/>
          <w:lang w:eastAsia="ru-RU"/>
        </w:rPr>
        <w:t>«</w:t>
      </w:r>
      <w:r w:rsidRPr="00325036">
        <w:rPr>
          <w:rFonts w:ascii="Times New Roman" w:eastAsia="Times New Roman" w:hAnsi="Times New Roman" w:cs="Times New Roman"/>
          <w:i/>
          <w:sz w:val="24"/>
          <w:szCs w:val="24"/>
          <w:lang w:eastAsia="ru-RU"/>
        </w:rPr>
        <w:t>Поддержка малых форм хозяйствования»</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Times New Roman" w:hAnsi="Times New Roman" w:cs="Times New Roman"/>
          <w:sz w:val="24"/>
          <w:szCs w:val="24"/>
          <w:lang w:eastAsia="ru-RU"/>
        </w:rPr>
        <w:t>Сводной бюджетной росписью н</w:t>
      </w:r>
      <w:r w:rsidRPr="00325036">
        <w:rPr>
          <w:rFonts w:ascii="Times New Roman" w:eastAsia="Calibri" w:hAnsi="Times New Roman" w:cs="Times New Roman"/>
          <w:sz w:val="24"/>
          <w:szCs w:val="24"/>
        </w:rPr>
        <w:t xml:space="preserve">а реализацию подпрограммы по целевой статье расходов 0160000  утверждены ассигнования в сумме 144054,6 тыс. рублей, в том числе за счет средств федерального бюджета – 120219,5 тыс. рублей, областного бюджета – </w:t>
      </w:r>
      <w:r w:rsidRPr="00325036">
        <w:rPr>
          <w:rFonts w:ascii="Times New Roman" w:eastAsia="Calibri" w:hAnsi="Times New Roman" w:cs="Times New Roman"/>
          <w:sz w:val="24"/>
          <w:szCs w:val="24"/>
        </w:rPr>
        <w:br/>
        <w:t>23835,1 тыс. рублей. В общем объеме расходов государственной программы доля расходов по подпрограмме составляет 4,8 процента.</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Уровень исполнения ассигнований, предусмотренных на реализацию мероприятий подпрограммы, составил 72,4 процента.</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В полном объеме исполнены ассигнования, предусмотренные на оказание государственной поддержки  в виде:</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 предоставления субсидии на поддержку некоммерческих организаций на оказание консультационных и информационных услуг – 131,7 тыс. рублей;</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-предоставления субсидии на поддержку начинающих фермеров – 36484,0;</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-грантов на поддержку развития семейных животноводческих ферм на базе крестьянско-фермерских хозяйств – 25638,0.</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Низкий уровень исполнения (51,1 процента) сложился по расходам, предусмотренным на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p w:rsidR="00325036" w:rsidRPr="00EB28DF" w:rsidRDefault="00325036" w:rsidP="00325036">
      <w:pPr>
        <w:spacing w:after="0" w:line="240" w:lineRule="auto"/>
        <w:ind w:firstLine="709"/>
        <w:jc w:val="both"/>
        <w:rPr>
          <w:rFonts w:ascii="Times New Roman" w:eastAsia="Times New Roman" w:hAnsi="Times New Roman" w:cs="Times New Roman"/>
          <w:i/>
          <w:sz w:val="24"/>
          <w:szCs w:val="24"/>
          <w:lang w:eastAsia="ru-RU"/>
        </w:rPr>
      </w:pPr>
      <w:r w:rsidRPr="00325036">
        <w:rPr>
          <w:rFonts w:ascii="Times New Roman" w:eastAsia="Calibri" w:hAnsi="Times New Roman" w:cs="Times New Roman"/>
          <w:sz w:val="24"/>
          <w:szCs w:val="24"/>
        </w:rPr>
        <w:t>Ниже среднесложившегося уровня (59,1 процента) исполнены расходы по предоставлению государственной поддержки на возмещение затрат крестьянским (фермерским) хозяйствам при оформлении в собственность используемых ими земельных участков и земель сельскохозяйственного назначения.</w:t>
      </w:r>
    </w:p>
    <w:p w:rsidR="00325036" w:rsidRPr="00325036" w:rsidRDefault="00325036"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325036">
        <w:rPr>
          <w:rFonts w:ascii="Times New Roman" w:eastAsia="Times New Roman" w:hAnsi="Times New Roman" w:cs="Times New Roman"/>
          <w:i/>
          <w:sz w:val="24"/>
          <w:szCs w:val="24"/>
          <w:lang w:eastAsia="ru-RU"/>
        </w:rPr>
        <w:t>Подпрограмма «Техническая и технологическая модернизация, инновационное развитие»</w:t>
      </w:r>
    </w:p>
    <w:p w:rsidR="00325036" w:rsidRPr="00325036" w:rsidRDefault="00325036" w:rsidP="00325036">
      <w:pPr>
        <w:spacing w:after="0" w:line="240" w:lineRule="auto"/>
        <w:ind w:firstLine="708"/>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 xml:space="preserve">Бюджетные ассигнования по подпрограмме утверждены в расходах областного бюджета по целевой статье расходов 0170000 в сумме 134705,6 тыс. рублей. В общем объеме расходов государственной программы доля расходов по подпрограмме составляет </w:t>
      </w:r>
      <w:r w:rsidRPr="00325036">
        <w:rPr>
          <w:rFonts w:ascii="Times New Roman" w:eastAsia="Calibri" w:hAnsi="Times New Roman" w:cs="Times New Roman"/>
          <w:sz w:val="24"/>
          <w:szCs w:val="24"/>
        </w:rPr>
        <w:br/>
        <w:t>5,6 процента.</w:t>
      </w:r>
    </w:p>
    <w:p w:rsidR="00325036" w:rsidRPr="00325036" w:rsidRDefault="00325036" w:rsidP="00325036">
      <w:pPr>
        <w:spacing w:after="0" w:line="240" w:lineRule="auto"/>
        <w:ind w:firstLine="708"/>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Уровень исполнения ассигнований, предусмотренных на реализацию мероприятий подпрограммы, составил 90,9 процента.</w:t>
      </w:r>
    </w:p>
    <w:p w:rsidR="00325036" w:rsidRPr="00325036" w:rsidRDefault="00325036" w:rsidP="0032503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Стопроцентное исполнение сложилось по расходам, предусмотренным на возмещение части затрат, связанных с приобретением сельскохозяйственной техники и оборудования.</w:t>
      </w:r>
    </w:p>
    <w:p w:rsidR="00325036" w:rsidRPr="00325036" w:rsidRDefault="00325036"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325036">
        <w:rPr>
          <w:rFonts w:ascii="Times New Roman" w:eastAsia="Times New Roman" w:hAnsi="Times New Roman" w:cs="Times New Roman"/>
          <w:i/>
          <w:sz w:val="24"/>
          <w:szCs w:val="24"/>
          <w:lang w:eastAsia="ru-RU"/>
        </w:rPr>
        <w:lastRenderedPageBreak/>
        <w:t>Подпрограмма «Устойчивое развитие сельских территорий»</w:t>
      </w:r>
    </w:p>
    <w:p w:rsidR="00325036" w:rsidRPr="00325036" w:rsidRDefault="00325036" w:rsidP="00325036">
      <w:pPr>
        <w:spacing w:after="0" w:line="240" w:lineRule="auto"/>
        <w:ind w:firstLine="708"/>
        <w:jc w:val="both"/>
        <w:rPr>
          <w:rFonts w:ascii="Times New Roman" w:eastAsia="Calibri" w:hAnsi="Times New Roman" w:cs="Times New Roman"/>
          <w:sz w:val="24"/>
          <w:szCs w:val="24"/>
        </w:rPr>
      </w:pPr>
      <w:r w:rsidRPr="00325036">
        <w:rPr>
          <w:rFonts w:ascii="Times New Roman" w:eastAsia="Times New Roman" w:hAnsi="Times New Roman" w:cs="Times New Roman"/>
          <w:sz w:val="24"/>
          <w:szCs w:val="24"/>
          <w:lang w:eastAsia="ru-RU"/>
        </w:rPr>
        <w:t>Сводной бюджетной росписью н</w:t>
      </w:r>
      <w:r w:rsidRPr="00325036">
        <w:rPr>
          <w:rFonts w:ascii="Times New Roman" w:eastAsia="Calibri" w:hAnsi="Times New Roman" w:cs="Times New Roman"/>
          <w:sz w:val="24"/>
          <w:szCs w:val="24"/>
        </w:rPr>
        <w:t>а реализацию подпрограммы по целевой статье расходов 0180000 утверждены ассигнования в сумме 88787,0 тыс. рублей, в том числе за счет средств федерального бюджета – 49502,0 тыс. рублей, областного бюджета –39285,0 тыс. рублей. В общем объеме расходов государственной программы доля расходов по подпрограмме составляет 4,0 процента.</w:t>
      </w:r>
    </w:p>
    <w:p w:rsidR="00325036" w:rsidRPr="00325036" w:rsidRDefault="00325036"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325036">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325036" w:rsidRPr="00325036" w:rsidRDefault="00325036" w:rsidP="00325036">
      <w:pPr>
        <w:spacing w:after="0" w:line="240" w:lineRule="auto"/>
        <w:ind w:firstLine="708"/>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Бюджетные ассигнования по подпрограмме утверждены в расходах областного бюджета по целевой статье расходов 0190000 в сумме 91563,6 тыс. рублей, в том числе за счет федерального бюджета 12951,6 тыс. рублей и средств областного бюджета 78612,0 тыс. рублей. В общем объеме расходов государственной программы доля расходов по подпрограмме составляет 4,0 процента.</w:t>
      </w:r>
    </w:p>
    <w:p w:rsidR="00325036" w:rsidRPr="00325036" w:rsidRDefault="00325036" w:rsidP="003250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 xml:space="preserve">Уровень исполнения расходов подпрограммы, связанных с обеспечением деятельности и выполнением функций министерства сельского хозяйства области по выработке государственной политики и осуществлению отраслевого управления в сфере агропромышленного комплекса, совершенствованием системы информационного, консультационного и кадрового обеспечения агропромышленного комплекса, составил </w:t>
      </w:r>
      <w:r w:rsidRPr="00325036">
        <w:rPr>
          <w:rFonts w:ascii="Times New Roman" w:eastAsia="Calibri" w:hAnsi="Times New Roman" w:cs="Times New Roman"/>
          <w:sz w:val="24"/>
          <w:szCs w:val="24"/>
        </w:rPr>
        <w:br/>
        <w:t>96,3 процента.</w:t>
      </w:r>
    </w:p>
    <w:p w:rsidR="00325036" w:rsidRPr="00325036" w:rsidRDefault="00325036" w:rsidP="0032503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25036">
        <w:rPr>
          <w:rFonts w:ascii="Times New Roman" w:eastAsia="Calibri" w:hAnsi="Times New Roman" w:cs="Times New Roman"/>
          <w:sz w:val="24"/>
          <w:szCs w:val="24"/>
        </w:rPr>
        <w:t>Низкий уровень исполнения (81,5 процента) сложился по единовременным пособиям молодым специалистам при поступлении на работу в сельскохозяйственную организацию либо областное государственное учреждение ветеринарии.</w:t>
      </w:r>
    </w:p>
    <w:p w:rsidR="00325036" w:rsidRPr="00325036" w:rsidRDefault="00325036" w:rsidP="00325036">
      <w:pPr>
        <w:spacing w:after="0" w:line="240" w:lineRule="auto"/>
        <w:ind w:firstLine="709"/>
        <w:jc w:val="both"/>
        <w:rPr>
          <w:rFonts w:ascii="Times New Roman" w:eastAsia="Calibri" w:hAnsi="Times New Roman" w:cs="Times New Roman"/>
          <w:sz w:val="24"/>
          <w:szCs w:val="24"/>
        </w:rPr>
      </w:pPr>
      <w:r w:rsidRPr="00325036">
        <w:rPr>
          <w:rFonts w:ascii="Times New Roman" w:eastAsia="Calibri" w:hAnsi="Times New Roman" w:cs="Times New Roman"/>
          <w:sz w:val="24"/>
          <w:szCs w:val="24"/>
        </w:rPr>
        <w:t>За счет средств федерального бюджета в полном объеме осуществлено финансирование возмещения части процентной ставки по краткосрочным кредитам (займам) на переработку продукции растениеводства и животноводства.</w:t>
      </w:r>
    </w:p>
    <w:p w:rsidR="00325036" w:rsidRPr="00325036" w:rsidRDefault="00325036" w:rsidP="003250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036">
        <w:rPr>
          <w:rFonts w:ascii="Times New Roman" w:eastAsia="Times New Roman" w:hAnsi="Times New Roman" w:cs="Times New Roman"/>
          <w:sz w:val="24"/>
          <w:szCs w:val="24"/>
          <w:lang w:eastAsia="ru-RU"/>
        </w:rPr>
        <w:t xml:space="preserve">Основные направления расходов по государственной программе представлены на рисунке </w:t>
      </w:r>
      <w:r w:rsidR="00950A56">
        <w:rPr>
          <w:rFonts w:ascii="Times New Roman" w:eastAsia="Times New Roman" w:hAnsi="Times New Roman" w:cs="Times New Roman"/>
          <w:sz w:val="24"/>
          <w:szCs w:val="24"/>
          <w:lang w:eastAsia="ru-RU"/>
        </w:rPr>
        <w:t>23</w:t>
      </w:r>
      <w:r w:rsidRPr="00325036">
        <w:rPr>
          <w:rFonts w:ascii="Times New Roman" w:eastAsia="Times New Roman" w:hAnsi="Times New Roman" w:cs="Times New Roman"/>
          <w:sz w:val="24"/>
          <w:szCs w:val="24"/>
          <w:lang w:eastAsia="ru-RU"/>
        </w:rPr>
        <w:t>.</w:t>
      </w:r>
    </w:p>
    <w:p w:rsidR="00325036" w:rsidRPr="00FB7950" w:rsidRDefault="00325036" w:rsidP="00FB7950">
      <w:pPr>
        <w:spacing w:after="0" w:line="240" w:lineRule="auto"/>
        <w:jc w:val="both"/>
        <w:rPr>
          <w:rFonts w:ascii="Times New Roman" w:eastAsia="Calibri" w:hAnsi="Times New Roman" w:cs="Times New Roman"/>
          <w:noProof/>
          <w:sz w:val="24"/>
          <w:szCs w:val="24"/>
          <w:lang w:eastAsia="ru-RU"/>
        </w:rPr>
      </w:pPr>
      <w:r>
        <w:rPr>
          <w:rFonts w:ascii="Calibri" w:eastAsia="Calibri" w:hAnsi="Calibri" w:cs="Times New Roman"/>
          <w:noProof/>
          <w:lang w:eastAsia="ru-RU"/>
        </w:rPr>
        <w:drawing>
          <wp:inline distT="0" distB="0" distL="0" distR="0">
            <wp:extent cx="6153150" cy="3848100"/>
            <wp:effectExtent l="0" t="0" r="0" b="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50A56" w:rsidRPr="00950A56" w:rsidRDefault="00325036" w:rsidP="00325036">
      <w:pPr>
        <w:widowControl w:val="0"/>
        <w:autoSpaceDE w:val="0"/>
        <w:autoSpaceDN w:val="0"/>
        <w:adjustRightInd w:val="0"/>
        <w:spacing w:after="0" w:line="240" w:lineRule="auto"/>
        <w:ind w:firstLine="708"/>
        <w:jc w:val="center"/>
        <w:rPr>
          <w:rFonts w:ascii="Times New Roman" w:hAnsi="Times New Roman"/>
          <w:b/>
          <w:noProof/>
          <w:sz w:val="24"/>
          <w:szCs w:val="24"/>
          <w:lang w:eastAsia="ru-RU"/>
        </w:rPr>
      </w:pPr>
      <w:r w:rsidRPr="00950A56">
        <w:rPr>
          <w:rFonts w:ascii="Times New Roman" w:eastAsia="Calibri" w:hAnsi="Times New Roman" w:cs="Times New Roman"/>
          <w:b/>
          <w:noProof/>
          <w:sz w:val="24"/>
          <w:szCs w:val="24"/>
          <w:lang w:eastAsia="ru-RU"/>
        </w:rPr>
        <w:t>Рис.</w:t>
      </w:r>
      <w:r w:rsidR="00950A56" w:rsidRPr="00950A56">
        <w:rPr>
          <w:rFonts w:ascii="Times New Roman" w:eastAsia="Calibri" w:hAnsi="Times New Roman" w:cs="Times New Roman"/>
          <w:b/>
          <w:noProof/>
          <w:sz w:val="24"/>
          <w:szCs w:val="24"/>
          <w:lang w:eastAsia="ru-RU"/>
        </w:rPr>
        <w:t xml:space="preserve"> 23 -</w:t>
      </w:r>
      <w:r w:rsidRPr="00950A56">
        <w:rPr>
          <w:rFonts w:ascii="Times New Roman" w:eastAsia="Calibri" w:hAnsi="Times New Roman" w:cs="Times New Roman"/>
          <w:b/>
          <w:noProof/>
          <w:sz w:val="24"/>
          <w:szCs w:val="24"/>
          <w:lang w:eastAsia="ru-RU"/>
        </w:rPr>
        <w:t xml:space="preserve"> Основные направления расходов </w:t>
      </w:r>
      <w:r w:rsidR="00950A56" w:rsidRPr="00950A56">
        <w:rPr>
          <w:rFonts w:ascii="Times New Roman" w:hAnsi="Times New Roman"/>
          <w:b/>
          <w:noProof/>
          <w:sz w:val="24"/>
          <w:szCs w:val="24"/>
          <w:lang w:eastAsia="ru-RU"/>
        </w:rPr>
        <w:t xml:space="preserve">государственной программе </w:t>
      </w:r>
      <w:r w:rsidR="00950A56" w:rsidRPr="00325036">
        <w:rPr>
          <w:rFonts w:ascii="Times New Roman" w:eastAsia="Times New Roman" w:hAnsi="Times New Roman" w:cs="Times New Roman"/>
          <w:b/>
          <w:sz w:val="24"/>
          <w:szCs w:val="24"/>
          <w:lang w:eastAsia="ru-RU"/>
        </w:rPr>
        <w:t>«Развитие сельского хозяйства и регулирование рынков сельскохозяйственной продукции, сырья и продовольствия Амурской области на 2014-2020 годы»</w:t>
      </w:r>
      <w:r w:rsidR="00950A56" w:rsidRPr="00950A56">
        <w:rPr>
          <w:rFonts w:ascii="Times New Roman" w:eastAsia="Times New Roman" w:hAnsi="Times New Roman" w:cs="Times New Roman"/>
          <w:b/>
          <w:sz w:val="24"/>
          <w:szCs w:val="24"/>
          <w:lang w:eastAsia="ru-RU"/>
        </w:rPr>
        <w:t xml:space="preserve"> </w:t>
      </w:r>
      <w:r w:rsidR="00950A56">
        <w:rPr>
          <w:rFonts w:ascii="Times New Roman" w:hAnsi="Times New Roman"/>
          <w:b/>
          <w:noProof/>
          <w:sz w:val="24"/>
          <w:szCs w:val="24"/>
          <w:lang w:eastAsia="ru-RU"/>
        </w:rPr>
        <w:t>в 2015 году</w:t>
      </w:r>
      <w:r w:rsidR="00FB7950">
        <w:rPr>
          <w:rFonts w:ascii="Times New Roman" w:hAnsi="Times New Roman"/>
          <w:b/>
          <w:noProof/>
          <w:sz w:val="24"/>
          <w:szCs w:val="24"/>
          <w:lang w:eastAsia="ru-RU"/>
        </w:rPr>
        <w:t>, млн. руб.</w:t>
      </w:r>
    </w:p>
    <w:p w:rsidR="00950A56" w:rsidRPr="00325036" w:rsidRDefault="00950A56" w:rsidP="00325036">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A299F" w:rsidRPr="001A299F" w:rsidRDefault="001A299F" w:rsidP="001A299F">
      <w:pPr>
        <w:spacing w:after="0" w:line="240" w:lineRule="auto"/>
        <w:ind w:firstLine="709"/>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lastRenderedPageBreak/>
        <w:t>5.2. Исполнение расходов областного бюджета за 2015 год в рамках государственной программы «Развитие системы социальной защиты населения Амурской области на 2014-2020 гг.»</w:t>
      </w:r>
    </w:p>
    <w:p w:rsidR="001A299F" w:rsidRPr="001A299F" w:rsidRDefault="001A299F" w:rsidP="00016529">
      <w:pPr>
        <w:widowControl w:val="0"/>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«Развитие системы социальной защиты населения Амурской области на 2014-2020 гг.» утверждена постановлением Правительства Амурской области от 25.09.2013 № 444 (в редакции постановления Правительства Амурской области от 31.12.2015 № 662). Координатором государственной программы, подпрограмм является министерство социальной защиты населения Амурской области. Участниками государственной программы являются – министерство социальной защиты населения Амурской области, министерство юстиции Амурской области, министерство по физической культуре и спорту Амурской области, министерство образования и науки Амурской области, министерство культуры и архивного дела Амурской области, министерство здравоохранения Амурской области, министерство транспорта и строительства Амурской области.</w:t>
      </w:r>
    </w:p>
    <w:p w:rsidR="00016529" w:rsidRDefault="00016529" w:rsidP="00016529">
      <w:pPr>
        <w:widowControl w:val="0"/>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p>
    <w:p w:rsidR="001A299F" w:rsidRPr="001A299F" w:rsidRDefault="001A299F" w:rsidP="00016529">
      <w:pPr>
        <w:widowControl w:val="0"/>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Законом Амурской области «Об областном бюджете на 2015 год и плановый период 2016 и 2017 годов» (ред. от 25.12.2015) на  реализацию государственной программы «Развитие системы социальной защиты населения Амурской области на 2014-2020 гг.» утверждены бюджетные ассигнования в сумме 8306250,6 тыс. рублей.</w:t>
      </w:r>
    </w:p>
    <w:p w:rsidR="001A299F" w:rsidRPr="001A299F" w:rsidRDefault="001A299F" w:rsidP="00016529">
      <w:pPr>
        <w:widowControl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Сводной бюджетной росписью расходов областного бюджета на 2015 год на реализацию программы предусмотрено 9245790,7 тыс. рублей. Отклонение бюджетных ассигнований, утвержденных законом об областном бюджете от бюджетных ассигнований, утвержденных сводной бюджетной росписью, составляет 939540,1 тыс. рублей. Основной объем отклонения приходится на средства федерального бюджета – выплата региональной доплаты к пенсии – 503583,7 тыс. рублей, ежемесячная денежная выплата, назначаемая в случае рождения третьего ребенка или последующих детей до достижения ребенком возраста трех лет – 249023,5 тыс. рублей, обеспечение инвалидов техническими средствами реабилитации, включая изготовление и ремонт протезно-ортопедических и</w:t>
      </w:r>
      <w:r w:rsidR="00016529">
        <w:rPr>
          <w:rFonts w:ascii="Times New Roman" w:eastAsia="Times New Roman" w:hAnsi="Times New Roman" w:cs="Times New Roman"/>
          <w:sz w:val="24"/>
          <w:szCs w:val="24"/>
          <w:lang w:eastAsia="ru-RU"/>
        </w:rPr>
        <w:t xml:space="preserve">зделий – </w:t>
      </w:r>
      <w:r w:rsidR="00016529">
        <w:rPr>
          <w:rFonts w:ascii="Times New Roman" w:eastAsia="Times New Roman" w:hAnsi="Times New Roman" w:cs="Times New Roman"/>
          <w:sz w:val="24"/>
          <w:szCs w:val="24"/>
          <w:lang w:eastAsia="ru-RU"/>
        </w:rPr>
        <w:br/>
        <w:t>158347,2 тыс. рублей.</w:t>
      </w:r>
    </w:p>
    <w:p w:rsidR="001A299F" w:rsidRPr="001A299F" w:rsidRDefault="001A299F" w:rsidP="00016529">
      <w:pPr>
        <w:widowControl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Объем бюджетных ассигнований, утвержденный в государственной программе </w:t>
      </w:r>
      <w:r w:rsidRPr="001A299F">
        <w:rPr>
          <w:rFonts w:ascii="Times New Roman" w:hAnsi="Times New Roman" w:cs="Times New Roman"/>
          <w:sz w:val="24"/>
          <w:szCs w:val="24"/>
        </w:rPr>
        <w:t>постановлением Правительства Амурской области от 25.09.2013 № 444 (в редакции постановления Правительства Амурской области от 31.12.2015 № 662)</w:t>
      </w:r>
      <w:r w:rsidR="00E65FE4">
        <w:rPr>
          <w:rFonts w:ascii="Times New Roman" w:hAnsi="Times New Roman" w:cs="Times New Roman"/>
          <w:sz w:val="24"/>
          <w:szCs w:val="24"/>
        </w:rPr>
        <w:t>,</w:t>
      </w:r>
      <w:r w:rsidRPr="001A299F">
        <w:rPr>
          <w:rFonts w:ascii="Times New Roman" w:eastAsia="Times New Roman" w:hAnsi="Times New Roman" w:cs="Times New Roman"/>
          <w:sz w:val="24"/>
          <w:szCs w:val="24"/>
          <w:lang w:eastAsia="ru-RU"/>
        </w:rPr>
        <w:t xml:space="preserve"> составляет </w:t>
      </w:r>
      <w:r w:rsidRPr="001A299F">
        <w:rPr>
          <w:rFonts w:ascii="Times New Roman" w:eastAsia="Times New Roman" w:hAnsi="Times New Roman" w:cs="Times New Roman"/>
          <w:sz w:val="24"/>
          <w:szCs w:val="24"/>
          <w:lang w:eastAsia="ru-RU"/>
        </w:rPr>
        <w:br/>
        <w:t>8314579,3 тыс. рублей (средства областного бюджета  и федерального бюджета). Отклонение от бюджетных ассигнований, утвержденных законом об областном бюджете</w:t>
      </w:r>
      <w:r w:rsidR="00E65FE4">
        <w:rPr>
          <w:rFonts w:ascii="Times New Roman" w:eastAsia="Times New Roman" w:hAnsi="Times New Roman" w:cs="Times New Roman"/>
          <w:sz w:val="24"/>
          <w:szCs w:val="24"/>
          <w:lang w:eastAsia="ru-RU"/>
        </w:rPr>
        <w:t>,</w:t>
      </w:r>
      <w:r w:rsidRPr="001A299F">
        <w:rPr>
          <w:rFonts w:ascii="Times New Roman" w:eastAsia="Times New Roman" w:hAnsi="Times New Roman" w:cs="Times New Roman"/>
          <w:sz w:val="24"/>
          <w:szCs w:val="24"/>
          <w:lang w:eastAsia="ru-RU"/>
        </w:rPr>
        <w:t xml:space="preserve"> составляет 8328,7 тыс. рублей (средства федерального бюджета на мероприятия государственной программы Российской Федерации «Доступная среда» на 2011-2015 годы в законе об областном бюджете предусмотрены в объеме 35501,0 тыс. рублей, в государственной программе – 43829,7 тыс. рублей в соответствии со сводной бюджетной рос</w:t>
      </w:r>
      <w:r w:rsidR="00016529">
        <w:rPr>
          <w:rFonts w:ascii="Times New Roman" w:eastAsia="Times New Roman" w:hAnsi="Times New Roman" w:cs="Times New Roman"/>
          <w:sz w:val="24"/>
          <w:szCs w:val="24"/>
          <w:lang w:eastAsia="ru-RU"/>
        </w:rPr>
        <w:t>писью).</w:t>
      </w:r>
    </w:p>
    <w:p w:rsidR="001A299F" w:rsidRPr="001A299F" w:rsidRDefault="001A299F" w:rsidP="00016529">
      <w:pPr>
        <w:widowControl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Исполнение бюджетных назначений, предусмотренных на реализацию программы сводной бюджетной росписью расходов, составило 9055640,2 тыс. рублей, или </w:t>
      </w:r>
      <w:r w:rsidRPr="001A299F">
        <w:rPr>
          <w:rFonts w:ascii="Times New Roman" w:eastAsia="Times New Roman" w:hAnsi="Times New Roman" w:cs="Times New Roman"/>
          <w:sz w:val="24"/>
          <w:szCs w:val="24"/>
          <w:lang w:eastAsia="ru-RU"/>
        </w:rPr>
        <w:br/>
        <w:t>97,9 процента плановых назначений.</w:t>
      </w:r>
    </w:p>
    <w:p w:rsidR="00016529" w:rsidRDefault="00016529" w:rsidP="00016529">
      <w:pPr>
        <w:widowControl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p>
    <w:p w:rsidR="001A299F" w:rsidRPr="001A299F" w:rsidRDefault="001A299F" w:rsidP="00016529">
      <w:pPr>
        <w:widowControl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«Развитие системы социальной защиты населения Амурской области на 2014-2020 гг.» включает 5 подпрограмм.</w:t>
      </w:r>
    </w:p>
    <w:p w:rsidR="00016529" w:rsidRDefault="00016529" w:rsidP="00016529">
      <w:pPr>
        <w:widowControl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p>
    <w:p w:rsidR="001A299F" w:rsidRPr="001A299F" w:rsidRDefault="001A299F" w:rsidP="00016529">
      <w:pPr>
        <w:widowControl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В </w:t>
      </w:r>
      <w:r w:rsidRPr="00950A56">
        <w:rPr>
          <w:rFonts w:ascii="Times New Roman" w:eastAsia="Times New Roman" w:hAnsi="Times New Roman" w:cs="Times New Roman"/>
          <w:sz w:val="24"/>
          <w:szCs w:val="24"/>
          <w:lang w:eastAsia="ru-RU"/>
        </w:rPr>
        <w:t xml:space="preserve">таблице 5 </w:t>
      </w:r>
      <w:r w:rsidRPr="001A299F">
        <w:rPr>
          <w:rFonts w:ascii="Times New Roman" w:eastAsia="Times New Roman" w:hAnsi="Times New Roman" w:cs="Times New Roman"/>
          <w:sz w:val="24"/>
          <w:szCs w:val="24"/>
          <w:lang w:eastAsia="ru-RU"/>
        </w:rPr>
        <w:t>представлена информация об исполнении государственной программы «Развитие системы социальной защиты населения Амурской области на 2014-2020 гг.» в разрезе подпрограмм.</w:t>
      </w:r>
    </w:p>
    <w:p w:rsidR="00016529" w:rsidRDefault="00016529" w:rsidP="001A299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16529" w:rsidRDefault="00016529" w:rsidP="001A299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A299F" w:rsidRPr="00950A56" w:rsidRDefault="001A299F" w:rsidP="001A299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A56">
        <w:rPr>
          <w:rFonts w:ascii="Times New Roman" w:eastAsia="Times New Roman" w:hAnsi="Times New Roman" w:cs="Times New Roman"/>
          <w:sz w:val="24"/>
          <w:szCs w:val="24"/>
          <w:lang w:eastAsia="ru-RU"/>
        </w:rPr>
        <w:lastRenderedPageBreak/>
        <w:t>Таблица 5</w:t>
      </w:r>
    </w:p>
    <w:p w:rsidR="001A299F" w:rsidRPr="00950A56" w:rsidRDefault="001A299F" w:rsidP="001A299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A56">
        <w:rPr>
          <w:rFonts w:ascii="Times New Roman" w:eastAsia="Times New Roman" w:hAnsi="Times New Roman" w:cs="Times New Roman"/>
          <w:sz w:val="24"/>
          <w:szCs w:val="24"/>
          <w:lang w:eastAsia="ru-RU"/>
        </w:rPr>
        <w:t>Анализ исполнения государственной программы «Развитие системы социальной защиты населения Амурской области на 2014-2020 гг.» в разрезе подпрограмм</w:t>
      </w:r>
    </w:p>
    <w:p w:rsidR="001A299F" w:rsidRPr="001A299F" w:rsidRDefault="001A299F" w:rsidP="001A29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тыс. рублей</w:t>
      </w:r>
    </w:p>
    <w:tbl>
      <w:tblPr>
        <w:tblStyle w:val="a6"/>
        <w:tblW w:w="10031" w:type="dxa"/>
        <w:tblLayout w:type="fixed"/>
        <w:tblLook w:val="04A0" w:firstRow="1" w:lastRow="0" w:firstColumn="1" w:lastColumn="0" w:noHBand="0" w:noVBand="1"/>
      </w:tblPr>
      <w:tblGrid>
        <w:gridCol w:w="4077"/>
        <w:gridCol w:w="1418"/>
        <w:gridCol w:w="1559"/>
        <w:gridCol w:w="1220"/>
        <w:gridCol w:w="1757"/>
      </w:tblGrid>
      <w:tr w:rsidR="001A299F" w:rsidRPr="001A299F" w:rsidTr="001A299F">
        <w:trPr>
          <w:tblHeader/>
        </w:trPr>
        <w:tc>
          <w:tcPr>
            <w:tcW w:w="4077" w:type="dxa"/>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Наименование государственной программы/подпрограммы</w:t>
            </w:r>
          </w:p>
        </w:tc>
        <w:tc>
          <w:tcPr>
            <w:tcW w:w="1418" w:type="dxa"/>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План</w:t>
            </w:r>
          </w:p>
        </w:tc>
        <w:tc>
          <w:tcPr>
            <w:tcW w:w="1559" w:type="dxa"/>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Исполнение</w:t>
            </w:r>
          </w:p>
        </w:tc>
        <w:tc>
          <w:tcPr>
            <w:tcW w:w="1220" w:type="dxa"/>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Уровень исполне-ния,%</w:t>
            </w:r>
          </w:p>
        </w:tc>
        <w:tc>
          <w:tcPr>
            <w:tcW w:w="1757" w:type="dxa"/>
          </w:tcPr>
          <w:p w:rsidR="001A299F" w:rsidRPr="001A299F" w:rsidRDefault="001A299F" w:rsidP="00016529">
            <w:pPr>
              <w:widowControl w:val="0"/>
              <w:autoSpaceDE w:val="0"/>
              <w:autoSpaceDN w:val="0"/>
              <w:adjustRightInd w:val="0"/>
              <w:jc w:val="center"/>
              <w:rPr>
                <w:b/>
                <w:bCs/>
                <w:sz w:val="24"/>
                <w:szCs w:val="24"/>
              </w:rPr>
            </w:pPr>
            <w:r w:rsidRPr="001A299F">
              <w:rPr>
                <w:b/>
                <w:bCs/>
                <w:sz w:val="24"/>
                <w:szCs w:val="24"/>
              </w:rPr>
              <w:t>Не исполненные назначения</w:t>
            </w:r>
          </w:p>
        </w:tc>
      </w:tr>
      <w:tr w:rsidR="001A299F" w:rsidRPr="001A299F" w:rsidTr="001A299F">
        <w:tc>
          <w:tcPr>
            <w:tcW w:w="4077" w:type="dxa"/>
          </w:tcPr>
          <w:p w:rsidR="001A299F" w:rsidRPr="001A299F" w:rsidRDefault="001A299F" w:rsidP="001A299F">
            <w:pPr>
              <w:widowControl w:val="0"/>
              <w:autoSpaceDE w:val="0"/>
              <w:autoSpaceDN w:val="0"/>
              <w:adjustRightInd w:val="0"/>
              <w:rPr>
                <w:b/>
                <w:bCs/>
                <w:sz w:val="24"/>
                <w:szCs w:val="24"/>
              </w:rPr>
            </w:pPr>
            <w:r w:rsidRPr="001A299F">
              <w:rPr>
                <w:b/>
                <w:bCs/>
                <w:sz w:val="24"/>
                <w:szCs w:val="24"/>
              </w:rPr>
              <w:t>Государственная программа «</w:t>
            </w:r>
            <w:r w:rsidRPr="001A299F">
              <w:rPr>
                <w:b/>
                <w:sz w:val="24"/>
                <w:szCs w:val="24"/>
              </w:rPr>
              <w:t>Развитие системы социальной защиты населения Амурской области на 2014-2020 гг.»</w:t>
            </w:r>
            <w:r w:rsidRPr="001A299F">
              <w:rPr>
                <w:b/>
                <w:bCs/>
                <w:sz w:val="24"/>
                <w:szCs w:val="24"/>
              </w:rPr>
              <w:t xml:space="preserve">, </w:t>
            </w:r>
          </w:p>
        </w:tc>
        <w:tc>
          <w:tcPr>
            <w:tcW w:w="1418" w:type="dxa"/>
            <w:vAlign w:val="center"/>
          </w:tcPr>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9245790,7</w:t>
            </w:r>
          </w:p>
        </w:tc>
        <w:tc>
          <w:tcPr>
            <w:tcW w:w="1559" w:type="dxa"/>
            <w:vAlign w:val="center"/>
          </w:tcPr>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9055640,2</w:t>
            </w:r>
          </w:p>
        </w:tc>
        <w:tc>
          <w:tcPr>
            <w:tcW w:w="1220" w:type="dxa"/>
            <w:vAlign w:val="center"/>
          </w:tcPr>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97,9</w:t>
            </w:r>
          </w:p>
        </w:tc>
        <w:tc>
          <w:tcPr>
            <w:tcW w:w="1757" w:type="dxa"/>
            <w:vAlign w:val="center"/>
          </w:tcPr>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190150,5</w:t>
            </w:r>
          </w:p>
        </w:tc>
      </w:tr>
      <w:tr w:rsidR="001A299F" w:rsidRPr="001A299F" w:rsidTr="001A299F">
        <w:tc>
          <w:tcPr>
            <w:tcW w:w="4077" w:type="dxa"/>
          </w:tcPr>
          <w:p w:rsidR="001A299F" w:rsidRPr="001A299F" w:rsidRDefault="001A299F" w:rsidP="001A299F">
            <w:pPr>
              <w:widowControl w:val="0"/>
              <w:autoSpaceDE w:val="0"/>
              <w:autoSpaceDN w:val="0"/>
              <w:adjustRightInd w:val="0"/>
              <w:jc w:val="both"/>
              <w:rPr>
                <w:sz w:val="24"/>
                <w:szCs w:val="24"/>
              </w:rPr>
            </w:pPr>
            <w:r w:rsidRPr="001A299F">
              <w:rPr>
                <w:bCs/>
                <w:sz w:val="24"/>
                <w:szCs w:val="24"/>
              </w:rPr>
              <w:t>в том числе:</w:t>
            </w:r>
          </w:p>
        </w:tc>
        <w:tc>
          <w:tcPr>
            <w:tcW w:w="1418" w:type="dxa"/>
          </w:tcPr>
          <w:p w:rsidR="001A299F" w:rsidRPr="001A299F" w:rsidRDefault="001A299F" w:rsidP="001A299F">
            <w:pPr>
              <w:widowControl w:val="0"/>
              <w:autoSpaceDE w:val="0"/>
              <w:autoSpaceDN w:val="0"/>
              <w:adjustRightInd w:val="0"/>
              <w:jc w:val="right"/>
              <w:rPr>
                <w:sz w:val="24"/>
                <w:szCs w:val="24"/>
              </w:rPr>
            </w:pPr>
          </w:p>
        </w:tc>
        <w:tc>
          <w:tcPr>
            <w:tcW w:w="1559" w:type="dxa"/>
          </w:tcPr>
          <w:p w:rsidR="001A299F" w:rsidRPr="001A299F" w:rsidRDefault="001A299F" w:rsidP="001A299F">
            <w:pPr>
              <w:widowControl w:val="0"/>
              <w:autoSpaceDE w:val="0"/>
              <w:autoSpaceDN w:val="0"/>
              <w:adjustRightInd w:val="0"/>
              <w:jc w:val="right"/>
              <w:rPr>
                <w:sz w:val="24"/>
                <w:szCs w:val="24"/>
              </w:rPr>
            </w:pPr>
          </w:p>
        </w:tc>
        <w:tc>
          <w:tcPr>
            <w:tcW w:w="1220" w:type="dxa"/>
          </w:tcPr>
          <w:p w:rsidR="001A299F" w:rsidRPr="001A299F" w:rsidRDefault="001A299F" w:rsidP="001A299F">
            <w:pPr>
              <w:widowControl w:val="0"/>
              <w:autoSpaceDE w:val="0"/>
              <w:autoSpaceDN w:val="0"/>
              <w:adjustRightInd w:val="0"/>
              <w:jc w:val="right"/>
              <w:rPr>
                <w:sz w:val="24"/>
                <w:szCs w:val="24"/>
              </w:rPr>
            </w:pPr>
          </w:p>
        </w:tc>
        <w:tc>
          <w:tcPr>
            <w:tcW w:w="1757" w:type="dxa"/>
          </w:tcPr>
          <w:p w:rsidR="001A299F" w:rsidRPr="001A299F" w:rsidRDefault="001A299F" w:rsidP="001A299F">
            <w:pPr>
              <w:widowControl w:val="0"/>
              <w:autoSpaceDE w:val="0"/>
              <w:autoSpaceDN w:val="0"/>
              <w:adjustRightInd w:val="0"/>
              <w:jc w:val="right"/>
              <w:rPr>
                <w:sz w:val="24"/>
                <w:szCs w:val="24"/>
              </w:rPr>
            </w:pPr>
          </w:p>
        </w:tc>
      </w:tr>
      <w:tr w:rsidR="001A299F" w:rsidRPr="001A299F" w:rsidTr="001A299F">
        <w:tc>
          <w:tcPr>
            <w:tcW w:w="4077"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Подпрограмма «Совершенствование организации деятельности учреждений социальной защиты и социального обслуживания населения Амурской области»</w:t>
            </w:r>
          </w:p>
        </w:tc>
        <w:tc>
          <w:tcPr>
            <w:tcW w:w="1418"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1979334,1</w:t>
            </w:r>
          </w:p>
        </w:tc>
        <w:tc>
          <w:tcPr>
            <w:tcW w:w="155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1957806,1</w:t>
            </w:r>
          </w:p>
        </w:tc>
        <w:tc>
          <w:tcPr>
            <w:tcW w:w="1220"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98,9</w:t>
            </w:r>
          </w:p>
        </w:tc>
        <w:tc>
          <w:tcPr>
            <w:tcW w:w="1757"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21528,0</w:t>
            </w:r>
          </w:p>
        </w:tc>
      </w:tr>
      <w:tr w:rsidR="001A299F" w:rsidRPr="001A299F" w:rsidTr="001A299F">
        <w:tc>
          <w:tcPr>
            <w:tcW w:w="4077"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Подпрограмма «Социальная поддержка семьи и детей в Амурской области»</w:t>
            </w:r>
          </w:p>
        </w:tc>
        <w:tc>
          <w:tcPr>
            <w:tcW w:w="1418"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2328053,0</w:t>
            </w:r>
          </w:p>
        </w:tc>
        <w:tc>
          <w:tcPr>
            <w:tcW w:w="155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2313013,7</w:t>
            </w:r>
          </w:p>
        </w:tc>
        <w:tc>
          <w:tcPr>
            <w:tcW w:w="1220"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99,4</w:t>
            </w:r>
          </w:p>
        </w:tc>
        <w:tc>
          <w:tcPr>
            <w:tcW w:w="1757"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15039,3</w:t>
            </w:r>
          </w:p>
        </w:tc>
      </w:tr>
      <w:tr w:rsidR="001A299F" w:rsidRPr="001A299F" w:rsidTr="001A299F">
        <w:tc>
          <w:tcPr>
            <w:tcW w:w="4077"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Подпрограмма «Социальная поддержка отдельных категорий граждан в Амурской области»</w:t>
            </w:r>
          </w:p>
        </w:tc>
        <w:tc>
          <w:tcPr>
            <w:tcW w:w="1418"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4605323,1</w:t>
            </w:r>
          </w:p>
        </w:tc>
        <w:tc>
          <w:tcPr>
            <w:tcW w:w="155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4454879,7</w:t>
            </w:r>
          </w:p>
        </w:tc>
        <w:tc>
          <w:tcPr>
            <w:tcW w:w="1220"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96,7</w:t>
            </w:r>
          </w:p>
        </w:tc>
        <w:tc>
          <w:tcPr>
            <w:tcW w:w="1757"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150443,4</w:t>
            </w:r>
          </w:p>
        </w:tc>
      </w:tr>
      <w:tr w:rsidR="001A299F" w:rsidRPr="001A299F" w:rsidTr="001A299F">
        <w:tc>
          <w:tcPr>
            <w:tcW w:w="4077"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Подпрограмма «Реабилитация и обеспечение жизнедеятельности инвалидов в Амурской области»</w:t>
            </w:r>
          </w:p>
        </w:tc>
        <w:tc>
          <w:tcPr>
            <w:tcW w:w="1418"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278046,8</w:t>
            </w:r>
          </w:p>
        </w:tc>
        <w:tc>
          <w:tcPr>
            <w:tcW w:w="155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275461,2</w:t>
            </w:r>
          </w:p>
        </w:tc>
        <w:tc>
          <w:tcPr>
            <w:tcW w:w="1220"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99,1</w:t>
            </w:r>
          </w:p>
        </w:tc>
        <w:tc>
          <w:tcPr>
            <w:tcW w:w="1757"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2585,6</w:t>
            </w:r>
          </w:p>
        </w:tc>
      </w:tr>
      <w:tr w:rsidR="001A299F" w:rsidRPr="001A299F" w:rsidTr="001A299F">
        <w:tc>
          <w:tcPr>
            <w:tcW w:w="4077"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 xml:space="preserve">Подпрограмма «Обеспечение реализации основных направлений государственной политики области в сфере социальной защиты населения Амурской области» </w:t>
            </w:r>
          </w:p>
        </w:tc>
        <w:tc>
          <w:tcPr>
            <w:tcW w:w="1418"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55033,7</w:t>
            </w:r>
          </w:p>
        </w:tc>
        <w:tc>
          <w:tcPr>
            <w:tcW w:w="155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54479,5</w:t>
            </w:r>
          </w:p>
        </w:tc>
        <w:tc>
          <w:tcPr>
            <w:tcW w:w="1220"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99,0</w:t>
            </w:r>
          </w:p>
        </w:tc>
        <w:tc>
          <w:tcPr>
            <w:tcW w:w="1757"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554,2</w:t>
            </w:r>
          </w:p>
        </w:tc>
      </w:tr>
    </w:tbl>
    <w:p w:rsidR="001A299F" w:rsidRPr="001A299F" w:rsidRDefault="001A299F" w:rsidP="001A299F">
      <w:pPr>
        <w:widowControl w:val="0"/>
        <w:autoSpaceDE w:val="0"/>
        <w:autoSpaceDN w:val="0"/>
        <w:adjustRightInd w:val="0"/>
        <w:spacing w:before="120" w:after="0" w:line="240" w:lineRule="auto"/>
        <w:ind w:left="360"/>
        <w:contextualSpacing/>
        <w:jc w:val="both"/>
        <w:rPr>
          <w:rFonts w:ascii="Times New Roman" w:eastAsia="Times New Roman" w:hAnsi="Times New Roman" w:cs="Times New Roman"/>
          <w:i/>
          <w:sz w:val="24"/>
          <w:szCs w:val="24"/>
          <w:lang w:eastAsia="ru-RU"/>
        </w:rPr>
      </w:pPr>
    </w:p>
    <w:p w:rsidR="001A299F" w:rsidRPr="001A299F" w:rsidRDefault="001A299F" w:rsidP="0014690C">
      <w:pPr>
        <w:widowControl w:val="0"/>
        <w:numPr>
          <w:ilvl w:val="0"/>
          <w:numId w:val="9"/>
        </w:numPr>
        <w:tabs>
          <w:tab w:val="left" w:pos="993"/>
        </w:tabs>
        <w:autoSpaceDE w:val="0"/>
        <w:autoSpaceDN w:val="0"/>
        <w:adjustRightInd w:val="0"/>
        <w:spacing w:before="120" w:after="0" w:line="240" w:lineRule="auto"/>
        <w:ind w:left="709" w:firstLine="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«Совершенствование организации деятельности учреждений социальной защиты и социального обслуживания населения Амурской области»</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«Совершенствование организации деятельности учреждений социальной защиты и социального обслуживания населения Амурской области» утверждены в расходах областного бюджета по целевой статье расходов 0210000 в сумме 1979334,1 тыс. рублей. В общем объеме расходов государственной программы доля расходов по данной подпрограмме составляет 21,4 процента.</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98,9 процента плановых назначений.</w:t>
      </w:r>
    </w:p>
    <w:p w:rsidR="001A299F" w:rsidRPr="001A299F" w:rsidRDefault="001A299F" w:rsidP="001A299F">
      <w:pPr>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Наибольший объем бюджетных ассигнований, предусмотренных на реализацию данной подпрограммы, приходится на расходы по обеспечению деятельности (оказанию услуг) государственных учреждений – 1914578,5 тыс. рублей. Исполнение по указанному мероприятию подпрограммы за 2015 год составляет 1897408,0 тыс. рублей, или </w:t>
      </w:r>
      <w:r w:rsidRPr="001A299F">
        <w:rPr>
          <w:rFonts w:ascii="Times New Roman" w:eastAsia="Times New Roman" w:hAnsi="Times New Roman" w:cs="Times New Roman"/>
          <w:sz w:val="24"/>
          <w:szCs w:val="24"/>
          <w:lang w:eastAsia="ru-RU"/>
        </w:rPr>
        <w:br/>
        <w:t>99,1 процента плановых назначений.</w:t>
      </w:r>
    </w:p>
    <w:p w:rsidR="001A299F" w:rsidRPr="001A299F" w:rsidRDefault="001A299F" w:rsidP="001A299F">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В полном объеме исполнены следующие мероприятия данной подпрограммы – 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 – 74,2 тыс. рублей, укрепление материально-технической базы учреждений социального обслуживания населения – </w:t>
      </w:r>
      <w:r w:rsidRPr="001A299F">
        <w:rPr>
          <w:rFonts w:ascii="Times New Roman" w:eastAsia="Times New Roman" w:hAnsi="Times New Roman" w:cs="Times New Roman"/>
          <w:sz w:val="24"/>
          <w:szCs w:val="24"/>
          <w:lang w:eastAsia="ru-RU"/>
        </w:rPr>
        <w:br/>
        <w:t>179,7 тыс. рублей.</w:t>
      </w:r>
    </w:p>
    <w:p w:rsidR="001A299F" w:rsidRPr="001A299F" w:rsidRDefault="001A299F" w:rsidP="001A299F">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lastRenderedPageBreak/>
        <w:t>Расходы по пересылке (доставке, перечислению) денежных выплат (пособий, социальной поддержки, денежного вознаграждения) отдельным категориям граждан исполнены за 2015 год в объеме 60144,2 тыс. рублей, или 93,2 процента плановых назначений.</w:t>
      </w:r>
    </w:p>
    <w:p w:rsidR="001A299F" w:rsidRPr="001A299F" w:rsidRDefault="001A299F" w:rsidP="00F60552">
      <w:pPr>
        <w:widowControl w:val="0"/>
        <w:numPr>
          <w:ilvl w:val="0"/>
          <w:numId w:val="7"/>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«Социальная поддержка семьи и детей в Амурской области»</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«Социальная поддержка семьи и детей в Амурской области»  утверждены в расходах областного бюджета по целевой статье расходов 0220000 в сумме 2328053,0 тыс. рублей. В общем объеме расходов государственной программы доля расходов по данной подпрограмме составляет 25,2 процента.</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99,4 процента плановых назначений.</w:t>
      </w:r>
    </w:p>
    <w:p w:rsidR="001A299F" w:rsidRPr="001A299F" w:rsidRDefault="001A299F" w:rsidP="001A299F">
      <w:pPr>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eastAsia="Times New Roman" w:hAnsi="Times New Roman" w:cs="Times New Roman"/>
          <w:sz w:val="24"/>
          <w:szCs w:val="24"/>
          <w:lang w:eastAsia="ru-RU"/>
        </w:rPr>
        <w:t>Мероприятия данной подпрограммы направлены на решение задач по п</w:t>
      </w:r>
      <w:r w:rsidRPr="001A299F">
        <w:rPr>
          <w:rFonts w:ascii="Times New Roman" w:hAnsi="Times New Roman" w:cs="Times New Roman"/>
          <w:sz w:val="24"/>
          <w:szCs w:val="24"/>
        </w:rPr>
        <w:t>овышению уровня жизни семей с детьми, улучшению качества жизни многодетных семей, повышению престижа многодетных семей, созданию условий для духовного и нравственного воспитания детей социально уязвимых категорий путем организации праздничных мероприятий, обеспечению возвращения несовершеннолетних, самовольно ушедших из семей, детских домов, школ-интернатов, специальных учебно-воспитательных и иных детских учреждений, а также на реализацию мер по защите прав детей-сирот и детей, оставшихся без попечения родителей, обеспечению их социальной адаптации.</w:t>
      </w:r>
    </w:p>
    <w:p w:rsidR="001A299F" w:rsidRPr="001A299F" w:rsidRDefault="001A299F" w:rsidP="001A299F">
      <w:pPr>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Основной объем бюджетных ассигнований подпрограммы, приходится на реализацию следующих мероприятий:</w:t>
      </w:r>
    </w:p>
    <w:p w:rsidR="001A299F" w:rsidRPr="00016529" w:rsidRDefault="001A299F" w:rsidP="0014690C">
      <w:pPr>
        <w:pStyle w:val="afa"/>
        <w:numPr>
          <w:ilvl w:val="0"/>
          <w:numId w:val="28"/>
        </w:numPr>
        <w:ind w:left="0" w:firstLine="360"/>
        <w:jc w:val="both"/>
        <w:rPr>
          <w:sz w:val="24"/>
          <w:szCs w:val="24"/>
        </w:rPr>
      </w:pPr>
      <w:r w:rsidRPr="00016529">
        <w:rPr>
          <w:sz w:val="24"/>
          <w:szCs w:val="24"/>
        </w:rPr>
        <w:t xml:space="preserve">выплата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 – 473902,5 тыс. рублей, исполнение за 2015 год составляет 470158,6 тыс. рублей, или 99,2 процента плановых назначений;   </w:t>
      </w:r>
    </w:p>
    <w:p w:rsidR="001A299F" w:rsidRPr="00016529" w:rsidRDefault="001A299F" w:rsidP="0014690C">
      <w:pPr>
        <w:pStyle w:val="afa"/>
        <w:numPr>
          <w:ilvl w:val="0"/>
          <w:numId w:val="28"/>
        </w:numPr>
        <w:ind w:left="0" w:firstLine="360"/>
        <w:jc w:val="both"/>
        <w:rPr>
          <w:sz w:val="24"/>
          <w:szCs w:val="24"/>
        </w:rPr>
      </w:pPr>
      <w:r w:rsidRPr="00016529">
        <w:rPr>
          <w:sz w:val="24"/>
          <w:szCs w:val="24"/>
        </w:rP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 472898,8 тыс. рублей, исполнение за 2015 год составляет 472656,4 тыс. рублей, или 99,9 процента (средства федерального бюджета);</w:t>
      </w:r>
    </w:p>
    <w:p w:rsidR="001A299F" w:rsidRPr="00016529" w:rsidRDefault="001A299F" w:rsidP="0014690C">
      <w:pPr>
        <w:pStyle w:val="afa"/>
        <w:numPr>
          <w:ilvl w:val="0"/>
          <w:numId w:val="28"/>
        </w:numPr>
        <w:ind w:left="0" w:firstLine="360"/>
        <w:jc w:val="both"/>
        <w:rPr>
          <w:sz w:val="24"/>
          <w:szCs w:val="24"/>
        </w:rPr>
      </w:pPr>
      <w:r w:rsidRPr="00016529">
        <w:rPr>
          <w:sz w:val="24"/>
          <w:szCs w:val="24"/>
        </w:rPr>
        <w:t xml:space="preserve">ежемесячное пособие на ребенка – 321295,0 тыс. рублей, исполнение – 321160,1 тыс. рублей, или 99,9 процента (средства областного бюджета); </w:t>
      </w:r>
    </w:p>
    <w:p w:rsidR="001A299F" w:rsidRPr="00016529" w:rsidRDefault="001A299F" w:rsidP="0014690C">
      <w:pPr>
        <w:pStyle w:val="afa"/>
        <w:numPr>
          <w:ilvl w:val="0"/>
          <w:numId w:val="28"/>
        </w:numPr>
        <w:ind w:left="0" w:firstLine="360"/>
        <w:jc w:val="both"/>
        <w:rPr>
          <w:i/>
          <w:sz w:val="24"/>
          <w:szCs w:val="24"/>
        </w:rPr>
      </w:pPr>
      <w:r w:rsidRPr="00016529">
        <w:rPr>
          <w:sz w:val="24"/>
          <w:szCs w:val="24"/>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 249023,5 тыс. рублей, исполнение за 2015 год составляет 247864,8 тыс. рублей, или 99,5 процента. </w:t>
      </w:r>
      <w:r w:rsidRPr="00016529">
        <w:rPr>
          <w:i/>
          <w:sz w:val="24"/>
          <w:szCs w:val="24"/>
        </w:rPr>
        <w:t xml:space="preserve">Указанное мероприятие в государственной программе «Развитие системы социальной защиты населения Амурской области на 2014-2020 гг.», утвержденной постановлением Правительства Амурской области от 25.09.2013 № 444 (в редакции постановления Правительства Амурской области от 31.12.2015 № 662), в законе области об областном бюджете,  не предусмотрено, финансирование мероприятия произведено в соответствии со сводной бюджетной росписью (средства федерального бюджета); </w:t>
      </w:r>
    </w:p>
    <w:p w:rsidR="001A299F" w:rsidRPr="00016529" w:rsidRDefault="001A299F" w:rsidP="0014690C">
      <w:pPr>
        <w:pStyle w:val="afa"/>
        <w:numPr>
          <w:ilvl w:val="0"/>
          <w:numId w:val="28"/>
        </w:numPr>
        <w:ind w:left="0" w:firstLine="360"/>
        <w:jc w:val="both"/>
        <w:rPr>
          <w:sz w:val="24"/>
          <w:szCs w:val="24"/>
        </w:rPr>
      </w:pPr>
      <w:r w:rsidRPr="00016529">
        <w:rPr>
          <w:sz w:val="24"/>
          <w:szCs w:val="24"/>
        </w:rPr>
        <w:t xml:space="preserve">ежемесячная денежная выплата семьям, родившим третьего ребенка или последующего ребенка, до достижения им возраста трех лет – 206156,5 тыс. рублей, исполнение – 206156,5 тыс. рублей, или 100,0 процентов (средства областного бюджета); </w:t>
      </w:r>
    </w:p>
    <w:p w:rsidR="001A299F" w:rsidRPr="00016529" w:rsidRDefault="001A299F" w:rsidP="0014690C">
      <w:pPr>
        <w:pStyle w:val="afa"/>
        <w:numPr>
          <w:ilvl w:val="0"/>
          <w:numId w:val="28"/>
        </w:numPr>
        <w:ind w:left="0" w:firstLine="360"/>
        <w:jc w:val="both"/>
        <w:rPr>
          <w:sz w:val="24"/>
          <w:szCs w:val="24"/>
        </w:rPr>
      </w:pPr>
      <w:r w:rsidRPr="00016529">
        <w:rPr>
          <w:sz w:val="24"/>
          <w:szCs w:val="24"/>
        </w:rPr>
        <w:t>социальная поддержка многодетных семей по оплате коммунальных услуг, проезда в общественном транспорте, питания для учащихся образовательных организаций и освобождению от платы за лекарства, приобретаемые по рецептам врачей – 179029,3 тыс. рублей, исполнение – 179000,4 тыс. рублей, или 99,9 процента;</w:t>
      </w:r>
    </w:p>
    <w:p w:rsidR="001A299F" w:rsidRPr="00016529" w:rsidRDefault="001A299F" w:rsidP="0014690C">
      <w:pPr>
        <w:pStyle w:val="afa"/>
        <w:numPr>
          <w:ilvl w:val="0"/>
          <w:numId w:val="28"/>
        </w:numPr>
        <w:ind w:left="0" w:firstLine="360"/>
        <w:jc w:val="both"/>
        <w:rPr>
          <w:sz w:val="24"/>
          <w:szCs w:val="24"/>
        </w:rPr>
      </w:pPr>
      <w:r w:rsidRPr="00016529">
        <w:rPr>
          <w:sz w:val="24"/>
          <w:szCs w:val="24"/>
        </w:rPr>
        <w:t>ежемесячная денежная выплата на детей первых трех лет жизни – 145506,2 тыс. рублей, исполнение – 145506,2 т</w:t>
      </w:r>
      <w:r w:rsidR="00016529">
        <w:rPr>
          <w:sz w:val="24"/>
          <w:szCs w:val="24"/>
        </w:rPr>
        <w:t>ыс. рублей, или 100,0 процентов.</w:t>
      </w:r>
    </w:p>
    <w:p w:rsidR="001A299F" w:rsidRPr="001A299F" w:rsidRDefault="001A299F" w:rsidP="00F60552">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«Социальная поддержка отдельных категорий граждан в Амурской области»</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lastRenderedPageBreak/>
        <w:t xml:space="preserve">Бюджетные ассигнования по подпрограмме «Социальная поддержка отдельных категорий граждан в Амурской области» утверждены в расходах областного бюджета по целевой статье расходов 0230000 в сумме 4605323,1 тыс. рублей. В общем объеме расходов государственной программы доля расходов по данной подпрограмме составляет </w:t>
      </w:r>
      <w:r w:rsidRPr="001A299F">
        <w:rPr>
          <w:rFonts w:ascii="Times New Roman" w:hAnsi="Times New Roman" w:cs="Times New Roman"/>
          <w:sz w:val="24"/>
          <w:szCs w:val="24"/>
        </w:rPr>
        <w:br/>
        <w:t>49,8 процента.</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96,7 процента плановых назначений.</w:t>
      </w:r>
    </w:p>
    <w:p w:rsidR="001A299F" w:rsidRPr="001A299F" w:rsidRDefault="001A299F" w:rsidP="001A299F">
      <w:pPr>
        <w:autoSpaceDE w:val="0"/>
        <w:autoSpaceDN w:val="0"/>
        <w:adjustRightInd w:val="0"/>
        <w:spacing w:after="0" w:line="240" w:lineRule="auto"/>
        <w:ind w:firstLine="708"/>
        <w:jc w:val="both"/>
        <w:rPr>
          <w:rFonts w:ascii="Times New Roman" w:hAnsi="Times New Roman" w:cs="Times New Roman"/>
          <w:sz w:val="24"/>
          <w:szCs w:val="24"/>
        </w:rPr>
      </w:pPr>
      <w:r w:rsidRPr="001A299F">
        <w:rPr>
          <w:rFonts w:ascii="Times New Roman" w:eastAsia="Times New Roman" w:hAnsi="Times New Roman" w:cs="Times New Roman"/>
          <w:sz w:val="24"/>
          <w:szCs w:val="24"/>
          <w:lang w:eastAsia="ru-RU"/>
        </w:rPr>
        <w:t>Мероприятия данной подпрограммы направлены на решение задач по п</w:t>
      </w:r>
      <w:r w:rsidRPr="001A299F">
        <w:rPr>
          <w:rFonts w:ascii="Times New Roman" w:hAnsi="Times New Roman" w:cs="Times New Roman"/>
          <w:sz w:val="24"/>
          <w:szCs w:val="24"/>
        </w:rPr>
        <w:t xml:space="preserve">овышению качества жизни граждан, имеющих заслуги перед государством и областью, качества жизни малоимущих граждан, в том числе граждан пожилого возраста, инвалидов, граждан, переживших лишения. </w:t>
      </w:r>
    </w:p>
    <w:p w:rsidR="001A299F" w:rsidRPr="001A299F" w:rsidRDefault="001A299F" w:rsidP="001A299F">
      <w:pPr>
        <w:autoSpaceDE w:val="0"/>
        <w:autoSpaceDN w:val="0"/>
        <w:adjustRightInd w:val="0"/>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Основной объем бюджетных ассигнований  подпрограммы, приходится на реализацию следующих мероприятий:</w:t>
      </w:r>
    </w:p>
    <w:p w:rsidR="001A299F" w:rsidRPr="00B81EDA" w:rsidRDefault="001A299F" w:rsidP="0014690C">
      <w:pPr>
        <w:pStyle w:val="afa"/>
        <w:numPr>
          <w:ilvl w:val="0"/>
          <w:numId w:val="29"/>
        </w:numPr>
        <w:tabs>
          <w:tab w:val="left" w:pos="1134"/>
        </w:tabs>
        <w:ind w:left="0" w:firstLine="709"/>
        <w:jc w:val="both"/>
        <w:rPr>
          <w:sz w:val="24"/>
          <w:szCs w:val="24"/>
        </w:rPr>
      </w:pPr>
      <w:r w:rsidRPr="00B81EDA">
        <w:rPr>
          <w:sz w:val="24"/>
          <w:szCs w:val="24"/>
        </w:rPr>
        <w:t>социальная поддержка граждан с низким уровнем дохода в виде предоставления субсидий на оплату жилого помещения и коммунальных услуг – 976849,5 тыс. рублей, исполнение за 2015 год – 976841,1 тыс. рублей, или 99,9 процента плановых назначений;</w:t>
      </w:r>
    </w:p>
    <w:p w:rsidR="001A299F" w:rsidRPr="00B81EDA" w:rsidRDefault="001A299F" w:rsidP="0014690C">
      <w:pPr>
        <w:pStyle w:val="afa"/>
        <w:numPr>
          <w:ilvl w:val="0"/>
          <w:numId w:val="29"/>
        </w:numPr>
        <w:tabs>
          <w:tab w:val="left" w:pos="1134"/>
        </w:tabs>
        <w:ind w:left="0" w:firstLine="709"/>
        <w:jc w:val="both"/>
        <w:rPr>
          <w:sz w:val="24"/>
          <w:szCs w:val="24"/>
        </w:rPr>
      </w:pPr>
      <w:r w:rsidRPr="00B81EDA">
        <w:rPr>
          <w:sz w:val="24"/>
          <w:szCs w:val="24"/>
        </w:rPr>
        <w:t>оплата жилищно-коммунальных услуг отдельным категориям граждан (средства федерального бюджета)  – 820515,3 тыс. рублей, исполнение – 813334,4 тыс. рублей, или 99,1 процента;</w:t>
      </w:r>
    </w:p>
    <w:p w:rsidR="001A299F" w:rsidRPr="00B81EDA" w:rsidRDefault="001A299F" w:rsidP="0014690C">
      <w:pPr>
        <w:pStyle w:val="afa"/>
        <w:numPr>
          <w:ilvl w:val="0"/>
          <w:numId w:val="29"/>
        </w:numPr>
        <w:tabs>
          <w:tab w:val="left" w:pos="1134"/>
        </w:tabs>
        <w:ind w:left="0" w:firstLine="709"/>
        <w:jc w:val="both"/>
        <w:rPr>
          <w:i/>
          <w:sz w:val="24"/>
          <w:szCs w:val="24"/>
        </w:rPr>
      </w:pPr>
      <w:r w:rsidRPr="00B81EDA">
        <w:rPr>
          <w:sz w:val="24"/>
          <w:szCs w:val="24"/>
        </w:rPr>
        <w:t>выплата региональной доплаты к пенсии – 6</w:t>
      </w:r>
      <w:r w:rsidR="00A91755">
        <w:rPr>
          <w:sz w:val="24"/>
          <w:szCs w:val="24"/>
        </w:rPr>
        <w:t>05096,1</w:t>
      </w:r>
      <w:r w:rsidRPr="00B81EDA">
        <w:rPr>
          <w:sz w:val="24"/>
          <w:szCs w:val="24"/>
        </w:rPr>
        <w:t xml:space="preserve"> тыс. рублей, в том числе за счет средств федерального бюджета – 503583,7 тыс. рублей, исполнение – 4</w:t>
      </w:r>
      <w:r w:rsidR="00A91755">
        <w:rPr>
          <w:sz w:val="24"/>
          <w:szCs w:val="24"/>
        </w:rPr>
        <w:t>63647,3</w:t>
      </w:r>
      <w:r w:rsidRPr="00B81EDA">
        <w:rPr>
          <w:sz w:val="24"/>
          <w:szCs w:val="24"/>
        </w:rPr>
        <w:t xml:space="preserve"> тыс. рублей, или </w:t>
      </w:r>
      <w:r w:rsidR="00A91755">
        <w:rPr>
          <w:sz w:val="24"/>
          <w:szCs w:val="24"/>
        </w:rPr>
        <w:t>76,6</w:t>
      </w:r>
      <w:r w:rsidRPr="00B81EDA">
        <w:rPr>
          <w:sz w:val="24"/>
          <w:szCs w:val="24"/>
        </w:rPr>
        <w:t xml:space="preserve"> процента, в том числе за счет средств федерального бюджета – 382278,2 тыс. рублей. </w:t>
      </w:r>
      <w:r w:rsidRPr="00B81EDA">
        <w:rPr>
          <w:i/>
          <w:sz w:val="24"/>
          <w:szCs w:val="24"/>
        </w:rPr>
        <w:t>Указанное мероприятие в государственной программе «Развитие системы социальной защиты населения Амурской области на 2014-2020 гг.», утвержденной постановлением Правительства Амурской области от 25.09.2013 № 444 (в редакции постановления Правительства Амурской области от 31.12.2015 № 662), в законе области об областном бюджете, в части средств федерального бюджета не предусмотрено, финансирование мероприятия произведено в соответствии со сводной бюджетной росписью</w:t>
      </w:r>
      <w:r w:rsidRPr="00B81EDA">
        <w:rPr>
          <w:sz w:val="24"/>
          <w:szCs w:val="24"/>
        </w:rPr>
        <w:t>;</w:t>
      </w:r>
    </w:p>
    <w:p w:rsidR="001A299F" w:rsidRPr="00B81EDA" w:rsidRDefault="001A299F" w:rsidP="0014690C">
      <w:pPr>
        <w:pStyle w:val="afa"/>
        <w:numPr>
          <w:ilvl w:val="0"/>
          <w:numId w:val="29"/>
        </w:numPr>
        <w:tabs>
          <w:tab w:val="left" w:pos="1134"/>
        </w:tabs>
        <w:ind w:left="0" w:firstLine="709"/>
        <w:jc w:val="both"/>
        <w:rPr>
          <w:sz w:val="24"/>
          <w:szCs w:val="24"/>
        </w:rPr>
      </w:pPr>
      <w:r w:rsidRPr="00B81EDA">
        <w:rPr>
          <w:sz w:val="24"/>
          <w:szCs w:val="24"/>
        </w:rPr>
        <w:t>социальная поддержка специалистов государственных и муниципальных организаций, учреждений, проживающих и работающих в сельской местности, поселках городского типа (рабочих поселках), а также пенсионеров из их числа – 598740,9 тыс. рублей, исполнение – 598709,8 тыс. рублей, или 99,9 процента;</w:t>
      </w:r>
    </w:p>
    <w:p w:rsidR="001A299F" w:rsidRPr="00B81EDA" w:rsidRDefault="001A299F" w:rsidP="0014690C">
      <w:pPr>
        <w:pStyle w:val="afa"/>
        <w:numPr>
          <w:ilvl w:val="0"/>
          <w:numId w:val="29"/>
        </w:numPr>
        <w:tabs>
          <w:tab w:val="left" w:pos="1134"/>
        </w:tabs>
        <w:ind w:left="0" w:firstLine="709"/>
        <w:jc w:val="both"/>
        <w:rPr>
          <w:sz w:val="24"/>
          <w:szCs w:val="24"/>
        </w:rPr>
      </w:pPr>
      <w:r w:rsidRPr="00B81EDA">
        <w:rPr>
          <w:sz w:val="24"/>
          <w:szCs w:val="24"/>
        </w:rPr>
        <w:t xml:space="preserve">социальная поддержка по оплате жилого помещения и коммунальных услуг ветеранов труда – 565961,1 тыс. рублей, исполнение – 565953,8 тыс. рублей, или </w:t>
      </w:r>
      <w:r w:rsidR="00950A56" w:rsidRPr="00B81EDA">
        <w:rPr>
          <w:sz w:val="24"/>
          <w:szCs w:val="24"/>
        </w:rPr>
        <w:br/>
      </w:r>
      <w:r w:rsidRPr="00B81EDA">
        <w:rPr>
          <w:sz w:val="24"/>
          <w:szCs w:val="24"/>
        </w:rPr>
        <w:t>99,9 процента;</w:t>
      </w:r>
    </w:p>
    <w:p w:rsidR="001A299F" w:rsidRPr="00B81EDA" w:rsidRDefault="001A299F" w:rsidP="0014690C">
      <w:pPr>
        <w:pStyle w:val="afa"/>
        <w:numPr>
          <w:ilvl w:val="0"/>
          <w:numId w:val="29"/>
        </w:numPr>
        <w:tabs>
          <w:tab w:val="left" w:pos="1134"/>
        </w:tabs>
        <w:ind w:left="0" w:firstLine="709"/>
        <w:jc w:val="both"/>
        <w:rPr>
          <w:sz w:val="24"/>
          <w:szCs w:val="24"/>
        </w:rPr>
      </w:pPr>
      <w:r w:rsidRPr="00B81EDA">
        <w:rPr>
          <w:sz w:val="24"/>
          <w:szCs w:val="24"/>
        </w:rPr>
        <w:t>ежемесячная денежная выплата ветеранам труда, труженикам тыла, детям войны – 380054,1 тыс. рублей, исполнение – 380047,6 тыс. рублей, или 99,9 процента;</w:t>
      </w:r>
    </w:p>
    <w:p w:rsidR="001A299F" w:rsidRPr="00B81EDA" w:rsidRDefault="001A299F" w:rsidP="0014690C">
      <w:pPr>
        <w:pStyle w:val="afa"/>
        <w:numPr>
          <w:ilvl w:val="0"/>
          <w:numId w:val="29"/>
        </w:numPr>
        <w:tabs>
          <w:tab w:val="left" w:pos="1134"/>
        </w:tabs>
        <w:ind w:left="0" w:firstLine="709"/>
        <w:jc w:val="both"/>
        <w:rPr>
          <w:sz w:val="24"/>
          <w:szCs w:val="24"/>
        </w:rPr>
      </w:pPr>
      <w:r w:rsidRPr="00B81EDA">
        <w:rPr>
          <w:sz w:val="24"/>
          <w:szCs w:val="24"/>
        </w:rPr>
        <w:t>обеспечение равной доступности услуг общественного транспорта на территории Амурской области для отдельных категорий граждан – 263810,0 тыс. рублей, исполнение – 263541,7 тыс. рублей, или 99,9 процента.</w:t>
      </w:r>
    </w:p>
    <w:p w:rsidR="001A299F" w:rsidRPr="001A299F" w:rsidRDefault="001A299F" w:rsidP="00F60552">
      <w:pPr>
        <w:widowControl w:val="0"/>
        <w:numPr>
          <w:ilvl w:val="0"/>
          <w:numId w:val="7"/>
        </w:numPr>
        <w:tabs>
          <w:tab w:val="left" w:pos="993"/>
        </w:tabs>
        <w:autoSpaceDE w:val="0"/>
        <w:autoSpaceDN w:val="0"/>
        <w:adjustRightInd w:val="0"/>
        <w:spacing w:before="120" w:after="0" w:line="240" w:lineRule="auto"/>
        <w:ind w:left="709" w:firstLine="0"/>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«Реабилитация и обеспечение жизнедеятельности инвалидов в Амурской области»</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«Реабилитация и обеспечение жизнедеятельности инвалидов в Амурской области» утверждены в расходах областного бюджета по целевой статье расходов 0240000 в сумме 278046,8 тыс. рублей. В общем объеме расходов государственной программы доля расходов по данной подпрограмме составляет </w:t>
      </w:r>
      <w:r w:rsidRPr="001A299F">
        <w:rPr>
          <w:rFonts w:ascii="Times New Roman" w:hAnsi="Times New Roman" w:cs="Times New Roman"/>
          <w:sz w:val="24"/>
          <w:szCs w:val="24"/>
        </w:rPr>
        <w:br/>
        <w:t>3,0 процента.</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99,1 процента плановых назначений.</w:t>
      </w:r>
    </w:p>
    <w:p w:rsidR="001A299F" w:rsidRPr="001A299F" w:rsidRDefault="001A299F" w:rsidP="001A299F">
      <w:pPr>
        <w:autoSpaceDE w:val="0"/>
        <w:autoSpaceDN w:val="0"/>
        <w:adjustRightInd w:val="0"/>
        <w:spacing w:after="0" w:line="240" w:lineRule="auto"/>
        <w:ind w:firstLine="540"/>
        <w:jc w:val="both"/>
        <w:rPr>
          <w:rFonts w:ascii="Times New Roman" w:hAnsi="Times New Roman" w:cs="Times New Roman"/>
          <w:sz w:val="24"/>
          <w:szCs w:val="24"/>
        </w:rPr>
      </w:pPr>
      <w:r w:rsidRPr="001A299F">
        <w:rPr>
          <w:rFonts w:ascii="Times New Roman" w:hAnsi="Times New Roman" w:cs="Times New Roman"/>
          <w:sz w:val="24"/>
          <w:szCs w:val="24"/>
        </w:rPr>
        <w:t>Основной объем бюджетных ассигнований  подпрограммы, приходится на реализацию следующих мероприятий:</w:t>
      </w:r>
    </w:p>
    <w:p w:rsidR="001A299F" w:rsidRPr="00B81EDA" w:rsidRDefault="001A299F" w:rsidP="0014690C">
      <w:pPr>
        <w:pStyle w:val="afa"/>
        <w:numPr>
          <w:ilvl w:val="0"/>
          <w:numId w:val="30"/>
        </w:numPr>
        <w:ind w:left="0" w:firstLine="360"/>
        <w:jc w:val="both"/>
        <w:rPr>
          <w:sz w:val="24"/>
          <w:szCs w:val="24"/>
        </w:rPr>
      </w:pPr>
      <w:r w:rsidRPr="00B81EDA">
        <w:rPr>
          <w:sz w:val="24"/>
          <w:szCs w:val="24"/>
        </w:rPr>
        <w:t xml:space="preserve">обеспечение инвалидов техническими средствами реабилитации, включая </w:t>
      </w:r>
      <w:r w:rsidRPr="00B81EDA">
        <w:rPr>
          <w:sz w:val="24"/>
          <w:szCs w:val="24"/>
        </w:rPr>
        <w:lastRenderedPageBreak/>
        <w:t>изготовление и ремонт протезно-ортопедических изделий – 158347,2 тыс. рублей, исполнение за 2015 год – 158345,3 тыс. рублей, или 99,9 процента плановых назначений;</w:t>
      </w:r>
    </w:p>
    <w:p w:rsidR="001A299F" w:rsidRPr="00B81EDA" w:rsidRDefault="001A299F" w:rsidP="0014690C">
      <w:pPr>
        <w:pStyle w:val="afa"/>
        <w:numPr>
          <w:ilvl w:val="0"/>
          <w:numId w:val="30"/>
        </w:numPr>
        <w:ind w:left="0" w:firstLine="360"/>
        <w:jc w:val="both"/>
        <w:rPr>
          <w:sz w:val="24"/>
          <w:szCs w:val="24"/>
        </w:rPr>
      </w:pPr>
      <w:r w:rsidRPr="00B81EDA">
        <w:rPr>
          <w:sz w:val="24"/>
          <w:szCs w:val="24"/>
        </w:rP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 38876,6 тыс. рублей, исполнение – 38876,2 ты</w:t>
      </w:r>
      <w:r w:rsidR="00B81EDA" w:rsidRPr="00B81EDA">
        <w:rPr>
          <w:sz w:val="24"/>
          <w:szCs w:val="24"/>
        </w:rPr>
        <w:t>с. рублей, или 100,0 процентов.</w:t>
      </w:r>
    </w:p>
    <w:p w:rsidR="001A299F" w:rsidRPr="00B81EDA" w:rsidRDefault="001A299F" w:rsidP="00B81EDA">
      <w:pPr>
        <w:spacing w:after="0" w:line="240" w:lineRule="auto"/>
        <w:ind w:firstLine="709"/>
        <w:jc w:val="both"/>
        <w:rPr>
          <w:rFonts w:ascii="Times New Roman" w:hAnsi="Times New Roman" w:cs="Times New Roman"/>
          <w:i/>
          <w:sz w:val="24"/>
          <w:szCs w:val="24"/>
        </w:rPr>
      </w:pPr>
      <w:r w:rsidRPr="00B81EDA">
        <w:rPr>
          <w:rFonts w:ascii="Times New Roman" w:hAnsi="Times New Roman" w:cs="Times New Roman"/>
          <w:i/>
          <w:sz w:val="24"/>
          <w:szCs w:val="24"/>
        </w:rPr>
        <w:t>Указанные мероприятия в государственной программе «Развитие системы социальной защиты населения Амурской области на 2014-2020 гг.», утвержденной постановлением Правительства Амурской области от 25.09.2013 № 444 (в редакции постановления Правительства Амурской области от 31.12.2015 № 662), в законе области об областном бюджете, не предусмотрено, финансирование мероприятия произведено в соответствии со сводной бюджетной росписью (средства федерального бюджета)</w:t>
      </w:r>
      <w:r w:rsidRPr="00B81EDA">
        <w:rPr>
          <w:rFonts w:ascii="Times New Roman" w:hAnsi="Times New Roman" w:cs="Times New Roman"/>
          <w:sz w:val="24"/>
          <w:szCs w:val="24"/>
        </w:rPr>
        <w:t>;</w:t>
      </w:r>
    </w:p>
    <w:p w:rsidR="001A299F" w:rsidRPr="00B81EDA" w:rsidRDefault="001A299F" w:rsidP="0014690C">
      <w:pPr>
        <w:pStyle w:val="afa"/>
        <w:numPr>
          <w:ilvl w:val="0"/>
          <w:numId w:val="30"/>
        </w:numPr>
        <w:ind w:left="0" w:firstLine="360"/>
        <w:jc w:val="both"/>
        <w:rPr>
          <w:i/>
          <w:sz w:val="24"/>
          <w:szCs w:val="24"/>
        </w:rPr>
      </w:pPr>
      <w:r w:rsidRPr="00B81EDA">
        <w:rPr>
          <w:sz w:val="24"/>
          <w:szCs w:val="24"/>
        </w:rPr>
        <w:t>мероприятия государственной программы Российской Федерации «Доступная среда» на 2011-2015 годы – 67075,2 тыс. рублей (в том числе средства федерального бюджета – 43829,6 тыс. рублей), исполнение – 64889,6 тыс. рублей (в том числе средства федерального бюджета - 42924,8 тыс. рублей), или 96,7 процента, в том числе объем межбюджетных трансфертов, переданных бюджетам муниципальных образований области, составляет 25379,9 тыс. рублей.</w:t>
      </w:r>
    </w:p>
    <w:p w:rsidR="001A299F" w:rsidRPr="001A299F" w:rsidRDefault="001A299F" w:rsidP="00F60552">
      <w:pPr>
        <w:widowControl w:val="0"/>
        <w:numPr>
          <w:ilvl w:val="0"/>
          <w:numId w:val="7"/>
        </w:numPr>
        <w:autoSpaceDE w:val="0"/>
        <w:autoSpaceDN w:val="0"/>
        <w:adjustRightInd w:val="0"/>
        <w:spacing w:before="120" w:after="0" w:line="240" w:lineRule="auto"/>
        <w:ind w:left="709" w:firstLine="0"/>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области в сфере социальной защиты населения Амурской области»</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«Обеспечение реализации основных направлений государственной политики области в сфере социальной защиты населения  Амурской области»  утверждены в расходах областного бюджета по целевой статье расходов 0250000 в сумме 55033,7 тыс. рублей. В общем объеме расходов государственной программы доля расходов по данной подпрограмме составляет 0,6 процента.</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99,0 процентов плановых назначений.</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 данной подпрограмме осуществлялось финансирование расходов на обеспечение функций исполнительных органов государственной власти.</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Согласно приложению № 1 к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2015 год:</w:t>
      </w:r>
    </w:p>
    <w:p w:rsidR="001A299F" w:rsidRPr="00B81EDA" w:rsidRDefault="001A299F" w:rsidP="0014690C">
      <w:pPr>
        <w:pStyle w:val="afa"/>
        <w:numPr>
          <w:ilvl w:val="0"/>
          <w:numId w:val="31"/>
        </w:numPr>
        <w:tabs>
          <w:tab w:val="left" w:pos="851"/>
          <w:tab w:val="left" w:pos="993"/>
        </w:tabs>
        <w:ind w:left="0" w:firstLine="709"/>
        <w:jc w:val="both"/>
        <w:rPr>
          <w:sz w:val="24"/>
          <w:szCs w:val="24"/>
        </w:rPr>
      </w:pPr>
      <w:r w:rsidRPr="00B81EDA">
        <w:rPr>
          <w:sz w:val="24"/>
          <w:szCs w:val="24"/>
        </w:rPr>
        <w:t>Плановые назначения, отраженные в докладе, на реализацию программы составляют 9245791,5 тыс. рублей, что не соответствует аналогичному плановому значению, предусмотренному сводной бюджетной росписью расх</w:t>
      </w:r>
      <w:r w:rsidR="00B81EDA" w:rsidRPr="00B81EDA">
        <w:rPr>
          <w:sz w:val="24"/>
          <w:szCs w:val="24"/>
        </w:rPr>
        <w:t>одов, на сумму 0,8 тыс. рублей.</w:t>
      </w:r>
    </w:p>
    <w:p w:rsidR="001A299F" w:rsidRPr="00B81EDA" w:rsidRDefault="001A299F" w:rsidP="0014690C">
      <w:pPr>
        <w:pStyle w:val="afa"/>
        <w:numPr>
          <w:ilvl w:val="0"/>
          <w:numId w:val="31"/>
        </w:numPr>
        <w:tabs>
          <w:tab w:val="left" w:pos="851"/>
          <w:tab w:val="left" w:pos="993"/>
        </w:tabs>
        <w:ind w:left="0" w:firstLine="709"/>
        <w:jc w:val="both"/>
        <w:rPr>
          <w:sz w:val="24"/>
          <w:szCs w:val="24"/>
        </w:rPr>
      </w:pPr>
      <w:r w:rsidRPr="00B81EDA">
        <w:rPr>
          <w:sz w:val="24"/>
          <w:szCs w:val="24"/>
        </w:rPr>
        <w:t xml:space="preserve">Объем исполненных ассигнований, отраженных в докладе, составляет </w:t>
      </w:r>
      <w:r w:rsidRPr="00B81EDA">
        <w:rPr>
          <w:sz w:val="24"/>
          <w:szCs w:val="24"/>
        </w:rPr>
        <w:br/>
        <w:t>9055649,6 тыс. рублей. Вместе с тем, согласно отчету об исполнении областного бюджета за 2015 год аналогичный показатель составляет 9055640,2 тыс. рублей, что меньше суммы, представленной в докладе на 9,4 тыс. рублей.</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1A299F">
        <w:rPr>
          <w:rFonts w:ascii="Times New Roman" w:eastAsia="Times New Roman" w:hAnsi="Times New Roman" w:cs="Times New Roman"/>
          <w:b/>
          <w:i/>
          <w:sz w:val="24"/>
          <w:szCs w:val="24"/>
          <w:lang w:eastAsia="ru-RU"/>
        </w:rPr>
        <w:t xml:space="preserve">Таким образом, доклад о ходе реализации и об оценке эффективности государственных программ области, представленный одновременно с годовым отчетом об исполнении областного бюджета за 2015 год, содержит недостоверную информацию о плановых и исполненных объемах финансовых средств по государственной программе </w:t>
      </w:r>
      <w:r w:rsidRPr="001A299F">
        <w:rPr>
          <w:rFonts w:ascii="Times New Roman" w:hAnsi="Times New Roman" w:cs="Times New Roman"/>
          <w:b/>
          <w:i/>
          <w:sz w:val="24"/>
          <w:szCs w:val="24"/>
        </w:rPr>
        <w:t>«</w:t>
      </w:r>
      <w:r w:rsidRPr="001A299F">
        <w:rPr>
          <w:rFonts w:ascii="Times New Roman" w:eastAsia="Times New Roman" w:hAnsi="Times New Roman" w:cs="Times New Roman"/>
          <w:b/>
          <w:i/>
          <w:sz w:val="24"/>
          <w:szCs w:val="24"/>
          <w:lang w:eastAsia="ru-RU"/>
        </w:rPr>
        <w:t>Развитие системы социальной защиты населения Аму</w:t>
      </w:r>
      <w:r w:rsidR="00B81EDA">
        <w:rPr>
          <w:rFonts w:ascii="Times New Roman" w:eastAsia="Times New Roman" w:hAnsi="Times New Roman" w:cs="Times New Roman"/>
          <w:b/>
          <w:i/>
          <w:sz w:val="24"/>
          <w:szCs w:val="24"/>
          <w:lang w:eastAsia="ru-RU"/>
        </w:rPr>
        <w:t>рской области на 2014-2020 гг.»</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1A299F">
        <w:rPr>
          <w:rFonts w:ascii="Times New Roman" w:eastAsia="Times New Roman" w:hAnsi="Times New Roman" w:cs="Times New Roman"/>
          <w:b/>
          <w:i/>
          <w:sz w:val="24"/>
          <w:szCs w:val="24"/>
          <w:lang w:eastAsia="ru-RU"/>
        </w:rPr>
        <w:t>Отражение в докладе показателей объема бюджетных ассигнований и показателей о кассовом исполнении государственных программ, несоответствующих аналогичным показателям, предусмотренным сводной бюджетной росписью расходов, и показателям годового отчета об исполнении областного бюджета, противоречит положениям Порядка принятия решений о разработке государственных программ Амурской области, их формирования и реализации, а также проведения оценки эффективности, утвержденного постановлением Правительства Амурской области от 29.07.2013 № 329.</w:t>
      </w:r>
    </w:p>
    <w:p w:rsidR="001A299F" w:rsidRPr="00950A56"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lastRenderedPageBreak/>
        <w:t>Основные направления исполнения расходов областного бюджета за 2015 год по государственной программе «</w:t>
      </w:r>
      <w:r w:rsidRPr="001A299F">
        <w:rPr>
          <w:rFonts w:ascii="Times New Roman" w:eastAsia="Times New Roman" w:hAnsi="Times New Roman" w:cs="Times New Roman"/>
          <w:sz w:val="24"/>
          <w:szCs w:val="24"/>
          <w:lang w:eastAsia="ru-RU"/>
        </w:rPr>
        <w:t xml:space="preserve">Развитие системы социальной защиты населения Амурской области на 2014-2020 гг.» представлены на </w:t>
      </w:r>
      <w:r w:rsidRPr="00950A56">
        <w:rPr>
          <w:rFonts w:ascii="Times New Roman" w:eastAsia="Times New Roman" w:hAnsi="Times New Roman" w:cs="Times New Roman"/>
          <w:sz w:val="24"/>
          <w:szCs w:val="24"/>
          <w:lang w:eastAsia="ru-RU"/>
        </w:rPr>
        <w:t>рисунке</w:t>
      </w:r>
      <w:r w:rsidR="00950A56" w:rsidRPr="00950A56">
        <w:rPr>
          <w:rFonts w:ascii="Times New Roman" w:eastAsia="Times New Roman" w:hAnsi="Times New Roman" w:cs="Times New Roman"/>
          <w:sz w:val="24"/>
          <w:szCs w:val="24"/>
          <w:lang w:eastAsia="ru-RU"/>
        </w:rPr>
        <w:t xml:space="preserve"> 24</w:t>
      </w:r>
      <w:r w:rsidRPr="00950A56">
        <w:rPr>
          <w:rFonts w:ascii="Times New Roman" w:eastAsia="Times New Roman" w:hAnsi="Times New Roman" w:cs="Times New Roman"/>
          <w:sz w:val="24"/>
          <w:szCs w:val="24"/>
          <w:lang w:eastAsia="ru-RU"/>
        </w:rPr>
        <w:t>.</w:t>
      </w:r>
    </w:p>
    <w:p w:rsidR="001A299F" w:rsidRPr="00B81EDA" w:rsidRDefault="001A299F" w:rsidP="001A299F">
      <w:pPr>
        <w:spacing w:after="0" w:line="240" w:lineRule="auto"/>
        <w:ind w:firstLine="709"/>
        <w:jc w:val="both"/>
        <w:rPr>
          <w:rFonts w:ascii="Times New Roman" w:hAnsi="Times New Roman" w:cs="Times New Roman"/>
          <w:sz w:val="24"/>
          <w:szCs w:val="24"/>
        </w:rPr>
      </w:pPr>
    </w:p>
    <w:p w:rsidR="00614C10" w:rsidRPr="00B81EDA" w:rsidRDefault="00614C10" w:rsidP="001A299F">
      <w:pPr>
        <w:spacing w:after="0" w:line="240" w:lineRule="auto"/>
        <w:ind w:firstLine="709"/>
        <w:jc w:val="both"/>
        <w:rPr>
          <w:rFonts w:ascii="Times New Roman" w:hAnsi="Times New Roman" w:cs="Times New Roman"/>
          <w:sz w:val="24"/>
          <w:szCs w:val="24"/>
        </w:rPr>
      </w:pPr>
    </w:p>
    <w:p w:rsidR="001A299F" w:rsidRDefault="001A299F" w:rsidP="00B05D33">
      <w:pPr>
        <w:spacing w:after="0" w:line="240" w:lineRule="auto"/>
        <w:ind w:firstLine="284"/>
        <w:jc w:val="both"/>
        <w:rPr>
          <w:rFonts w:ascii="Times New Roman" w:hAnsi="Times New Roman" w:cs="Times New Roman"/>
          <w:sz w:val="24"/>
          <w:szCs w:val="24"/>
        </w:rPr>
      </w:pPr>
      <w:r w:rsidRPr="001A299F">
        <w:rPr>
          <w:rFonts w:ascii="Times New Roman" w:hAnsi="Times New Roman" w:cs="Times New Roman"/>
          <w:noProof/>
          <w:sz w:val="24"/>
          <w:szCs w:val="24"/>
          <w:lang w:eastAsia="ru-RU"/>
        </w:rPr>
        <w:drawing>
          <wp:inline distT="0" distB="0" distL="0" distR="0" wp14:anchorId="5FD9DD24" wp14:editId="44058A77">
            <wp:extent cx="5962650" cy="35623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14C10" w:rsidRPr="001A299F" w:rsidRDefault="00614C10" w:rsidP="001A299F">
      <w:pPr>
        <w:spacing w:after="0" w:line="240" w:lineRule="auto"/>
        <w:ind w:firstLine="709"/>
        <w:jc w:val="both"/>
        <w:rPr>
          <w:rFonts w:ascii="Times New Roman" w:hAnsi="Times New Roman" w:cs="Times New Roman"/>
          <w:sz w:val="24"/>
          <w:szCs w:val="24"/>
        </w:rPr>
      </w:pPr>
    </w:p>
    <w:p w:rsidR="001A299F" w:rsidRPr="001A299F" w:rsidRDefault="001A299F" w:rsidP="001A299F">
      <w:pPr>
        <w:spacing w:after="0" w:line="240" w:lineRule="auto"/>
        <w:ind w:firstLine="709"/>
        <w:jc w:val="center"/>
        <w:rPr>
          <w:rFonts w:ascii="Times New Roman" w:hAnsi="Times New Roman" w:cs="Times New Roman"/>
          <w:b/>
          <w:sz w:val="24"/>
          <w:szCs w:val="24"/>
        </w:rPr>
      </w:pPr>
      <w:r w:rsidRPr="00614C10">
        <w:rPr>
          <w:rFonts w:ascii="Times New Roman" w:hAnsi="Times New Roman" w:cs="Times New Roman"/>
          <w:b/>
          <w:sz w:val="24"/>
          <w:szCs w:val="24"/>
        </w:rPr>
        <w:t xml:space="preserve">Рис. </w:t>
      </w:r>
      <w:r w:rsidR="00614C10" w:rsidRPr="00614C10">
        <w:rPr>
          <w:rFonts w:ascii="Times New Roman" w:hAnsi="Times New Roman" w:cs="Times New Roman"/>
          <w:b/>
          <w:sz w:val="24"/>
          <w:szCs w:val="24"/>
        </w:rPr>
        <w:t xml:space="preserve">24 - </w:t>
      </w:r>
      <w:r w:rsidRPr="001A299F">
        <w:rPr>
          <w:rFonts w:ascii="Times New Roman" w:hAnsi="Times New Roman" w:cs="Times New Roman"/>
          <w:b/>
          <w:sz w:val="24"/>
          <w:szCs w:val="24"/>
        </w:rPr>
        <w:t>Основные направления исполнения расходов областного бюджета за</w:t>
      </w:r>
      <w:r w:rsidRPr="001A299F">
        <w:rPr>
          <w:rFonts w:ascii="Times New Roman" w:hAnsi="Times New Roman" w:cs="Times New Roman"/>
          <w:b/>
          <w:sz w:val="24"/>
          <w:szCs w:val="24"/>
        </w:rPr>
        <w:br/>
        <w:t>2015 год по государственной программе «</w:t>
      </w:r>
      <w:r w:rsidRPr="001A299F">
        <w:rPr>
          <w:rFonts w:ascii="Times New Roman" w:eastAsia="Times New Roman" w:hAnsi="Times New Roman" w:cs="Times New Roman"/>
          <w:b/>
          <w:sz w:val="24"/>
          <w:szCs w:val="24"/>
          <w:lang w:eastAsia="ru-RU"/>
        </w:rPr>
        <w:t>Развитие системы социальной защиты населения Амурской области на 2014-2020 гг.», млн. руб.</w:t>
      </w:r>
    </w:p>
    <w:p w:rsidR="00614C10" w:rsidRPr="001A299F" w:rsidRDefault="00614C10" w:rsidP="001A299F">
      <w:pPr>
        <w:spacing w:after="0" w:line="240" w:lineRule="auto"/>
        <w:ind w:firstLine="709"/>
        <w:jc w:val="center"/>
        <w:rPr>
          <w:rFonts w:ascii="Times New Roman" w:hAnsi="Times New Roman" w:cs="Times New Roman"/>
          <w:sz w:val="24"/>
          <w:szCs w:val="24"/>
        </w:rPr>
      </w:pPr>
    </w:p>
    <w:p w:rsidR="001A299F" w:rsidRPr="001A299F" w:rsidRDefault="001A299F" w:rsidP="001A299F">
      <w:pPr>
        <w:spacing w:after="0" w:line="240" w:lineRule="auto"/>
        <w:ind w:firstLine="709"/>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5.</w:t>
      </w:r>
      <w:r w:rsidR="00614C10">
        <w:rPr>
          <w:rFonts w:ascii="Times New Roman" w:eastAsia="Times New Roman" w:hAnsi="Times New Roman" w:cs="Times New Roman"/>
          <w:b/>
          <w:sz w:val="24"/>
          <w:szCs w:val="24"/>
          <w:lang w:eastAsia="ru-RU"/>
        </w:rPr>
        <w:t>3</w:t>
      </w:r>
      <w:r w:rsidRPr="001A299F">
        <w:rPr>
          <w:rFonts w:ascii="Times New Roman" w:eastAsia="Times New Roman" w:hAnsi="Times New Roman" w:cs="Times New Roman"/>
          <w:b/>
          <w:sz w:val="24"/>
          <w:szCs w:val="24"/>
          <w:lang w:eastAsia="ru-RU"/>
        </w:rPr>
        <w:t>. Исполнение расходов областного бюджета за 2015 год в рамках государственной программы «Развитие и сохранение культуры и искусства Амурской области на 2014-2020 годы»</w:t>
      </w:r>
    </w:p>
    <w:p w:rsidR="001A299F" w:rsidRPr="001A299F" w:rsidRDefault="001A299F" w:rsidP="001A2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«Развитие и сохранение культуры и искусства Амурской области на 2014-2020 годы» утверждена постановлением Правительства Амурской области от 25.09.2013 № 443 (в редакции постановления Правительства Амурской области от 09.12.2015 № 585). Координатором государственной программы является министерство культуры и архивного дела Амурской области. Участниками государственной программы являются - министерство культуры и архивного дела Амурской области, министерство внешнеэкономических связей, туризма и предпринимательства Амурской области, министерство внутренней и информационной политики Амурской области, министерство транспорта и строительства Амурской области.</w:t>
      </w:r>
    </w:p>
    <w:p w:rsidR="001A299F" w:rsidRPr="001A299F" w:rsidRDefault="001A299F" w:rsidP="001A2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Законом Амурской области «Об областном бюджете на 2015 год и плановый период 2016 и 2017 годов» (ред. от 25.12.2015) на реализацию государственной программы «Развитие и сохранение культуры и искусства Амурской области на 2014-2020 годы» утверждены бюджетные ассигнования в сумме 291721,6 тыс. рублей.</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Сводной бюджетной росписью расходов областного бюджета на 2015 год на реализацию программы предусмотрено 292760,3 тыс. рублей. Отклонение бюджетных ассигнований, утвержденных законом об областном бюджете, от бюджетных ассигнований, утвержденных сводной бюджетной росписью, составляет 1038,7 тыс. рублей – средства федерального бюджета на поддержку экономического и социального развития коренных малочисленных народов Сев</w:t>
      </w:r>
      <w:r w:rsidR="006972B9">
        <w:rPr>
          <w:rFonts w:ascii="Times New Roman" w:eastAsia="Times New Roman" w:hAnsi="Times New Roman" w:cs="Times New Roman"/>
          <w:sz w:val="24"/>
          <w:szCs w:val="24"/>
          <w:lang w:eastAsia="ru-RU"/>
        </w:rPr>
        <w:t>ера, Сибири и Дальнего Востока.</w:t>
      </w:r>
    </w:p>
    <w:p w:rsidR="001A299F" w:rsidRPr="001A299F" w:rsidRDefault="001A299F" w:rsidP="001A299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Объем бюджетных ассигнований, утвержденный в государственной программе </w:t>
      </w:r>
      <w:r w:rsidRPr="001A299F">
        <w:rPr>
          <w:rFonts w:ascii="Times New Roman" w:eastAsia="Times New Roman" w:hAnsi="Times New Roman" w:cs="Times New Roman"/>
          <w:sz w:val="24"/>
          <w:szCs w:val="24"/>
          <w:lang w:eastAsia="ru-RU"/>
        </w:rPr>
        <w:lastRenderedPageBreak/>
        <w:t>постановлением Правительства Амурской области от 25.09.2013 № 443 (в редакции постановления Правительства Амурской области от 09.12.2015 № 585) соответствует объему бюджетных ассигнований, утвержденному в законе об областном бюджете, и с</w:t>
      </w:r>
      <w:r w:rsidR="006972B9">
        <w:rPr>
          <w:rFonts w:ascii="Times New Roman" w:eastAsia="Times New Roman" w:hAnsi="Times New Roman" w:cs="Times New Roman"/>
          <w:sz w:val="24"/>
          <w:szCs w:val="24"/>
          <w:lang w:eastAsia="ru-RU"/>
        </w:rPr>
        <w:t>оставляет 291721,6 тыс. рублей.</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Исполнение бюджетных назначений, предусмотренных на реализацию программы сводной бюджетной росписью расходов, составило 278432,9 тыс. рублей, или 95,1 процента плановых назначений.</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«Развитие и сохранение культуры и искусства Амурской области на 2014-2020 годы» включает 8 подпрограмм.</w:t>
      </w:r>
    </w:p>
    <w:p w:rsidR="001A299F" w:rsidRPr="00614C10"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В таблице 6 представлена информация об исполнении государственной программы «Развитие и сохранение культуры и искусства Амурской области на 2014-2020 годы» в разрезе подпрограмм.</w:t>
      </w:r>
    </w:p>
    <w:p w:rsidR="001A299F" w:rsidRPr="00614C10" w:rsidRDefault="001A299F" w:rsidP="001A299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Таблица 6</w:t>
      </w:r>
    </w:p>
    <w:p w:rsidR="001A299F" w:rsidRPr="00614C10" w:rsidRDefault="001A299F" w:rsidP="001A299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Анализ исполнения государственной программы «Развитие и сохранение культуры и искусства Амурской области на 2014-2020 годы» в разрезе подпрограмм</w:t>
      </w:r>
    </w:p>
    <w:p w:rsidR="001A299F" w:rsidRPr="001A299F" w:rsidRDefault="001A299F" w:rsidP="001A29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тыс. рублей</w:t>
      </w:r>
    </w:p>
    <w:tbl>
      <w:tblPr>
        <w:tblStyle w:val="a6"/>
        <w:tblW w:w="0" w:type="auto"/>
        <w:tblLook w:val="04A0" w:firstRow="1" w:lastRow="0" w:firstColumn="1" w:lastColumn="0" w:noHBand="0" w:noVBand="1"/>
      </w:tblPr>
      <w:tblGrid>
        <w:gridCol w:w="3582"/>
        <w:gridCol w:w="1265"/>
        <w:gridCol w:w="1531"/>
        <w:gridCol w:w="1805"/>
        <w:gridCol w:w="1670"/>
      </w:tblGrid>
      <w:tr w:rsidR="001A299F" w:rsidRPr="001A299F" w:rsidTr="001A299F">
        <w:trPr>
          <w:tblHeader/>
        </w:trPr>
        <w:tc>
          <w:tcPr>
            <w:tcW w:w="3785" w:type="dxa"/>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Наименование государственной программы/подпрограммы</w:t>
            </w:r>
          </w:p>
        </w:tc>
        <w:tc>
          <w:tcPr>
            <w:tcW w:w="1344" w:type="dxa"/>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План</w:t>
            </w:r>
          </w:p>
        </w:tc>
        <w:tc>
          <w:tcPr>
            <w:tcW w:w="1463" w:type="dxa"/>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Исполнение</w:t>
            </w:r>
          </w:p>
        </w:tc>
        <w:tc>
          <w:tcPr>
            <w:tcW w:w="1682" w:type="dxa"/>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Уровень исполнения,%</w:t>
            </w:r>
          </w:p>
        </w:tc>
        <w:tc>
          <w:tcPr>
            <w:tcW w:w="1579" w:type="dxa"/>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Не исполненные  назначения</w:t>
            </w:r>
          </w:p>
        </w:tc>
      </w:tr>
      <w:tr w:rsidR="001A299F" w:rsidRPr="001A299F" w:rsidTr="001A299F">
        <w:tc>
          <w:tcPr>
            <w:tcW w:w="3785" w:type="dxa"/>
          </w:tcPr>
          <w:p w:rsidR="001A299F" w:rsidRPr="001A299F" w:rsidRDefault="001A299F" w:rsidP="001A299F">
            <w:pPr>
              <w:widowControl w:val="0"/>
              <w:autoSpaceDE w:val="0"/>
              <w:autoSpaceDN w:val="0"/>
              <w:adjustRightInd w:val="0"/>
              <w:rPr>
                <w:b/>
                <w:bCs/>
                <w:sz w:val="24"/>
                <w:szCs w:val="24"/>
              </w:rPr>
            </w:pPr>
            <w:r w:rsidRPr="001A299F">
              <w:rPr>
                <w:b/>
                <w:bCs/>
                <w:sz w:val="24"/>
                <w:szCs w:val="24"/>
              </w:rPr>
              <w:t>Государственная программа «</w:t>
            </w:r>
            <w:r w:rsidRPr="001A299F">
              <w:rPr>
                <w:b/>
                <w:sz w:val="24"/>
                <w:szCs w:val="24"/>
              </w:rPr>
              <w:t>Развитие и сохранение культуры и искусства Амурской области на 2014-2020 годы»</w:t>
            </w:r>
            <w:r w:rsidRPr="001A299F">
              <w:rPr>
                <w:b/>
                <w:bCs/>
                <w:sz w:val="24"/>
                <w:szCs w:val="24"/>
              </w:rPr>
              <w:t xml:space="preserve">, </w:t>
            </w:r>
          </w:p>
        </w:tc>
        <w:tc>
          <w:tcPr>
            <w:tcW w:w="1344" w:type="dxa"/>
            <w:vAlign w:val="center"/>
          </w:tcPr>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292760,3</w:t>
            </w:r>
          </w:p>
        </w:tc>
        <w:tc>
          <w:tcPr>
            <w:tcW w:w="1463" w:type="dxa"/>
            <w:vAlign w:val="center"/>
          </w:tcPr>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278432,9</w:t>
            </w:r>
          </w:p>
        </w:tc>
        <w:tc>
          <w:tcPr>
            <w:tcW w:w="1682" w:type="dxa"/>
            <w:vAlign w:val="center"/>
          </w:tcPr>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95,1</w:t>
            </w:r>
          </w:p>
        </w:tc>
        <w:tc>
          <w:tcPr>
            <w:tcW w:w="1579" w:type="dxa"/>
            <w:vAlign w:val="center"/>
          </w:tcPr>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14327,4</w:t>
            </w:r>
          </w:p>
        </w:tc>
      </w:tr>
      <w:tr w:rsidR="001A299F" w:rsidRPr="001A299F" w:rsidTr="001A299F">
        <w:tc>
          <w:tcPr>
            <w:tcW w:w="3785" w:type="dxa"/>
          </w:tcPr>
          <w:p w:rsidR="001A299F" w:rsidRPr="001A299F" w:rsidRDefault="001A299F" w:rsidP="001A299F">
            <w:pPr>
              <w:widowControl w:val="0"/>
              <w:autoSpaceDE w:val="0"/>
              <w:autoSpaceDN w:val="0"/>
              <w:adjustRightInd w:val="0"/>
              <w:jc w:val="both"/>
              <w:rPr>
                <w:sz w:val="24"/>
                <w:szCs w:val="24"/>
              </w:rPr>
            </w:pPr>
            <w:r w:rsidRPr="001A299F">
              <w:rPr>
                <w:bCs/>
                <w:sz w:val="24"/>
                <w:szCs w:val="24"/>
              </w:rPr>
              <w:t>в том числе:</w:t>
            </w:r>
          </w:p>
        </w:tc>
        <w:tc>
          <w:tcPr>
            <w:tcW w:w="1344" w:type="dxa"/>
          </w:tcPr>
          <w:p w:rsidR="001A299F" w:rsidRPr="001A299F" w:rsidRDefault="001A299F" w:rsidP="001A299F">
            <w:pPr>
              <w:widowControl w:val="0"/>
              <w:autoSpaceDE w:val="0"/>
              <w:autoSpaceDN w:val="0"/>
              <w:adjustRightInd w:val="0"/>
              <w:jc w:val="right"/>
              <w:rPr>
                <w:sz w:val="24"/>
                <w:szCs w:val="24"/>
              </w:rPr>
            </w:pPr>
          </w:p>
        </w:tc>
        <w:tc>
          <w:tcPr>
            <w:tcW w:w="1463" w:type="dxa"/>
          </w:tcPr>
          <w:p w:rsidR="001A299F" w:rsidRPr="001A299F" w:rsidRDefault="001A299F" w:rsidP="001A299F">
            <w:pPr>
              <w:widowControl w:val="0"/>
              <w:autoSpaceDE w:val="0"/>
              <w:autoSpaceDN w:val="0"/>
              <w:adjustRightInd w:val="0"/>
              <w:jc w:val="right"/>
              <w:rPr>
                <w:sz w:val="24"/>
                <w:szCs w:val="24"/>
              </w:rPr>
            </w:pPr>
          </w:p>
        </w:tc>
        <w:tc>
          <w:tcPr>
            <w:tcW w:w="1682" w:type="dxa"/>
          </w:tcPr>
          <w:p w:rsidR="001A299F" w:rsidRPr="001A299F" w:rsidRDefault="001A299F" w:rsidP="001A299F">
            <w:pPr>
              <w:widowControl w:val="0"/>
              <w:autoSpaceDE w:val="0"/>
              <w:autoSpaceDN w:val="0"/>
              <w:adjustRightInd w:val="0"/>
              <w:jc w:val="right"/>
              <w:rPr>
                <w:sz w:val="24"/>
                <w:szCs w:val="24"/>
              </w:rPr>
            </w:pPr>
          </w:p>
        </w:tc>
        <w:tc>
          <w:tcPr>
            <w:tcW w:w="1579" w:type="dxa"/>
          </w:tcPr>
          <w:p w:rsidR="001A299F" w:rsidRPr="001A299F" w:rsidRDefault="001A299F" w:rsidP="001A299F">
            <w:pPr>
              <w:widowControl w:val="0"/>
              <w:autoSpaceDE w:val="0"/>
              <w:autoSpaceDN w:val="0"/>
              <w:adjustRightInd w:val="0"/>
              <w:jc w:val="right"/>
              <w:rPr>
                <w:sz w:val="24"/>
                <w:szCs w:val="24"/>
              </w:rPr>
            </w:pPr>
          </w:p>
        </w:tc>
      </w:tr>
      <w:tr w:rsidR="001A299F" w:rsidRPr="001A299F" w:rsidTr="001A299F">
        <w:tc>
          <w:tcPr>
            <w:tcW w:w="3785"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Подпрограмма «Профессиональное искусство»</w:t>
            </w:r>
          </w:p>
        </w:tc>
        <w:tc>
          <w:tcPr>
            <w:tcW w:w="1344"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91122,2</w:t>
            </w:r>
          </w:p>
        </w:tc>
        <w:tc>
          <w:tcPr>
            <w:tcW w:w="1463"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78372,3</w:t>
            </w:r>
          </w:p>
        </w:tc>
        <w:tc>
          <w:tcPr>
            <w:tcW w:w="1682"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86,0</w:t>
            </w:r>
          </w:p>
        </w:tc>
        <w:tc>
          <w:tcPr>
            <w:tcW w:w="157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12749,9</w:t>
            </w:r>
          </w:p>
        </w:tc>
      </w:tr>
      <w:tr w:rsidR="001A299F" w:rsidRPr="001A299F" w:rsidTr="001A299F">
        <w:tc>
          <w:tcPr>
            <w:tcW w:w="3785"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Подпрограмма «Народное творчество и досуговая деятельность»</w:t>
            </w:r>
          </w:p>
        </w:tc>
        <w:tc>
          <w:tcPr>
            <w:tcW w:w="1344"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28111,3</w:t>
            </w:r>
          </w:p>
        </w:tc>
        <w:tc>
          <w:tcPr>
            <w:tcW w:w="1463"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28111,3</w:t>
            </w:r>
          </w:p>
        </w:tc>
        <w:tc>
          <w:tcPr>
            <w:tcW w:w="1682"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100,0</w:t>
            </w:r>
          </w:p>
        </w:tc>
        <w:tc>
          <w:tcPr>
            <w:tcW w:w="157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w:t>
            </w:r>
          </w:p>
        </w:tc>
      </w:tr>
      <w:tr w:rsidR="001A299F" w:rsidRPr="001A299F" w:rsidTr="001A299F">
        <w:tc>
          <w:tcPr>
            <w:tcW w:w="3785"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Подпрограмма «Архивное дело»</w:t>
            </w:r>
          </w:p>
        </w:tc>
        <w:tc>
          <w:tcPr>
            <w:tcW w:w="1344" w:type="dxa"/>
          </w:tcPr>
          <w:p w:rsidR="001A299F" w:rsidRPr="001A299F" w:rsidRDefault="001A299F" w:rsidP="001A299F">
            <w:pPr>
              <w:widowControl w:val="0"/>
              <w:autoSpaceDE w:val="0"/>
              <w:autoSpaceDN w:val="0"/>
              <w:adjustRightInd w:val="0"/>
              <w:jc w:val="center"/>
              <w:rPr>
                <w:sz w:val="24"/>
                <w:szCs w:val="24"/>
              </w:rPr>
            </w:pPr>
            <w:r w:rsidRPr="001A299F">
              <w:rPr>
                <w:sz w:val="24"/>
                <w:szCs w:val="24"/>
              </w:rPr>
              <w:t>10849,9</w:t>
            </w:r>
          </w:p>
        </w:tc>
        <w:tc>
          <w:tcPr>
            <w:tcW w:w="1463" w:type="dxa"/>
          </w:tcPr>
          <w:p w:rsidR="001A299F" w:rsidRPr="001A299F" w:rsidRDefault="001A299F" w:rsidP="001A299F">
            <w:pPr>
              <w:widowControl w:val="0"/>
              <w:autoSpaceDE w:val="0"/>
              <w:autoSpaceDN w:val="0"/>
              <w:adjustRightInd w:val="0"/>
              <w:jc w:val="center"/>
              <w:rPr>
                <w:sz w:val="24"/>
                <w:szCs w:val="24"/>
              </w:rPr>
            </w:pPr>
            <w:r w:rsidRPr="001A299F">
              <w:rPr>
                <w:sz w:val="24"/>
                <w:szCs w:val="24"/>
              </w:rPr>
              <w:t>10849,9</w:t>
            </w:r>
          </w:p>
        </w:tc>
        <w:tc>
          <w:tcPr>
            <w:tcW w:w="1682" w:type="dxa"/>
          </w:tcPr>
          <w:p w:rsidR="001A299F" w:rsidRPr="001A299F" w:rsidRDefault="001A299F" w:rsidP="001A299F">
            <w:pPr>
              <w:widowControl w:val="0"/>
              <w:autoSpaceDE w:val="0"/>
              <w:autoSpaceDN w:val="0"/>
              <w:adjustRightInd w:val="0"/>
              <w:jc w:val="center"/>
              <w:rPr>
                <w:sz w:val="24"/>
                <w:szCs w:val="24"/>
              </w:rPr>
            </w:pPr>
            <w:r w:rsidRPr="001A299F">
              <w:rPr>
                <w:sz w:val="24"/>
                <w:szCs w:val="24"/>
              </w:rPr>
              <w:t>100,0</w:t>
            </w:r>
          </w:p>
        </w:tc>
        <w:tc>
          <w:tcPr>
            <w:tcW w:w="1579" w:type="dxa"/>
          </w:tcPr>
          <w:p w:rsidR="001A299F" w:rsidRPr="001A299F" w:rsidRDefault="001A299F" w:rsidP="001A299F">
            <w:pPr>
              <w:widowControl w:val="0"/>
              <w:autoSpaceDE w:val="0"/>
              <w:autoSpaceDN w:val="0"/>
              <w:adjustRightInd w:val="0"/>
              <w:jc w:val="center"/>
              <w:rPr>
                <w:sz w:val="24"/>
                <w:szCs w:val="24"/>
              </w:rPr>
            </w:pPr>
            <w:r w:rsidRPr="001A299F">
              <w:rPr>
                <w:sz w:val="24"/>
                <w:szCs w:val="24"/>
              </w:rPr>
              <w:t>-</w:t>
            </w:r>
          </w:p>
        </w:tc>
      </w:tr>
      <w:tr w:rsidR="001A299F" w:rsidRPr="001A299F" w:rsidTr="001A299F">
        <w:tc>
          <w:tcPr>
            <w:tcW w:w="3785"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Подпрограмма «Историко-культурное наследие»</w:t>
            </w:r>
          </w:p>
        </w:tc>
        <w:tc>
          <w:tcPr>
            <w:tcW w:w="1344"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23420,8</w:t>
            </w:r>
          </w:p>
        </w:tc>
        <w:tc>
          <w:tcPr>
            <w:tcW w:w="1463"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23420,8</w:t>
            </w:r>
          </w:p>
        </w:tc>
        <w:tc>
          <w:tcPr>
            <w:tcW w:w="1682"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100,0</w:t>
            </w:r>
          </w:p>
        </w:tc>
        <w:tc>
          <w:tcPr>
            <w:tcW w:w="157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w:t>
            </w:r>
          </w:p>
        </w:tc>
      </w:tr>
      <w:tr w:rsidR="001A299F" w:rsidRPr="001A299F" w:rsidTr="001A299F">
        <w:tc>
          <w:tcPr>
            <w:tcW w:w="3785"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 xml:space="preserve">Подпрограмма «Этнокультурное наследие» </w:t>
            </w:r>
          </w:p>
        </w:tc>
        <w:tc>
          <w:tcPr>
            <w:tcW w:w="1344"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1425,1</w:t>
            </w:r>
          </w:p>
        </w:tc>
        <w:tc>
          <w:tcPr>
            <w:tcW w:w="1463"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1425,1</w:t>
            </w:r>
          </w:p>
        </w:tc>
        <w:tc>
          <w:tcPr>
            <w:tcW w:w="1682"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100,0</w:t>
            </w:r>
          </w:p>
        </w:tc>
        <w:tc>
          <w:tcPr>
            <w:tcW w:w="157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w:t>
            </w:r>
          </w:p>
        </w:tc>
      </w:tr>
      <w:tr w:rsidR="001A299F" w:rsidRPr="001A299F" w:rsidTr="001A299F">
        <w:tc>
          <w:tcPr>
            <w:tcW w:w="3785"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 xml:space="preserve">Подпрограмма «Библиотечное обслуживание» </w:t>
            </w:r>
          </w:p>
        </w:tc>
        <w:tc>
          <w:tcPr>
            <w:tcW w:w="1344"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27540,7</w:t>
            </w:r>
          </w:p>
        </w:tc>
        <w:tc>
          <w:tcPr>
            <w:tcW w:w="1463"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27154,8</w:t>
            </w:r>
          </w:p>
        </w:tc>
        <w:tc>
          <w:tcPr>
            <w:tcW w:w="1682"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98,6</w:t>
            </w:r>
          </w:p>
        </w:tc>
        <w:tc>
          <w:tcPr>
            <w:tcW w:w="157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385,9</w:t>
            </w:r>
          </w:p>
        </w:tc>
      </w:tr>
      <w:tr w:rsidR="001A299F" w:rsidRPr="001A299F" w:rsidTr="001A299F">
        <w:tc>
          <w:tcPr>
            <w:tcW w:w="3785"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 xml:space="preserve">Подпрограмма «Мероприятия в сфере культуры и искусства» </w:t>
            </w:r>
          </w:p>
        </w:tc>
        <w:tc>
          <w:tcPr>
            <w:tcW w:w="1344"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17375,8</w:t>
            </w:r>
          </w:p>
        </w:tc>
        <w:tc>
          <w:tcPr>
            <w:tcW w:w="1463"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17253,5</w:t>
            </w:r>
          </w:p>
        </w:tc>
        <w:tc>
          <w:tcPr>
            <w:tcW w:w="1682"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99,3</w:t>
            </w:r>
          </w:p>
        </w:tc>
        <w:tc>
          <w:tcPr>
            <w:tcW w:w="157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122,3</w:t>
            </w:r>
          </w:p>
        </w:tc>
      </w:tr>
      <w:tr w:rsidR="001A299F" w:rsidRPr="001A299F" w:rsidTr="001A299F">
        <w:tc>
          <w:tcPr>
            <w:tcW w:w="3785"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344"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92914,5</w:t>
            </w:r>
          </w:p>
        </w:tc>
        <w:tc>
          <w:tcPr>
            <w:tcW w:w="1463"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91845,2</w:t>
            </w:r>
          </w:p>
        </w:tc>
        <w:tc>
          <w:tcPr>
            <w:tcW w:w="1682"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98,8</w:t>
            </w:r>
          </w:p>
        </w:tc>
        <w:tc>
          <w:tcPr>
            <w:tcW w:w="157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1069,3</w:t>
            </w:r>
          </w:p>
        </w:tc>
      </w:tr>
    </w:tbl>
    <w:p w:rsidR="001A299F" w:rsidRPr="001A299F" w:rsidRDefault="001A299F" w:rsidP="001A29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299F" w:rsidRPr="001A299F" w:rsidRDefault="001A299F" w:rsidP="00F60552">
      <w:pPr>
        <w:widowControl w:val="0"/>
        <w:numPr>
          <w:ilvl w:val="0"/>
          <w:numId w:val="7"/>
        </w:numPr>
        <w:autoSpaceDE w:val="0"/>
        <w:autoSpaceDN w:val="0"/>
        <w:adjustRightInd w:val="0"/>
        <w:spacing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«Профессиональное искусство»</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«Профессиональное искусство» утверждены в расходах областного бюджета по целевой статье расходов 0310000 в сумме 91122,2 тыс. рублей. В общем объеме расходов государственной программы доля расходов по данной подпрограмме составляет 31,1 процента.</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86,0 процентов.</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lastRenderedPageBreak/>
        <w:t>В структуре расходов подпрограммы наибольший объем приходится на расходы по обеспечению деятельности (оказанию услуг) государственных учреждений – 97,9 процента, или 89183,7 тыс. рублей. Исполнение по данному мероприятию подпрограммы за 2015 год составляет 77817,7 тыс. рублей, или 87,3 процента.</w:t>
      </w:r>
    </w:p>
    <w:p w:rsidR="001A299F" w:rsidRPr="001A299F" w:rsidRDefault="001A299F" w:rsidP="001A299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Бюджетные ассигнования, предусмотренные на реализацию программного мероприятия – капитальные вложения в объекты государственной собственности (р</w:t>
      </w:r>
      <w:r w:rsidRPr="001A299F">
        <w:rPr>
          <w:rFonts w:ascii="Times New Roman" w:hAnsi="Times New Roman" w:cs="Times New Roman"/>
          <w:sz w:val="24"/>
          <w:szCs w:val="24"/>
        </w:rPr>
        <w:t xml:space="preserve">еконструкция, техническое перевооружение (переоснащение) ГАУК АО «Амурская областная филармония») </w:t>
      </w:r>
      <w:r w:rsidRPr="001A299F">
        <w:rPr>
          <w:rFonts w:ascii="Times New Roman" w:eastAsia="Times New Roman" w:hAnsi="Times New Roman" w:cs="Times New Roman"/>
          <w:sz w:val="24"/>
          <w:szCs w:val="24"/>
          <w:lang w:eastAsia="ru-RU"/>
        </w:rPr>
        <w:t>исполнены в объеме 554,6 тыс. рублей, при плановых назначениях 1938,5 тыс. рублей, или 28,6 процента плановых назначений. В структуре расходов подпрограммы расходы на реализацию указанного мероприятия составляют 2,1 процента.</w:t>
      </w:r>
    </w:p>
    <w:p w:rsidR="001A299F" w:rsidRPr="001A299F" w:rsidRDefault="001A299F" w:rsidP="00F60552">
      <w:pPr>
        <w:widowControl w:val="0"/>
        <w:numPr>
          <w:ilvl w:val="0"/>
          <w:numId w:val="7"/>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«Народное творчество и досуговая деятельность»</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«Народное творчество и досуговая деятельность» утверждены в расходах областного бюджета по целевой статье расходов 0320000 в сумме 28111,3 тыс. рублей. В общем объеме расходов государственной программы доля расходов по данной подпрограмме составляет 9,6 процента.</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 плановых назначений.</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 данной подпрограмме осуществлялось финансирование следующих программных мероприятий:</w:t>
      </w:r>
    </w:p>
    <w:p w:rsidR="001A299F" w:rsidRPr="001A299F" w:rsidRDefault="001A299F" w:rsidP="001A299F">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-расходы на обеспечение деятельности (оказание услуг) государственных учреждений  в объеме 20976,9 тыс. рублей, или 100,0 процентов плановых назначений;</w:t>
      </w:r>
    </w:p>
    <w:p w:rsidR="001A299F" w:rsidRPr="001A299F" w:rsidRDefault="001A299F" w:rsidP="001A299F">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-реализация мероприятий федеральной целевой программы «Культура России (2012-2018 годы)» в объеме 7134,4 тыс. рублей, или 100,0 процентов плановых назначений.</w:t>
      </w:r>
    </w:p>
    <w:p w:rsidR="001A299F" w:rsidRPr="001A299F" w:rsidRDefault="001A299F" w:rsidP="00F60552">
      <w:pPr>
        <w:widowControl w:val="0"/>
        <w:numPr>
          <w:ilvl w:val="0"/>
          <w:numId w:val="7"/>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«Архивное дело»</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«Архивное дело» утверждены в расходах областного бюджета по целевой статье расходов 0330000 в сумме 10849,9 тыс. рублей. В общем объеме расходов государственной программы доля расходов по данной подпрограмме составляет 3,7 процента.</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 плановых назначений.</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 данной подпрограмме в 2015 году осуществлялось финансирование программного мероприятия – обеспечение деятельности (оказание услуг) государственных учреждений.</w:t>
      </w:r>
    </w:p>
    <w:p w:rsidR="001A299F" w:rsidRPr="001A299F" w:rsidRDefault="001A299F" w:rsidP="00F60552">
      <w:pPr>
        <w:widowControl w:val="0"/>
        <w:numPr>
          <w:ilvl w:val="0"/>
          <w:numId w:val="7"/>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«Историко-культурное наследие»</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«Историко-культурное наследие» утверждены в расходах областного бюджета по целевой статье расходов 0340000 в сумме 23420,8 тыс. рублей. В общем объеме расходов государственной программы доля расходов по данной подпрограмме составляет 8,0 процентов.</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 плановых назначений.</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 данной подпрограмме в 2015 году осуществлялось финансирование программного мероприятия – обеспечение деятельности (оказание услуг) государственных учреждений.</w:t>
      </w:r>
    </w:p>
    <w:p w:rsidR="001A299F" w:rsidRPr="001A299F" w:rsidRDefault="001A299F" w:rsidP="00F60552">
      <w:pPr>
        <w:widowControl w:val="0"/>
        <w:numPr>
          <w:ilvl w:val="0"/>
          <w:numId w:val="7"/>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«Этнокультурное наследие»</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«Этнокультурное наследие» утверждены в расходах областного бюджета по целевой статье расходов 0350000 в сумме 1425,1 тыс. рублей. В общем объеме расходов государственной программы доля расходов по данной подпрограмме составляет 0,5 процента.</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 плановых назначений.</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Расходы на организацию и проведение мероприятий по реализации государственной подпрограммы в 2015 году исполнены в полном объеме - 236,4 тыс. рублей.</w:t>
      </w:r>
    </w:p>
    <w:p w:rsidR="001A299F" w:rsidRPr="001A299F" w:rsidRDefault="001A299F" w:rsidP="001A299F">
      <w:pPr>
        <w:spacing w:after="0" w:line="240" w:lineRule="auto"/>
        <w:ind w:firstLine="709"/>
        <w:jc w:val="both"/>
        <w:rPr>
          <w:rFonts w:ascii="Times New Roman" w:eastAsia="Times New Roman" w:hAnsi="Times New Roman" w:cs="Times New Roman"/>
          <w:i/>
          <w:sz w:val="24"/>
          <w:szCs w:val="24"/>
          <w:lang w:eastAsia="ru-RU"/>
        </w:rPr>
      </w:pPr>
      <w:r w:rsidRPr="001A299F">
        <w:rPr>
          <w:rFonts w:ascii="Times New Roman" w:hAnsi="Times New Roman" w:cs="Times New Roman"/>
          <w:sz w:val="24"/>
          <w:szCs w:val="24"/>
        </w:rPr>
        <w:t xml:space="preserve">На поддержку экономического и социального развития коренных малочисленных народов Севера, Сибири и Дальнего Востока направлено 1038,7 тыс. рублей, или </w:t>
      </w:r>
      <w:r w:rsidRPr="001A299F">
        <w:rPr>
          <w:rFonts w:ascii="Times New Roman" w:hAnsi="Times New Roman" w:cs="Times New Roman"/>
          <w:sz w:val="24"/>
          <w:szCs w:val="24"/>
        </w:rPr>
        <w:br/>
        <w:t>100,0 процентов плановых назначений (средства федерального бюджета)</w:t>
      </w:r>
      <w:r w:rsidRPr="001A299F">
        <w:rPr>
          <w:rFonts w:ascii="Times New Roman" w:eastAsia="Times New Roman" w:hAnsi="Times New Roman" w:cs="Times New Roman"/>
          <w:i/>
          <w:sz w:val="24"/>
          <w:szCs w:val="24"/>
          <w:lang w:eastAsia="ru-RU"/>
        </w:rPr>
        <w:t>.</w:t>
      </w:r>
    </w:p>
    <w:p w:rsidR="001A299F" w:rsidRPr="001A299F" w:rsidRDefault="001A299F" w:rsidP="00F60552">
      <w:pPr>
        <w:widowControl w:val="0"/>
        <w:numPr>
          <w:ilvl w:val="0"/>
          <w:numId w:val="7"/>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lastRenderedPageBreak/>
        <w:t>Подпрограмма «Библиотечное обслуживание»</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«Библиотечное обслуживание» утверждены в расходах областного бюджета по целевой статье расходов 0360000 в сумме 27540,7 тыс. рублей. В общем объеме расходов государственной программы доля расходов по данной подпрограмме составляет 9,4 процента.</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98,6 процента плановых назначений.</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 данной подпрограмме в 2015 году предусмотрено программное мероприятие – обеспечение деятельности (оказание услуг) государственных учреждений, исполнение по которому составило 27154,8 тыс. рублей.</w:t>
      </w:r>
    </w:p>
    <w:p w:rsidR="001A299F" w:rsidRPr="001A299F" w:rsidRDefault="001A299F" w:rsidP="00F60552">
      <w:pPr>
        <w:widowControl w:val="0"/>
        <w:numPr>
          <w:ilvl w:val="0"/>
          <w:numId w:val="7"/>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«Мероприятия в сфере культуры и искусства»</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«Мероприятия в сфере культуры и искусства» утверждены в расходах областного бюджета по целевой статье расходов </w:t>
      </w:r>
      <w:r w:rsidRPr="001A299F">
        <w:rPr>
          <w:rFonts w:ascii="Times New Roman" w:hAnsi="Times New Roman" w:cs="Times New Roman"/>
          <w:sz w:val="24"/>
          <w:szCs w:val="24"/>
        </w:rPr>
        <w:br/>
        <w:t>0370000 в сумме 17375,8 тыс. рублей. В общем объеме расходов государственной программы доля расходов по данной подпрограмме составляет 6,0 процентов.</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На организацию и проведение мероприятий по реализации государственной подпрограммы в 2015 году направлено 17253,5 тыс. рублей, или 99,3 процента плановых назначений.</w:t>
      </w:r>
    </w:p>
    <w:p w:rsidR="001A299F" w:rsidRPr="001A299F" w:rsidRDefault="001A299F" w:rsidP="00F60552">
      <w:pPr>
        <w:widowControl w:val="0"/>
        <w:numPr>
          <w:ilvl w:val="0"/>
          <w:numId w:val="7"/>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«Обеспечение реализации основных направлений государственной политики в сфере реализации государственной программы» утверждены в расходах областного бюджета по целевой статье расходов 0380000 в сумме 92914,5 тыс. рублей. В общем объеме расходов государственной программы доля расходов по данной подпрограмме составляет 31,7 процента.</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98,8 процента плановых назначений.</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eastAsia="Times New Roman" w:hAnsi="Times New Roman" w:cs="Times New Roman"/>
          <w:sz w:val="24"/>
          <w:szCs w:val="24"/>
          <w:lang w:eastAsia="ru-RU"/>
        </w:rPr>
        <w:t>Наибольший объем бюджетных ассигнований, предусмотренных на реализацию данной подпрограммы, приходится на капитальные вложения в объекты муниципальной собственности – 49897,7 тыс. рублей (средства федерального бюджета), которые исполнены в полном объеме, расходы по обеспечению функций исполнительных органов государственной власти, которые  исполнены в объеме 24272,6 т</w:t>
      </w:r>
      <w:r w:rsidR="006972B9">
        <w:rPr>
          <w:rFonts w:ascii="Times New Roman" w:eastAsia="Times New Roman" w:hAnsi="Times New Roman" w:cs="Times New Roman"/>
          <w:sz w:val="24"/>
          <w:szCs w:val="24"/>
          <w:lang w:eastAsia="ru-RU"/>
        </w:rPr>
        <w:t xml:space="preserve">ыс. рублей, или </w:t>
      </w:r>
      <w:r w:rsidR="006972B9">
        <w:rPr>
          <w:rFonts w:ascii="Times New Roman" w:eastAsia="Times New Roman" w:hAnsi="Times New Roman" w:cs="Times New Roman"/>
          <w:sz w:val="24"/>
          <w:szCs w:val="24"/>
          <w:lang w:eastAsia="ru-RU"/>
        </w:rPr>
        <w:br/>
        <w:t>97,1 процента.</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Мероприятие подпрограммы - расходы на обеспечение деятельности (оказание услуг) государственных учреждений исполнено в объеме 14846,6 тыс. рублей, при плановых назначениях 15182,0 тыс. рублей, уровень исполнения – 97,8 процента.</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Кроме того, за счет средств федерального бюджета профинансированы следующие мероприятия подпрограммы:</w:t>
      </w:r>
    </w:p>
    <w:p w:rsidR="001A299F" w:rsidRPr="006972B9" w:rsidRDefault="001A299F" w:rsidP="0014690C">
      <w:pPr>
        <w:pStyle w:val="afa"/>
        <w:numPr>
          <w:ilvl w:val="0"/>
          <w:numId w:val="32"/>
        </w:numPr>
        <w:tabs>
          <w:tab w:val="left" w:pos="851"/>
          <w:tab w:val="left" w:pos="993"/>
        </w:tabs>
        <w:ind w:left="0" w:firstLine="709"/>
        <w:jc w:val="both"/>
        <w:rPr>
          <w:sz w:val="24"/>
          <w:szCs w:val="24"/>
        </w:rPr>
      </w:pPr>
      <w:r w:rsidRPr="006972B9">
        <w:rPr>
          <w:sz w:val="24"/>
          <w:szCs w:val="24"/>
        </w:rPr>
        <w:t>реализация мероприятий федеральной целевой программы «Культура России (2012-2018 годы)» - 41,0 тыс. рублей, или 100,0 процентов плановых назначений;</w:t>
      </w:r>
    </w:p>
    <w:p w:rsidR="001A299F" w:rsidRPr="006972B9" w:rsidRDefault="001A299F" w:rsidP="0014690C">
      <w:pPr>
        <w:pStyle w:val="afa"/>
        <w:numPr>
          <w:ilvl w:val="0"/>
          <w:numId w:val="32"/>
        </w:numPr>
        <w:tabs>
          <w:tab w:val="left" w:pos="851"/>
          <w:tab w:val="left" w:pos="993"/>
        </w:tabs>
        <w:ind w:left="0" w:firstLine="709"/>
        <w:jc w:val="both"/>
        <w:rPr>
          <w:sz w:val="24"/>
          <w:szCs w:val="24"/>
        </w:rPr>
      </w:pPr>
      <w:r w:rsidRPr="006972B9">
        <w:rPr>
          <w:sz w:val="24"/>
          <w:szCs w:val="24"/>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689,4 тыс. рублей, или 100,0 процентов;</w:t>
      </w:r>
    </w:p>
    <w:p w:rsidR="001A299F" w:rsidRPr="006972B9" w:rsidRDefault="001A299F" w:rsidP="0014690C">
      <w:pPr>
        <w:pStyle w:val="afa"/>
        <w:numPr>
          <w:ilvl w:val="0"/>
          <w:numId w:val="32"/>
        </w:numPr>
        <w:tabs>
          <w:tab w:val="left" w:pos="851"/>
          <w:tab w:val="left" w:pos="993"/>
        </w:tabs>
        <w:ind w:left="0" w:firstLine="709"/>
        <w:jc w:val="both"/>
        <w:rPr>
          <w:sz w:val="24"/>
          <w:szCs w:val="24"/>
        </w:rPr>
      </w:pPr>
      <w:r w:rsidRPr="006972B9">
        <w:rPr>
          <w:sz w:val="24"/>
          <w:szCs w:val="24"/>
        </w:rPr>
        <w:t>государственная поддержка муниципальных учреждений культуры – 700,0 тыс. рублей, или 100,0 процентов;</w:t>
      </w:r>
    </w:p>
    <w:p w:rsidR="001A299F" w:rsidRPr="006972B9" w:rsidRDefault="001A299F" w:rsidP="0014690C">
      <w:pPr>
        <w:pStyle w:val="afa"/>
        <w:numPr>
          <w:ilvl w:val="0"/>
          <w:numId w:val="32"/>
        </w:numPr>
        <w:tabs>
          <w:tab w:val="left" w:pos="851"/>
          <w:tab w:val="left" w:pos="993"/>
        </w:tabs>
        <w:ind w:left="0" w:firstLine="709"/>
        <w:jc w:val="both"/>
        <w:rPr>
          <w:sz w:val="24"/>
          <w:szCs w:val="24"/>
        </w:rPr>
      </w:pPr>
      <w:r w:rsidRPr="006972B9">
        <w:rPr>
          <w:sz w:val="24"/>
          <w:szCs w:val="24"/>
        </w:rPr>
        <w:t xml:space="preserve">государственная поддержка лучших работников муниципальных учреждений культуры, находящихся на территориях сельских поселений – 400,0 тыс. рублей, или </w:t>
      </w:r>
      <w:r w:rsidRPr="006972B9">
        <w:rPr>
          <w:sz w:val="24"/>
          <w:szCs w:val="24"/>
        </w:rPr>
        <w:br/>
        <w:t>100,0 процентов;</w:t>
      </w:r>
    </w:p>
    <w:p w:rsidR="001A299F" w:rsidRPr="006972B9" w:rsidRDefault="001A299F" w:rsidP="0014690C">
      <w:pPr>
        <w:pStyle w:val="afa"/>
        <w:numPr>
          <w:ilvl w:val="0"/>
          <w:numId w:val="32"/>
        </w:numPr>
        <w:tabs>
          <w:tab w:val="left" w:pos="851"/>
          <w:tab w:val="left" w:pos="993"/>
        </w:tabs>
        <w:ind w:left="0" w:firstLine="709"/>
        <w:jc w:val="both"/>
        <w:rPr>
          <w:sz w:val="24"/>
          <w:szCs w:val="24"/>
        </w:rPr>
      </w:pPr>
      <w:r w:rsidRPr="006972B9">
        <w:rPr>
          <w:sz w:val="24"/>
          <w:szCs w:val="24"/>
        </w:rPr>
        <w:t xml:space="preserve">осуществление переданных органам государственной власти субъектов Российской Федерации в соответствии с пунктом 1 статьи 9.1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 – </w:t>
      </w:r>
      <w:r w:rsidRPr="006972B9">
        <w:rPr>
          <w:sz w:val="24"/>
          <w:szCs w:val="24"/>
        </w:rPr>
        <w:br/>
        <w:t>426,8 тыс. рублей, или 96,4 процента плановых назначений.</w:t>
      </w:r>
    </w:p>
    <w:p w:rsidR="001A299F" w:rsidRPr="00614C10"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lastRenderedPageBreak/>
        <w:t xml:space="preserve">Основные направления исполнения расходов областного бюджета за 2015 год по государственной программе </w:t>
      </w:r>
      <w:r w:rsidRPr="001A299F">
        <w:rPr>
          <w:rFonts w:ascii="Times New Roman" w:eastAsia="Times New Roman" w:hAnsi="Times New Roman" w:cs="Times New Roman"/>
          <w:sz w:val="24"/>
          <w:szCs w:val="24"/>
          <w:lang w:eastAsia="ru-RU"/>
        </w:rPr>
        <w:t xml:space="preserve">«Развитие и сохранение культуры и искусства Амурской области на 2014-2020 годы» представлены </w:t>
      </w:r>
      <w:r w:rsidRPr="00614C10">
        <w:rPr>
          <w:rFonts w:ascii="Times New Roman" w:eastAsia="Times New Roman" w:hAnsi="Times New Roman" w:cs="Times New Roman"/>
          <w:sz w:val="24"/>
          <w:szCs w:val="24"/>
          <w:lang w:eastAsia="ru-RU"/>
        </w:rPr>
        <w:t>на рисунке</w:t>
      </w:r>
      <w:r w:rsidR="00614C10" w:rsidRPr="00614C10">
        <w:rPr>
          <w:rFonts w:ascii="Times New Roman" w:eastAsia="Times New Roman" w:hAnsi="Times New Roman" w:cs="Times New Roman"/>
          <w:sz w:val="24"/>
          <w:szCs w:val="24"/>
          <w:lang w:eastAsia="ru-RU"/>
        </w:rPr>
        <w:t xml:space="preserve"> 25</w:t>
      </w:r>
      <w:r w:rsidRPr="00614C10">
        <w:rPr>
          <w:rFonts w:ascii="Times New Roman" w:eastAsia="Times New Roman" w:hAnsi="Times New Roman" w:cs="Times New Roman"/>
          <w:sz w:val="24"/>
          <w:szCs w:val="24"/>
          <w:lang w:eastAsia="ru-RU"/>
        </w:rPr>
        <w:t>.</w:t>
      </w:r>
    </w:p>
    <w:p w:rsidR="001A299F" w:rsidRPr="001A299F" w:rsidRDefault="001A299F" w:rsidP="00192137">
      <w:pPr>
        <w:spacing w:after="0" w:line="240" w:lineRule="auto"/>
        <w:jc w:val="both"/>
        <w:rPr>
          <w:rFonts w:ascii="Times New Roman" w:hAnsi="Times New Roman" w:cs="Times New Roman"/>
          <w:sz w:val="24"/>
          <w:szCs w:val="24"/>
        </w:rPr>
      </w:pPr>
      <w:r w:rsidRPr="001A299F">
        <w:rPr>
          <w:rFonts w:ascii="Times New Roman" w:hAnsi="Times New Roman" w:cs="Times New Roman"/>
          <w:noProof/>
          <w:sz w:val="24"/>
          <w:szCs w:val="24"/>
          <w:lang w:eastAsia="ru-RU"/>
        </w:rPr>
        <w:drawing>
          <wp:inline distT="0" distB="0" distL="0" distR="0" wp14:anchorId="6F4F6644" wp14:editId="541330AB">
            <wp:extent cx="6143625" cy="35623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A299F" w:rsidRPr="001A299F" w:rsidRDefault="001A299F" w:rsidP="001A299F">
      <w:pPr>
        <w:spacing w:after="0" w:line="240" w:lineRule="auto"/>
        <w:ind w:firstLine="709"/>
        <w:jc w:val="center"/>
        <w:rPr>
          <w:rFonts w:ascii="Times New Roman" w:hAnsi="Times New Roman" w:cs="Times New Roman"/>
          <w:b/>
          <w:sz w:val="24"/>
          <w:szCs w:val="24"/>
        </w:rPr>
      </w:pPr>
      <w:r w:rsidRPr="00614C10">
        <w:rPr>
          <w:rFonts w:ascii="Times New Roman" w:hAnsi="Times New Roman" w:cs="Times New Roman"/>
          <w:b/>
          <w:sz w:val="24"/>
          <w:szCs w:val="24"/>
        </w:rPr>
        <w:t xml:space="preserve">Рис. </w:t>
      </w:r>
      <w:r w:rsidR="00614C10" w:rsidRPr="00614C10">
        <w:rPr>
          <w:rFonts w:ascii="Times New Roman" w:hAnsi="Times New Roman" w:cs="Times New Roman"/>
          <w:b/>
          <w:sz w:val="24"/>
          <w:szCs w:val="24"/>
        </w:rPr>
        <w:t xml:space="preserve">25 - </w:t>
      </w:r>
      <w:r w:rsidRPr="00614C10">
        <w:rPr>
          <w:rFonts w:ascii="Times New Roman" w:hAnsi="Times New Roman" w:cs="Times New Roman"/>
          <w:b/>
          <w:sz w:val="24"/>
          <w:szCs w:val="24"/>
        </w:rPr>
        <w:t xml:space="preserve">Основные </w:t>
      </w:r>
      <w:r w:rsidRPr="001A299F">
        <w:rPr>
          <w:rFonts w:ascii="Times New Roman" w:hAnsi="Times New Roman" w:cs="Times New Roman"/>
          <w:b/>
          <w:sz w:val="24"/>
          <w:szCs w:val="24"/>
        </w:rPr>
        <w:t>направления исполнения расходов областного бюджета за</w:t>
      </w:r>
      <w:r w:rsidRPr="001A299F">
        <w:rPr>
          <w:rFonts w:ascii="Times New Roman" w:hAnsi="Times New Roman" w:cs="Times New Roman"/>
          <w:b/>
          <w:sz w:val="24"/>
          <w:szCs w:val="24"/>
        </w:rPr>
        <w:br/>
        <w:t xml:space="preserve"> 2015 год по государственной программе </w:t>
      </w:r>
      <w:r w:rsidRPr="001A299F">
        <w:rPr>
          <w:rFonts w:ascii="Times New Roman" w:eastAsia="Times New Roman" w:hAnsi="Times New Roman" w:cs="Times New Roman"/>
          <w:b/>
          <w:sz w:val="24"/>
          <w:szCs w:val="24"/>
          <w:lang w:eastAsia="ru-RU"/>
        </w:rPr>
        <w:t>«Развитие и сохранение культуры и искусства Амурской области на 2014-2020 годы», млн. руб.</w:t>
      </w:r>
    </w:p>
    <w:p w:rsidR="00614C10" w:rsidRPr="001A299F" w:rsidRDefault="00614C10" w:rsidP="00614C10">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В сводном годовом докладе о ходе реализации и об оценке эффективности реализации государственных программ области (приложение № 1 к сводному докладу), представленном одновременно с проектом закона Амурской области «Об исполнении областного бюджета за 2015 год» бюджетные ассигнования по государственной программе </w:t>
      </w:r>
      <w:r w:rsidRPr="001A299F">
        <w:rPr>
          <w:rFonts w:ascii="Times New Roman" w:eastAsia="Times New Roman" w:hAnsi="Times New Roman" w:cs="Times New Roman"/>
          <w:sz w:val="24"/>
          <w:szCs w:val="24"/>
          <w:lang w:eastAsia="ru-RU"/>
        </w:rPr>
        <w:t>«Развитие и сохранение культуры и искусства Амурской области на 2014-2020 годы»</w:t>
      </w:r>
      <w:r w:rsidRPr="001A299F">
        <w:rPr>
          <w:rFonts w:ascii="Times New Roman" w:hAnsi="Times New Roman" w:cs="Times New Roman"/>
          <w:sz w:val="24"/>
          <w:szCs w:val="24"/>
        </w:rPr>
        <w:t xml:space="preserve"> отражены в разрезе подпрограмм и мероприятий в объемах, утвержденных сводной бюджетной росписью на 2015 год. Результаты исполнения за 2015 год по государственной программе, отраженные в сводном годовом докладе, соответствуют результатам исполнения областного бюджета по государственной программе, отраженным в законопроекте.</w:t>
      </w:r>
    </w:p>
    <w:p w:rsidR="001A299F" w:rsidRDefault="001A299F" w:rsidP="001A299F">
      <w:pPr>
        <w:spacing w:after="0" w:line="240" w:lineRule="auto"/>
        <w:ind w:firstLine="709"/>
        <w:jc w:val="both"/>
        <w:rPr>
          <w:rFonts w:ascii="Times New Roman" w:eastAsia="Times New Roman" w:hAnsi="Times New Roman" w:cs="Times New Roman"/>
          <w:b/>
          <w:sz w:val="24"/>
          <w:szCs w:val="24"/>
          <w:lang w:eastAsia="ru-RU"/>
        </w:rPr>
      </w:pPr>
    </w:p>
    <w:p w:rsidR="00614C10" w:rsidRPr="00614C10" w:rsidRDefault="00614C10" w:rsidP="00614C10">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614C10">
        <w:rPr>
          <w:rFonts w:ascii="Times New Roman" w:eastAsia="Times New Roman" w:hAnsi="Times New Roman" w:cs="Times New Roman"/>
          <w:b/>
          <w:sz w:val="24"/>
          <w:szCs w:val="24"/>
          <w:lang w:eastAsia="ru-RU"/>
        </w:rPr>
        <w:t>5.4. Исполнение расходов областного бюджета за 2015 год в рамках государственной программы «Охрана окружающей среды на 2014-2020 годы»</w:t>
      </w:r>
    </w:p>
    <w:p w:rsidR="00614C10" w:rsidRPr="00614C10" w:rsidRDefault="00614C10" w:rsidP="00614C1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Государственная программа «Охрана окружающей среды на 2014-2020 годы» в составе четырех подпрограмм утверждена постановлением Правительства Амурской области от 25.09.2013 № 453 с объемом ассигнований на 2015 год – 1028600,8</w:t>
      </w:r>
      <w:r>
        <w:rPr>
          <w:rFonts w:ascii="Times New Roman" w:eastAsia="Times New Roman" w:hAnsi="Times New Roman" w:cs="Times New Roman"/>
          <w:sz w:val="24"/>
          <w:szCs w:val="24"/>
          <w:lang w:eastAsia="ru-RU"/>
        </w:rPr>
        <w:t xml:space="preserve"> тыс. рублей, в том числе </w:t>
      </w:r>
      <w:r w:rsidRPr="00614C10">
        <w:rPr>
          <w:rFonts w:ascii="Times New Roman" w:eastAsia="Times New Roman" w:hAnsi="Times New Roman" w:cs="Times New Roman"/>
          <w:sz w:val="24"/>
          <w:szCs w:val="24"/>
          <w:lang w:eastAsia="ru-RU"/>
        </w:rPr>
        <w:t>за счет федерального бюджета – 566672,4</w:t>
      </w:r>
      <w:r>
        <w:rPr>
          <w:rFonts w:ascii="Times New Roman" w:eastAsia="Times New Roman" w:hAnsi="Times New Roman" w:cs="Times New Roman"/>
          <w:sz w:val="24"/>
          <w:szCs w:val="24"/>
          <w:lang w:eastAsia="ru-RU"/>
        </w:rPr>
        <w:t xml:space="preserve"> тыс. рублей, </w:t>
      </w:r>
      <w:r w:rsidRPr="00614C10">
        <w:rPr>
          <w:rFonts w:ascii="Times New Roman" w:eastAsia="Times New Roman" w:hAnsi="Times New Roman" w:cs="Times New Roman"/>
          <w:sz w:val="24"/>
          <w:szCs w:val="24"/>
          <w:lang w:eastAsia="ru-RU"/>
        </w:rPr>
        <w:t>за счет областного бюджета – 461928,4 тыс. рублей.</w:t>
      </w:r>
    </w:p>
    <w:p w:rsidR="00614C10" w:rsidRPr="00614C10" w:rsidRDefault="00614C10" w:rsidP="00614C1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14C10">
        <w:rPr>
          <w:rFonts w:ascii="Times New Roman" w:eastAsia="Times New Roman" w:hAnsi="Times New Roman" w:cs="Times New Roman"/>
          <w:sz w:val="24"/>
          <w:szCs w:val="24"/>
          <w:lang w:eastAsia="ru-RU"/>
        </w:rPr>
        <w:t>Координатором государственной программы определено м</w:t>
      </w:r>
      <w:r w:rsidRPr="00614C10">
        <w:rPr>
          <w:rFonts w:ascii="Times New Roman" w:eastAsia="Calibri" w:hAnsi="Times New Roman" w:cs="Times New Roman"/>
          <w:sz w:val="24"/>
          <w:szCs w:val="24"/>
        </w:rPr>
        <w:t>инистерство природных ресурсов Амурской области.</w:t>
      </w:r>
    </w:p>
    <w:p w:rsidR="00614C10" w:rsidRPr="00614C10" w:rsidRDefault="00614C10" w:rsidP="00614C1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14C10">
        <w:rPr>
          <w:rFonts w:ascii="Times New Roman" w:eastAsia="Times New Roman" w:hAnsi="Times New Roman" w:cs="Times New Roman"/>
          <w:sz w:val="24"/>
          <w:szCs w:val="24"/>
          <w:lang w:eastAsia="ru-RU"/>
        </w:rPr>
        <w:t>Координатор подпрограммы «Развитие водохозяйственного комплекса Амурской области» - министерство природных ресурсов Амурской области.</w:t>
      </w:r>
    </w:p>
    <w:p w:rsidR="00614C10" w:rsidRPr="00614C10" w:rsidRDefault="00614C10" w:rsidP="00614C1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14C10">
        <w:rPr>
          <w:rFonts w:ascii="Times New Roman" w:eastAsia="Times New Roman" w:hAnsi="Times New Roman" w:cs="Times New Roman"/>
          <w:sz w:val="24"/>
          <w:szCs w:val="24"/>
          <w:lang w:eastAsia="ru-RU"/>
        </w:rPr>
        <w:t>Координатор подпрограммы «</w:t>
      </w:r>
      <w:hyperlink r:id="rId38" w:history="1">
        <w:r w:rsidRPr="00614C10">
          <w:rPr>
            <w:rFonts w:ascii="Times New Roman" w:eastAsia="Times New Roman" w:hAnsi="Times New Roman" w:cs="Times New Roman"/>
            <w:sz w:val="24"/>
            <w:szCs w:val="24"/>
            <w:lang w:eastAsia="ru-RU"/>
          </w:rPr>
          <w:t>Совершенствование условий</w:t>
        </w:r>
      </w:hyperlink>
      <w:r w:rsidRPr="00614C10">
        <w:rPr>
          <w:rFonts w:ascii="Times New Roman" w:eastAsia="Times New Roman" w:hAnsi="Times New Roman" w:cs="Times New Roman"/>
          <w:sz w:val="24"/>
          <w:szCs w:val="24"/>
          <w:lang w:eastAsia="ru-RU"/>
        </w:rPr>
        <w:t xml:space="preserve"> функционирования системы особо охраняемых природных территорий и системы охраны объектов животного мира Амурской области» - управление по охране, контролю и регулированию использования объектов животного мира и среды их обитания Амурской области.</w:t>
      </w:r>
    </w:p>
    <w:p w:rsidR="00614C10" w:rsidRPr="00614C10" w:rsidRDefault="00614C10" w:rsidP="00614C1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14C10">
        <w:rPr>
          <w:rFonts w:ascii="Times New Roman" w:eastAsia="Times New Roman" w:hAnsi="Times New Roman" w:cs="Times New Roman"/>
          <w:sz w:val="24"/>
          <w:szCs w:val="24"/>
          <w:lang w:eastAsia="ru-RU"/>
        </w:rPr>
        <w:t>Координатор подпрограммы «Развитие лесного хозяйства Амурской области» - министерство лесного хозяйства и пожарной безопасности Амурской области.</w:t>
      </w:r>
    </w:p>
    <w:p w:rsidR="00614C10" w:rsidRPr="00614C10" w:rsidRDefault="00614C10" w:rsidP="00614C1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14C10">
        <w:rPr>
          <w:rFonts w:ascii="Times New Roman" w:eastAsia="Times New Roman" w:hAnsi="Times New Roman" w:cs="Times New Roman"/>
          <w:sz w:val="24"/>
          <w:szCs w:val="24"/>
          <w:lang w:eastAsia="ru-RU"/>
        </w:rPr>
        <w:lastRenderedPageBreak/>
        <w:t>Координатор подпрограммы «</w:t>
      </w:r>
      <w:hyperlink r:id="rId39" w:history="1">
        <w:r w:rsidRPr="00614C10">
          <w:rPr>
            <w:rFonts w:ascii="Times New Roman" w:eastAsia="Times New Roman" w:hAnsi="Times New Roman" w:cs="Times New Roman"/>
            <w:sz w:val="24"/>
            <w:szCs w:val="24"/>
            <w:lang w:eastAsia="ru-RU"/>
          </w:rPr>
          <w:t>Обеспечение реализации</w:t>
        </w:r>
      </w:hyperlink>
      <w:r w:rsidRPr="00614C10">
        <w:rPr>
          <w:rFonts w:ascii="Times New Roman" w:eastAsia="Times New Roman" w:hAnsi="Times New Roman" w:cs="Times New Roman"/>
          <w:sz w:val="24"/>
          <w:szCs w:val="24"/>
          <w:lang w:eastAsia="ru-RU"/>
        </w:rPr>
        <w:t xml:space="preserve"> основных направлений государственной политики в сфере реализации государственной программы» - министерство природных ресурсов Амурской области.</w:t>
      </w:r>
    </w:p>
    <w:p w:rsidR="00614C10" w:rsidRPr="00614C10" w:rsidRDefault="00614C10" w:rsidP="00614C1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14C10">
        <w:rPr>
          <w:rFonts w:ascii="Times New Roman" w:eastAsia="Times New Roman" w:hAnsi="Times New Roman" w:cs="Times New Roman"/>
          <w:sz w:val="24"/>
          <w:szCs w:val="24"/>
          <w:lang w:eastAsia="ru-RU"/>
        </w:rPr>
        <w:t>Участниками государственной программы являются министерство природных ресурсов Амурской области, министерство лесного хозяйства и пожарной безопасности Амурской области, управление по охране, контролю и регулированию использования объектов животного мира и среды их обитания Амурской области.</w:t>
      </w:r>
    </w:p>
    <w:p w:rsidR="00614C10" w:rsidRPr="00614C10" w:rsidRDefault="00614C10" w:rsidP="00614C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Законом Амурской области «Об областном бюджете на 2015 год и плановый период 2016 и 2017 годов» на реализацию государственной программы «Охрана окружающей среды на 2014-2020 годы» утверждены бюджетные ассигнования в сумме 1028600,8 тыс. рублей, в том числе за счет средств федерального бюджета – 566672,4 тыс. рублей, областного бюджета – 461928,4 тыс. рублей.</w:t>
      </w:r>
    </w:p>
    <w:p w:rsidR="00614C10" w:rsidRPr="00614C10" w:rsidRDefault="00614C10" w:rsidP="00614C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Сводной бюджетной росписью расходов областного бюджета на 2015 год на реализацию государственной программы предусмотрено 1113789,4 тыс. рублей, в том числе за счет средств областного бюджета – 461928,3 тыс. рублей, за счет средств федерального бюджета – 651861,1 тыс. рублей на софинансирование подпрограмм:</w:t>
      </w:r>
    </w:p>
    <w:p w:rsidR="00614C10" w:rsidRPr="00614C10" w:rsidRDefault="00614C10" w:rsidP="00614C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4C10">
        <w:rPr>
          <w:rFonts w:ascii="Times New Roman" w:eastAsia="Times New Roman" w:hAnsi="Times New Roman" w:cs="Times New Roman"/>
          <w:sz w:val="24"/>
          <w:szCs w:val="24"/>
          <w:lang w:eastAsia="ru-RU"/>
        </w:rPr>
        <w:t>-</w:t>
      </w:r>
      <w:r w:rsidRPr="00614C10">
        <w:rPr>
          <w:rFonts w:ascii="Times New Roman" w:eastAsia="Calibri" w:hAnsi="Times New Roman" w:cs="Times New Roman"/>
          <w:sz w:val="24"/>
          <w:szCs w:val="24"/>
        </w:rPr>
        <w:t>«Развитие водохозяйственного комплекса и охрана окружающей среды в Амурской области» - 41891,8 тыс. рублей;</w:t>
      </w:r>
    </w:p>
    <w:p w:rsidR="00614C10" w:rsidRPr="00614C10" w:rsidRDefault="00614C10" w:rsidP="00614C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-«Совершенствование условий функционирования системы особо охраняемых природных территорий и системы охраны объектов животного мира Амурской области» - 21773,8 тыс. рублей;</w:t>
      </w:r>
    </w:p>
    <w:p w:rsidR="00614C10" w:rsidRPr="00614C10" w:rsidRDefault="00614C10" w:rsidP="00614C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-«Развитие лесного хозяйства Амурской области» - 588195,5 тыс. рублей.</w:t>
      </w:r>
    </w:p>
    <w:p w:rsidR="00614C10" w:rsidRPr="00614C10" w:rsidRDefault="00614C10" w:rsidP="00614C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 xml:space="preserve">Исполнение бюджетных назначений, предусмотренных на реализацию программы сводной бюджетной росписью расходов, составило 1082517,5 тыс. рублей, или </w:t>
      </w:r>
      <w:r w:rsidRPr="00614C10">
        <w:rPr>
          <w:rFonts w:ascii="Times New Roman" w:eastAsia="Times New Roman" w:hAnsi="Times New Roman" w:cs="Times New Roman"/>
          <w:sz w:val="24"/>
          <w:szCs w:val="24"/>
          <w:lang w:eastAsia="ru-RU"/>
        </w:rPr>
        <w:br/>
        <w:t>97,2 процента.</w:t>
      </w:r>
    </w:p>
    <w:p w:rsidR="00614C10" w:rsidRPr="00614C10" w:rsidRDefault="00614C10" w:rsidP="00614C10">
      <w:pPr>
        <w:spacing w:after="0" w:line="240" w:lineRule="auto"/>
        <w:ind w:firstLine="709"/>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Согласно приложению № 1 к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2015 год объем исполненных ассигнований за счет средств федерального бюджета и области, отраженных в докладе, соответствует  результатам исполнения областного бюджета по государственной программе, отраженным в законопроекте.</w:t>
      </w:r>
    </w:p>
    <w:p w:rsidR="00614C10" w:rsidRPr="00614C10" w:rsidRDefault="00614C10" w:rsidP="00614C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В таблице 7 представлена информация об исполнении государственной программы в разрезе подпрограмм.</w:t>
      </w:r>
    </w:p>
    <w:p w:rsidR="00614C10" w:rsidRPr="00614C10" w:rsidRDefault="00614C10" w:rsidP="00614C1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Таблица 7</w:t>
      </w:r>
    </w:p>
    <w:p w:rsidR="00614C10" w:rsidRPr="00614C10" w:rsidRDefault="00614C10" w:rsidP="00614C1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14C10">
        <w:rPr>
          <w:rFonts w:ascii="Times New Roman" w:eastAsia="Times New Roman" w:hAnsi="Times New Roman" w:cs="Times New Roman"/>
          <w:b/>
          <w:sz w:val="24"/>
          <w:szCs w:val="24"/>
          <w:lang w:eastAsia="ru-RU"/>
        </w:rPr>
        <w:t>Анализ исполнения государственной программы «Охрана окружающей среды на 2014-2020 годы» в разрезе подпрограмм</w:t>
      </w:r>
    </w:p>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1481"/>
        <w:gridCol w:w="1531"/>
        <w:gridCol w:w="1505"/>
        <w:gridCol w:w="1425"/>
      </w:tblGrid>
      <w:tr w:rsidR="00614C10" w:rsidRPr="00614C10" w:rsidTr="00614C10">
        <w:trPr>
          <w:trHeight w:val="687"/>
          <w:tblHeader/>
        </w:trPr>
        <w:tc>
          <w:tcPr>
            <w:tcW w:w="3834" w:type="dxa"/>
            <w:shd w:val="clear" w:color="auto" w:fill="auto"/>
          </w:tcPr>
          <w:p w:rsidR="00614C10" w:rsidRPr="00614C10" w:rsidRDefault="00614C10" w:rsidP="00614C1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4C10">
              <w:rPr>
                <w:rFonts w:ascii="Times New Roman" w:eastAsia="Times New Roman" w:hAnsi="Times New Roman" w:cs="Times New Roman"/>
                <w:b/>
                <w:bCs/>
                <w:sz w:val="24"/>
                <w:szCs w:val="24"/>
                <w:lang w:eastAsia="ru-RU"/>
              </w:rPr>
              <w:t>Наименование государственной программы/подпрограммы</w:t>
            </w:r>
          </w:p>
        </w:tc>
        <w:tc>
          <w:tcPr>
            <w:tcW w:w="1481" w:type="dxa"/>
            <w:shd w:val="clear" w:color="auto" w:fill="auto"/>
            <w:noWrap/>
          </w:tcPr>
          <w:p w:rsidR="00614C10" w:rsidRPr="00614C10" w:rsidRDefault="00614C10" w:rsidP="00614C1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4C10">
              <w:rPr>
                <w:rFonts w:ascii="Times New Roman" w:eastAsia="Times New Roman" w:hAnsi="Times New Roman" w:cs="Times New Roman"/>
                <w:b/>
                <w:bCs/>
                <w:sz w:val="24"/>
                <w:szCs w:val="24"/>
                <w:lang w:eastAsia="ru-RU"/>
              </w:rPr>
              <w:t>План</w:t>
            </w:r>
          </w:p>
        </w:tc>
        <w:tc>
          <w:tcPr>
            <w:tcW w:w="1463" w:type="dxa"/>
            <w:shd w:val="clear" w:color="auto" w:fill="auto"/>
            <w:noWrap/>
          </w:tcPr>
          <w:p w:rsidR="00614C10" w:rsidRPr="00614C10" w:rsidRDefault="00614C10" w:rsidP="00614C1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4C10">
              <w:rPr>
                <w:rFonts w:ascii="Times New Roman" w:eastAsia="Times New Roman" w:hAnsi="Times New Roman" w:cs="Times New Roman"/>
                <w:b/>
                <w:bCs/>
                <w:sz w:val="24"/>
                <w:szCs w:val="24"/>
                <w:lang w:eastAsia="ru-RU"/>
              </w:rPr>
              <w:t>Исполнение</w:t>
            </w:r>
          </w:p>
        </w:tc>
        <w:tc>
          <w:tcPr>
            <w:tcW w:w="1422" w:type="dxa"/>
            <w:shd w:val="clear" w:color="auto" w:fill="auto"/>
            <w:noWrap/>
          </w:tcPr>
          <w:p w:rsidR="00614C10" w:rsidRPr="00614C10" w:rsidRDefault="00614C10" w:rsidP="00614C1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4C10">
              <w:rPr>
                <w:rFonts w:ascii="Times New Roman" w:eastAsia="Times New Roman" w:hAnsi="Times New Roman" w:cs="Times New Roman"/>
                <w:b/>
                <w:bCs/>
                <w:sz w:val="24"/>
                <w:szCs w:val="24"/>
                <w:lang w:eastAsia="ru-RU"/>
              </w:rPr>
              <w:t>Уровень исполнения</w:t>
            </w:r>
          </w:p>
        </w:tc>
        <w:tc>
          <w:tcPr>
            <w:tcW w:w="1371" w:type="dxa"/>
            <w:shd w:val="clear" w:color="auto" w:fill="auto"/>
            <w:noWrap/>
          </w:tcPr>
          <w:p w:rsidR="00614C10" w:rsidRPr="00614C10" w:rsidRDefault="00614C10" w:rsidP="00614C1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4C10">
              <w:rPr>
                <w:rFonts w:ascii="Times New Roman" w:eastAsia="Times New Roman" w:hAnsi="Times New Roman" w:cs="Times New Roman"/>
                <w:b/>
                <w:bCs/>
                <w:sz w:val="24"/>
                <w:szCs w:val="24"/>
                <w:lang w:eastAsia="ru-RU"/>
              </w:rPr>
              <w:t>Не исполнены</w:t>
            </w:r>
          </w:p>
        </w:tc>
      </w:tr>
      <w:tr w:rsidR="00614C10" w:rsidRPr="00614C10" w:rsidTr="00614C10">
        <w:trPr>
          <w:trHeight w:val="841"/>
        </w:trPr>
        <w:tc>
          <w:tcPr>
            <w:tcW w:w="3834" w:type="dxa"/>
            <w:shd w:val="clear" w:color="auto" w:fill="auto"/>
            <w:hideMark/>
          </w:tcPr>
          <w:p w:rsidR="00614C10" w:rsidRPr="00614C10" w:rsidRDefault="00614C10" w:rsidP="00614C1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14C10">
              <w:rPr>
                <w:rFonts w:ascii="Times New Roman" w:eastAsia="Times New Roman" w:hAnsi="Times New Roman" w:cs="Times New Roman"/>
                <w:b/>
                <w:bCs/>
                <w:sz w:val="24"/>
                <w:szCs w:val="24"/>
                <w:lang w:eastAsia="ru-RU"/>
              </w:rPr>
              <w:t>Государственная программа «</w:t>
            </w:r>
            <w:r w:rsidRPr="00614C10">
              <w:rPr>
                <w:rFonts w:ascii="Times New Roman" w:eastAsia="Times New Roman" w:hAnsi="Times New Roman" w:cs="Times New Roman"/>
                <w:b/>
                <w:sz w:val="24"/>
                <w:szCs w:val="24"/>
                <w:lang w:eastAsia="ru-RU"/>
              </w:rPr>
              <w:t>Охрана окружающей среды на 2014-2020 годы</w:t>
            </w:r>
            <w:r w:rsidRPr="00614C10">
              <w:rPr>
                <w:rFonts w:ascii="Times New Roman" w:eastAsia="Times New Roman" w:hAnsi="Times New Roman" w:cs="Times New Roman"/>
                <w:b/>
                <w:bCs/>
                <w:sz w:val="24"/>
                <w:szCs w:val="24"/>
                <w:lang w:eastAsia="ru-RU"/>
              </w:rPr>
              <w:t xml:space="preserve">», </w:t>
            </w:r>
            <w:r w:rsidRPr="00614C10">
              <w:rPr>
                <w:rFonts w:ascii="Times New Roman" w:eastAsia="Times New Roman" w:hAnsi="Times New Roman" w:cs="Times New Roman"/>
                <w:bCs/>
                <w:sz w:val="24"/>
                <w:szCs w:val="24"/>
                <w:lang w:eastAsia="ru-RU"/>
              </w:rPr>
              <w:t>в том числе:</w:t>
            </w:r>
          </w:p>
        </w:tc>
        <w:tc>
          <w:tcPr>
            <w:tcW w:w="1481"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14C10">
              <w:rPr>
                <w:rFonts w:ascii="Times New Roman" w:eastAsia="Times New Roman" w:hAnsi="Times New Roman" w:cs="Times New Roman"/>
                <w:b/>
                <w:bCs/>
                <w:sz w:val="24"/>
                <w:szCs w:val="24"/>
                <w:lang w:eastAsia="ru-RU"/>
              </w:rPr>
              <w:t>1113789,4</w:t>
            </w:r>
          </w:p>
        </w:tc>
        <w:tc>
          <w:tcPr>
            <w:tcW w:w="1463"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14C10">
              <w:rPr>
                <w:rFonts w:ascii="Times New Roman" w:eastAsia="Times New Roman" w:hAnsi="Times New Roman" w:cs="Times New Roman"/>
                <w:b/>
                <w:bCs/>
                <w:sz w:val="24"/>
                <w:szCs w:val="24"/>
                <w:lang w:eastAsia="ru-RU"/>
              </w:rPr>
              <w:t>1082517,5</w:t>
            </w:r>
          </w:p>
        </w:tc>
        <w:tc>
          <w:tcPr>
            <w:tcW w:w="1422"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14C10">
              <w:rPr>
                <w:rFonts w:ascii="Times New Roman" w:eastAsia="Times New Roman" w:hAnsi="Times New Roman" w:cs="Times New Roman"/>
                <w:b/>
                <w:bCs/>
                <w:sz w:val="24"/>
                <w:szCs w:val="24"/>
                <w:lang w:eastAsia="ru-RU"/>
              </w:rPr>
              <w:t>97,2</w:t>
            </w:r>
          </w:p>
        </w:tc>
        <w:tc>
          <w:tcPr>
            <w:tcW w:w="1371"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14C10">
              <w:rPr>
                <w:rFonts w:ascii="Times New Roman" w:eastAsia="Times New Roman" w:hAnsi="Times New Roman" w:cs="Times New Roman"/>
                <w:b/>
                <w:bCs/>
                <w:sz w:val="24"/>
                <w:szCs w:val="24"/>
                <w:lang w:eastAsia="ru-RU"/>
              </w:rPr>
              <w:t>-31271,9</w:t>
            </w:r>
          </w:p>
        </w:tc>
      </w:tr>
      <w:tr w:rsidR="00614C10" w:rsidRPr="00614C10" w:rsidTr="00614C10">
        <w:trPr>
          <w:trHeight w:val="1141"/>
        </w:trPr>
        <w:tc>
          <w:tcPr>
            <w:tcW w:w="3834" w:type="dxa"/>
            <w:shd w:val="clear" w:color="auto" w:fill="auto"/>
            <w:hideMark/>
          </w:tcPr>
          <w:p w:rsidR="00614C10" w:rsidRPr="00614C10" w:rsidRDefault="00614C10" w:rsidP="00614C10">
            <w:pPr>
              <w:widowControl w:val="0"/>
              <w:autoSpaceDE w:val="0"/>
              <w:autoSpaceDN w:val="0"/>
              <w:adjustRightInd w:val="0"/>
              <w:spacing w:after="0" w:line="240" w:lineRule="auto"/>
              <w:rPr>
                <w:rFonts w:ascii="Times New Roman" w:eastAsia="Times New Roman" w:hAnsi="Times New Roman" w:cs="Times New Roman"/>
                <w:lang w:eastAsia="ru-RU"/>
              </w:rPr>
            </w:pPr>
            <w:r w:rsidRPr="00614C10">
              <w:rPr>
                <w:rFonts w:ascii="Times New Roman" w:eastAsia="Times New Roman" w:hAnsi="Times New Roman" w:cs="Times New Roman"/>
                <w:lang w:eastAsia="ru-RU"/>
              </w:rPr>
              <w:t>Подпрограмма «Развитие водохозяйственного комплекса и охрана окружающей среды в Амурской области»</w:t>
            </w:r>
          </w:p>
        </w:tc>
        <w:tc>
          <w:tcPr>
            <w:tcW w:w="1481"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296991,8</w:t>
            </w:r>
          </w:p>
        </w:tc>
        <w:tc>
          <w:tcPr>
            <w:tcW w:w="1463"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272347,7</w:t>
            </w:r>
          </w:p>
        </w:tc>
        <w:tc>
          <w:tcPr>
            <w:tcW w:w="1422"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91,7</w:t>
            </w:r>
          </w:p>
        </w:tc>
        <w:tc>
          <w:tcPr>
            <w:tcW w:w="1371"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-24644,1</w:t>
            </w:r>
          </w:p>
        </w:tc>
      </w:tr>
      <w:tr w:rsidR="00614C10" w:rsidRPr="00614C10" w:rsidTr="00614C10">
        <w:trPr>
          <w:trHeight w:val="569"/>
        </w:trPr>
        <w:tc>
          <w:tcPr>
            <w:tcW w:w="3834" w:type="dxa"/>
            <w:shd w:val="clear" w:color="auto" w:fill="auto"/>
            <w:hideMark/>
          </w:tcPr>
          <w:p w:rsidR="00614C10" w:rsidRPr="00614C10" w:rsidRDefault="00614C10" w:rsidP="00614C10">
            <w:pPr>
              <w:widowControl w:val="0"/>
              <w:autoSpaceDE w:val="0"/>
              <w:autoSpaceDN w:val="0"/>
              <w:adjustRightInd w:val="0"/>
              <w:spacing w:after="0" w:line="240" w:lineRule="auto"/>
              <w:rPr>
                <w:rFonts w:ascii="Times New Roman" w:eastAsia="Times New Roman" w:hAnsi="Times New Roman" w:cs="Times New Roman"/>
                <w:lang w:eastAsia="ru-RU"/>
              </w:rPr>
            </w:pPr>
            <w:r w:rsidRPr="00614C10">
              <w:rPr>
                <w:rFonts w:ascii="Times New Roman" w:eastAsia="Times New Roman" w:hAnsi="Times New Roman" w:cs="Times New Roman"/>
                <w:lang w:eastAsia="ru-RU"/>
              </w:rPr>
              <w:t>Подпрограмма «Совершенствование условий функционирования системы особо охраняемых природных территорий и системы охраны объектов животного мира Амурской области»</w:t>
            </w:r>
          </w:p>
        </w:tc>
        <w:tc>
          <w:tcPr>
            <w:tcW w:w="1481"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60229,0</w:t>
            </w:r>
          </w:p>
        </w:tc>
        <w:tc>
          <w:tcPr>
            <w:tcW w:w="1463"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59223,6</w:t>
            </w:r>
          </w:p>
        </w:tc>
        <w:tc>
          <w:tcPr>
            <w:tcW w:w="1422"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98,3</w:t>
            </w:r>
          </w:p>
        </w:tc>
        <w:tc>
          <w:tcPr>
            <w:tcW w:w="1371"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-1005,4</w:t>
            </w:r>
          </w:p>
        </w:tc>
      </w:tr>
      <w:tr w:rsidR="00614C10" w:rsidRPr="00614C10" w:rsidTr="00614C10">
        <w:trPr>
          <w:trHeight w:val="543"/>
        </w:trPr>
        <w:tc>
          <w:tcPr>
            <w:tcW w:w="3834" w:type="dxa"/>
            <w:shd w:val="clear" w:color="auto" w:fill="auto"/>
            <w:hideMark/>
          </w:tcPr>
          <w:p w:rsidR="00614C10" w:rsidRPr="00614C10" w:rsidRDefault="00614C10" w:rsidP="00614C10">
            <w:pPr>
              <w:widowControl w:val="0"/>
              <w:autoSpaceDE w:val="0"/>
              <w:autoSpaceDN w:val="0"/>
              <w:adjustRightInd w:val="0"/>
              <w:spacing w:after="0" w:line="240" w:lineRule="auto"/>
              <w:rPr>
                <w:rFonts w:ascii="Times New Roman" w:eastAsia="Times New Roman" w:hAnsi="Times New Roman" w:cs="Times New Roman"/>
                <w:lang w:eastAsia="ru-RU"/>
              </w:rPr>
            </w:pPr>
            <w:r w:rsidRPr="00614C10">
              <w:rPr>
                <w:rFonts w:ascii="Times New Roman" w:eastAsia="Times New Roman" w:hAnsi="Times New Roman" w:cs="Times New Roman"/>
                <w:lang w:eastAsia="ru-RU"/>
              </w:rPr>
              <w:lastRenderedPageBreak/>
              <w:t>Подпрограмма «Развитие лесного хозяйства в Амурской области»</w:t>
            </w:r>
          </w:p>
        </w:tc>
        <w:tc>
          <w:tcPr>
            <w:tcW w:w="1481"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679922,0</w:t>
            </w:r>
          </w:p>
        </w:tc>
        <w:tc>
          <w:tcPr>
            <w:tcW w:w="1463"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677745,8</w:t>
            </w:r>
          </w:p>
        </w:tc>
        <w:tc>
          <w:tcPr>
            <w:tcW w:w="1422"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99,7</w:t>
            </w:r>
          </w:p>
        </w:tc>
        <w:tc>
          <w:tcPr>
            <w:tcW w:w="1371"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-2176,2</w:t>
            </w:r>
          </w:p>
        </w:tc>
      </w:tr>
      <w:tr w:rsidR="00614C10" w:rsidRPr="00614C10" w:rsidTr="00614C10">
        <w:trPr>
          <w:trHeight w:val="600"/>
        </w:trPr>
        <w:tc>
          <w:tcPr>
            <w:tcW w:w="3834" w:type="dxa"/>
            <w:shd w:val="clear" w:color="auto" w:fill="auto"/>
            <w:hideMark/>
          </w:tcPr>
          <w:p w:rsidR="00614C10" w:rsidRPr="00614C10" w:rsidRDefault="00614C10" w:rsidP="00614C10">
            <w:pPr>
              <w:widowControl w:val="0"/>
              <w:autoSpaceDE w:val="0"/>
              <w:autoSpaceDN w:val="0"/>
              <w:adjustRightInd w:val="0"/>
              <w:spacing w:after="0" w:line="240" w:lineRule="auto"/>
              <w:rPr>
                <w:rFonts w:ascii="Times New Roman" w:eastAsia="Times New Roman" w:hAnsi="Times New Roman" w:cs="Times New Roman"/>
                <w:lang w:eastAsia="ru-RU"/>
              </w:rPr>
            </w:pPr>
            <w:r w:rsidRPr="00614C10">
              <w:rPr>
                <w:rFonts w:ascii="Times New Roman" w:eastAsia="Times New Roman" w:hAnsi="Times New Roman" w:cs="Times New Roman"/>
                <w:lang w:eastAsia="ru-RU"/>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481"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76646,6</w:t>
            </w:r>
          </w:p>
        </w:tc>
        <w:tc>
          <w:tcPr>
            <w:tcW w:w="1463"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73200,4</w:t>
            </w:r>
          </w:p>
        </w:tc>
        <w:tc>
          <w:tcPr>
            <w:tcW w:w="1422"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95,5</w:t>
            </w:r>
          </w:p>
        </w:tc>
        <w:tc>
          <w:tcPr>
            <w:tcW w:w="1371" w:type="dxa"/>
            <w:shd w:val="clear" w:color="auto" w:fill="auto"/>
            <w:noWrap/>
            <w:hideMark/>
          </w:tcPr>
          <w:p w:rsidR="00614C10" w:rsidRPr="00614C10" w:rsidRDefault="00614C10" w:rsidP="00614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C10">
              <w:rPr>
                <w:rFonts w:ascii="Times New Roman" w:eastAsia="Times New Roman" w:hAnsi="Times New Roman" w:cs="Times New Roman"/>
                <w:sz w:val="24"/>
                <w:szCs w:val="24"/>
                <w:lang w:eastAsia="ru-RU"/>
              </w:rPr>
              <w:t>-3446,2</w:t>
            </w:r>
          </w:p>
        </w:tc>
      </w:tr>
    </w:tbl>
    <w:p w:rsidR="00614C10" w:rsidRDefault="00614C10" w:rsidP="00614C10">
      <w:pPr>
        <w:widowControl w:val="0"/>
        <w:autoSpaceDE w:val="0"/>
        <w:autoSpaceDN w:val="0"/>
        <w:adjustRightInd w:val="0"/>
        <w:spacing w:after="0" w:line="240" w:lineRule="auto"/>
        <w:ind w:left="709"/>
        <w:contextualSpacing/>
        <w:jc w:val="both"/>
        <w:rPr>
          <w:rFonts w:ascii="Times New Roman" w:eastAsia="Times New Roman" w:hAnsi="Times New Roman" w:cs="Times New Roman"/>
          <w:i/>
          <w:sz w:val="24"/>
          <w:szCs w:val="24"/>
          <w:lang w:eastAsia="ru-RU"/>
        </w:rPr>
      </w:pPr>
    </w:p>
    <w:p w:rsidR="00614C10" w:rsidRPr="00614C10" w:rsidRDefault="00614C10"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614C10">
        <w:rPr>
          <w:rFonts w:ascii="Times New Roman" w:eastAsia="Times New Roman" w:hAnsi="Times New Roman" w:cs="Times New Roman"/>
          <w:i/>
          <w:sz w:val="24"/>
          <w:szCs w:val="24"/>
          <w:lang w:eastAsia="ru-RU"/>
        </w:rPr>
        <w:t>Подпрограмма «Развитие водохозяйственного комплекса и охрана окружающей среды в Амурской области»</w:t>
      </w:r>
    </w:p>
    <w:p w:rsidR="00614C10" w:rsidRPr="00614C10" w:rsidRDefault="00614C10" w:rsidP="00614C10">
      <w:pPr>
        <w:spacing w:after="0" w:line="240" w:lineRule="auto"/>
        <w:ind w:firstLine="709"/>
        <w:jc w:val="both"/>
        <w:rPr>
          <w:rFonts w:ascii="Times New Roman" w:eastAsia="Calibri" w:hAnsi="Times New Roman" w:cs="Times New Roman"/>
          <w:sz w:val="24"/>
          <w:szCs w:val="24"/>
        </w:rPr>
      </w:pPr>
      <w:r w:rsidRPr="00614C10">
        <w:rPr>
          <w:rFonts w:ascii="Times New Roman" w:eastAsia="Times New Roman" w:hAnsi="Times New Roman" w:cs="Times New Roman"/>
          <w:sz w:val="24"/>
          <w:szCs w:val="24"/>
          <w:lang w:eastAsia="ru-RU"/>
        </w:rPr>
        <w:t>Сводной бюджетной росписью н</w:t>
      </w:r>
      <w:r w:rsidRPr="00614C10">
        <w:rPr>
          <w:rFonts w:ascii="Times New Roman" w:eastAsia="Calibri" w:hAnsi="Times New Roman" w:cs="Times New Roman"/>
          <w:sz w:val="24"/>
          <w:szCs w:val="24"/>
        </w:rPr>
        <w:t xml:space="preserve">а реализацию подпрограммы в 2015 году по целевой статье расходов 0410000 утверждены ассигнования в сумме 296991,8 тыс. рублей, в том числе за счет средств федерального бюджета – 41891,8 тыс. рублей, областного бюджета – 255100,0 тыс. рублей (в соответствии с ассигнованиями государственной программы). </w:t>
      </w:r>
    </w:p>
    <w:p w:rsidR="00614C10" w:rsidRPr="00614C10" w:rsidRDefault="00614C10" w:rsidP="00614C10">
      <w:pPr>
        <w:spacing w:after="0" w:line="240" w:lineRule="auto"/>
        <w:ind w:firstLine="709"/>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91,7 процента.</w:t>
      </w:r>
    </w:p>
    <w:p w:rsidR="00614C10" w:rsidRPr="00614C10" w:rsidRDefault="00614C10" w:rsidP="00614C10">
      <w:pPr>
        <w:spacing w:after="0" w:line="240" w:lineRule="auto"/>
        <w:ind w:firstLine="709"/>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В общем объеме расходов государственной программы доля расходов по данной подпрограмме составляет 25,2 процента.</w:t>
      </w:r>
    </w:p>
    <w:p w:rsidR="00614C10" w:rsidRPr="00614C10" w:rsidRDefault="00614C10" w:rsidP="00614C10">
      <w:pPr>
        <w:spacing w:after="0" w:line="240" w:lineRule="auto"/>
        <w:ind w:firstLine="709"/>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Стопроцентное исполнение сложилось по мероприятию «Капитальные вложения в объекты муниципальной собственности» (г.Благовещенск. Берегоукрепление и реконструкция набережной р. Амур») за счет средств федерального бюджета.</w:t>
      </w:r>
    </w:p>
    <w:p w:rsidR="00614C10" w:rsidRPr="00614C10" w:rsidRDefault="00614C10" w:rsidP="00614C1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 xml:space="preserve">При этом ассигнования, выделенные из федерального бюджета в рамках федеральной целевой программы «Развитие водохозяйственного комплекса Российской Федерации в 2012-2020 годах» на условиях софинансирования строительных работ на объекте </w:t>
      </w:r>
      <w:r w:rsidRPr="00614C10">
        <w:rPr>
          <w:rFonts w:ascii="Times New Roman" w:eastAsia="Calibri" w:hAnsi="Times New Roman" w:cs="Times New Roman"/>
          <w:bCs/>
          <w:sz w:val="24"/>
          <w:szCs w:val="24"/>
        </w:rPr>
        <w:t>«Берегоукрепление р. Амур у с. Сергеевка Благовещенского района»</w:t>
      </w:r>
      <w:r w:rsidRPr="00614C10">
        <w:rPr>
          <w:rFonts w:ascii="Times New Roman" w:eastAsia="Calibri" w:hAnsi="Times New Roman" w:cs="Times New Roman"/>
          <w:sz w:val="24"/>
          <w:szCs w:val="24"/>
        </w:rPr>
        <w:t xml:space="preserve"> в сумме 21486,3 тыс. рублей, не исполнены.</w:t>
      </w:r>
    </w:p>
    <w:p w:rsidR="00614C10" w:rsidRPr="00614C10" w:rsidRDefault="00614C10" w:rsidP="00614C1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Низкий уровень исполнения (84,6 процента) наблюдается по мероприятию «Осуществление отдельных полномочий в области водных отношений».</w:t>
      </w:r>
    </w:p>
    <w:p w:rsidR="00614C10" w:rsidRPr="00614C10" w:rsidRDefault="00614C10"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614C10">
        <w:rPr>
          <w:rFonts w:ascii="Times New Roman" w:eastAsia="Times New Roman" w:hAnsi="Times New Roman" w:cs="Times New Roman"/>
          <w:i/>
          <w:sz w:val="24"/>
          <w:szCs w:val="24"/>
          <w:lang w:eastAsia="ru-RU"/>
        </w:rPr>
        <w:t>Подпрограмма «Совершенствование условий функционирования системы особо охраняемых природных территорий и системы охраны объектов животного мира Амурской области»</w:t>
      </w:r>
    </w:p>
    <w:p w:rsidR="00614C10" w:rsidRPr="00614C10" w:rsidRDefault="00614C10" w:rsidP="00614C10">
      <w:pPr>
        <w:spacing w:after="0" w:line="240" w:lineRule="auto"/>
        <w:ind w:firstLine="709"/>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 xml:space="preserve">Бюджетные ассигнования по подпрограмме утверждены в расходах областного бюджета по целевой статье расходов 0420000 в сумме 60229,0 тыс. рублей, в том числе за счет средств федерального бюджета – 21773,8 тыс. рублей, областного бюджета – </w:t>
      </w:r>
      <w:r w:rsidRPr="00614C10">
        <w:rPr>
          <w:rFonts w:ascii="Times New Roman" w:eastAsia="Calibri" w:hAnsi="Times New Roman" w:cs="Times New Roman"/>
          <w:sz w:val="24"/>
          <w:szCs w:val="24"/>
        </w:rPr>
        <w:br/>
        <w:t>38455,2 тыс. рублей. В общем объеме расходов государственной программы доля расходов данной подпрограммы составляет 5,5 процента.</w:t>
      </w:r>
    </w:p>
    <w:p w:rsidR="00614C10" w:rsidRPr="00614C10" w:rsidRDefault="00614C10" w:rsidP="00614C10">
      <w:pPr>
        <w:spacing w:after="0" w:line="240" w:lineRule="auto"/>
        <w:ind w:firstLine="709"/>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98,3 процента.</w:t>
      </w:r>
    </w:p>
    <w:p w:rsidR="00614C10" w:rsidRPr="00614C10" w:rsidRDefault="00614C10" w:rsidP="00614C10">
      <w:pPr>
        <w:spacing w:after="0" w:line="240" w:lineRule="auto"/>
        <w:ind w:firstLine="709"/>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В полном объеме исполнены ассигнования, предусмотренные на обеспечение деятельности (оказание услуг) государственных учреждений.</w:t>
      </w:r>
    </w:p>
    <w:p w:rsidR="00614C10" w:rsidRPr="00614C10" w:rsidRDefault="00614C10" w:rsidP="00614C1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Исполнение ассигнований по мероприятию «Совершенствование организации охраны объектов животного мира и среды их обитания», в рамках которого предусмотрено: создание и содержание инфраструктуры для обеспечения функционирования ООПТ и развития рекреационной, научной и эколого-просветительской деятельности; материально-техническое обеспечение охраны объектов животного мира; осуществление авиапатрулирования, проведение мероприятий по сохранению биоразнообразия и отслеживанию его состояния; мероприятий по реинтродукции, охраны тигров и среды их обитания, мониторинг состояния зверей, составило 80,4 процента.</w:t>
      </w:r>
    </w:p>
    <w:p w:rsidR="00614C10" w:rsidRPr="00614C10" w:rsidRDefault="00614C10" w:rsidP="00C813D5">
      <w:pPr>
        <w:autoSpaceDE w:val="0"/>
        <w:autoSpaceDN w:val="0"/>
        <w:adjustRightInd w:val="0"/>
        <w:spacing w:after="0" w:line="288" w:lineRule="auto"/>
        <w:ind w:firstLine="708"/>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 xml:space="preserve">Ассигнования, выделенные из федерального бюджета в виде субвенций на осуществление полномочий Российской Федерации в области: организации, регулирования и охраны водных биологических ресурсов; охраны и использования объектов животного мира </w:t>
      </w:r>
      <w:r w:rsidRPr="00614C10">
        <w:rPr>
          <w:rFonts w:ascii="Times New Roman" w:eastAsia="Calibri" w:hAnsi="Times New Roman" w:cs="Times New Roman"/>
          <w:sz w:val="24"/>
          <w:szCs w:val="24"/>
        </w:rPr>
        <w:lastRenderedPageBreak/>
        <w:t>(за исключением охотничьих ресурсов и водных биологических ресурсов);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исполнены в полном объеме.</w:t>
      </w:r>
    </w:p>
    <w:p w:rsidR="00614C10" w:rsidRPr="00614C10" w:rsidRDefault="00614C10" w:rsidP="00C813D5">
      <w:pPr>
        <w:widowControl w:val="0"/>
        <w:numPr>
          <w:ilvl w:val="0"/>
          <w:numId w:val="7"/>
        </w:numPr>
        <w:autoSpaceDE w:val="0"/>
        <w:autoSpaceDN w:val="0"/>
        <w:adjustRightInd w:val="0"/>
        <w:spacing w:after="0" w:line="288" w:lineRule="auto"/>
        <w:ind w:left="0" w:firstLine="709"/>
        <w:contextualSpacing/>
        <w:rPr>
          <w:rFonts w:ascii="Times New Roman" w:eastAsia="Times New Roman" w:hAnsi="Times New Roman" w:cs="Times New Roman"/>
          <w:i/>
          <w:sz w:val="24"/>
          <w:szCs w:val="24"/>
          <w:lang w:eastAsia="ru-RU"/>
        </w:rPr>
      </w:pPr>
      <w:r w:rsidRPr="00614C10">
        <w:rPr>
          <w:rFonts w:ascii="Times New Roman" w:eastAsia="Times New Roman" w:hAnsi="Times New Roman" w:cs="Times New Roman"/>
          <w:i/>
          <w:sz w:val="24"/>
          <w:szCs w:val="24"/>
          <w:lang w:eastAsia="ru-RU"/>
        </w:rPr>
        <w:t>Подпрограмма «Развитие лесного хозяйства в Амурской области»</w:t>
      </w:r>
    </w:p>
    <w:p w:rsidR="00614C10" w:rsidRPr="00614C10" w:rsidRDefault="00614C10" w:rsidP="00C813D5">
      <w:pPr>
        <w:spacing w:after="0" w:line="288" w:lineRule="auto"/>
        <w:ind w:firstLine="709"/>
        <w:jc w:val="both"/>
        <w:rPr>
          <w:rFonts w:ascii="Times New Roman" w:eastAsia="Calibri" w:hAnsi="Times New Roman" w:cs="Times New Roman"/>
          <w:sz w:val="24"/>
          <w:szCs w:val="24"/>
        </w:rPr>
      </w:pPr>
      <w:r w:rsidRPr="00614C10">
        <w:rPr>
          <w:rFonts w:ascii="Times New Roman" w:eastAsia="Times New Roman" w:hAnsi="Times New Roman" w:cs="Times New Roman"/>
          <w:sz w:val="24"/>
          <w:szCs w:val="24"/>
          <w:lang w:eastAsia="ru-RU"/>
        </w:rPr>
        <w:t>Сводной бюджетной росписью н</w:t>
      </w:r>
      <w:r w:rsidRPr="00614C10">
        <w:rPr>
          <w:rFonts w:ascii="Times New Roman" w:eastAsia="Calibri" w:hAnsi="Times New Roman" w:cs="Times New Roman"/>
          <w:sz w:val="24"/>
          <w:szCs w:val="24"/>
        </w:rPr>
        <w:t>а реализацию подпрограммы в 2015 году по целевой статье расходов 0430000 утверждены ассигнования в сумме 679922,0 тыс. рублей, в том числе за счет средств федерального бюджета – 588195,5 тыс. рублей, областного бюджета – 91726,5 тыс. рублей. В общем объеме расходов государственной программы доля расходов по данной подпрограмме составляет 62,6 процента.</w:t>
      </w:r>
    </w:p>
    <w:p w:rsidR="00614C10" w:rsidRPr="00614C10" w:rsidRDefault="00614C10" w:rsidP="00C813D5">
      <w:pPr>
        <w:spacing w:after="0" w:line="288" w:lineRule="auto"/>
        <w:ind w:firstLine="708"/>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99,7 процента.</w:t>
      </w:r>
    </w:p>
    <w:p w:rsidR="00614C10" w:rsidRPr="00614C10" w:rsidRDefault="00614C10" w:rsidP="00C813D5">
      <w:pPr>
        <w:spacing w:after="0" w:line="288" w:lineRule="auto"/>
        <w:ind w:firstLine="709"/>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Исполнение ассигнований, предусмотренных на обеспечение деятельности (оказание услуг) государственных учреждений, составило 97,6 процента.</w:t>
      </w:r>
    </w:p>
    <w:p w:rsidR="00614C10" w:rsidRPr="00614C10" w:rsidRDefault="00614C10" w:rsidP="00C813D5">
      <w:pPr>
        <w:autoSpaceDE w:val="0"/>
        <w:autoSpaceDN w:val="0"/>
        <w:adjustRightInd w:val="0"/>
        <w:spacing w:after="0" w:line="288" w:lineRule="auto"/>
        <w:ind w:firstLine="708"/>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Ассигнования, выделенные из федерального бюджета на осуществление отдельных полномочий в области лесных отношений, исполнены на 100,0 процентов (588195,2 тыс. рублей).</w:t>
      </w:r>
    </w:p>
    <w:p w:rsidR="00614C10" w:rsidRPr="00614C10" w:rsidRDefault="00614C10" w:rsidP="00C813D5">
      <w:pPr>
        <w:autoSpaceDE w:val="0"/>
        <w:autoSpaceDN w:val="0"/>
        <w:adjustRightInd w:val="0"/>
        <w:spacing w:after="0" w:line="288" w:lineRule="auto"/>
        <w:ind w:firstLine="709"/>
        <w:jc w:val="both"/>
        <w:rPr>
          <w:rFonts w:ascii="Times New Roman" w:eastAsia="Calibri" w:hAnsi="Times New Roman" w:cs="Times New Roman"/>
          <w:sz w:val="24"/>
          <w:szCs w:val="24"/>
        </w:rPr>
      </w:pPr>
      <w:r w:rsidRPr="00614C10">
        <w:rPr>
          <w:rFonts w:ascii="Times New Roman" w:eastAsia="Calibri" w:hAnsi="Times New Roman" w:cs="Times New Roman"/>
          <w:sz w:val="24"/>
          <w:szCs w:val="24"/>
        </w:rPr>
        <w:t>Согласно приложению № 1 к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w:t>
      </w:r>
      <w:r w:rsidR="00D21DB6">
        <w:rPr>
          <w:rFonts w:ascii="Times New Roman" w:eastAsia="Calibri" w:hAnsi="Times New Roman" w:cs="Times New Roman"/>
          <w:sz w:val="24"/>
          <w:szCs w:val="24"/>
        </w:rPr>
        <w:t>5</w:t>
      </w:r>
      <w:r w:rsidRPr="00614C10">
        <w:rPr>
          <w:rFonts w:ascii="Times New Roman" w:eastAsia="Calibri" w:hAnsi="Times New Roman" w:cs="Times New Roman"/>
          <w:sz w:val="24"/>
          <w:szCs w:val="24"/>
        </w:rPr>
        <w:t xml:space="preserve"> год кассовые расходы за счет средств федерального бюджета на осуществление отдельных полномочий в области лесных отношений составили </w:t>
      </w:r>
      <w:r w:rsidR="00D21DB6" w:rsidRPr="00614C10">
        <w:rPr>
          <w:rFonts w:ascii="Times New Roman" w:eastAsia="Calibri" w:hAnsi="Times New Roman" w:cs="Times New Roman"/>
          <w:sz w:val="24"/>
          <w:szCs w:val="24"/>
        </w:rPr>
        <w:t xml:space="preserve">588195,2 </w:t>
      </w:r>
      <w:r w:rsidRPr="00614C10">
        <w:rPr>
          <w:rFonts w:ascii="Times New Roman" w:eastAsia="Calibri" w:hAnsi="Times New Roman" w:cs="Times New Roman"/>
          <w:sz w:val="24"/>
          <w:szCs w:val="24"/>
        </w:rPr>
        <w:t>тыс. рублей.</w:t>
      </w:r>
    </w:p>
    <w:p w:rsidR="00614C10" w:rsidRPr="00614C10" w:rsidRDefault="00614C10" w:rsidP="00C813D5">
      <w:pPr>
        <w:widowControl w:val="0"/>
        <w:autoSpaceDE w:val="0"/>
        <w:autoSpaceDN w:val="0"/>
        <w:adjustRightInd w:val="0"/>
        <w:spacing w:after="0" w:line="288" w:lineRule="auto"/>
        <w:ind w:firstLine="709"/>
        <w:jc w:val="both"/>
        <w:rPr>
          <w:rFonts w:ascii="Times New Roman" w:eastAsia="Times New Roman" w:hAnsi="Times New Roman" w:cs="Times New Roman"/>
          <w:i/>
          <w:sz w:val="24"/>
          <w:szCs w:val="24"/>
          <w:lang w:eastAsia="ru-RU"/>
        </w:rPr>
      </w:pPr>
      <w:r w:rsidRPr="00614C10">
        <w:rPr>
          <w:rFonts w:ascii="Times New Roman" w:eastAsia="Times New Roman" w:hAnsi="Times New Roman" w:cs="Times New Roman"/>
          <w:i/>
          <w:sz w:val="24"/>
          <w:szCs w:val="24"/>
          <w:lang w:eastAsia="ru-RU"/>
        </w:rPr>
        <w:t>Отражен</w:t>
      </w:r>
      <w:r w:rsidR="00D21DB6">
        <w:rPr>
          <w:rFonts w:ascii="Times New Roman" w:eastAsia="Times New Roman" w:hAnsi="Times New Roman" w:cs="Times New Roman"/>
          <w:i/>
          <w:sz w:val="24"/>
          <w:szCs w:val="24"/>
          <w:lang w:eastAsia="ru-RU"/>
        </w:rPr>
        <w:t>ные</w:t>
      </w:r>
      <w:r w:rsidRPr="00614C10">
        <w:rPr>
          <w:rFonts w:ascii="Times New Roman" w:eastAsia="Times New Roman" w:hAnsi="Times New Roman" w:cs="Times New Roman"/>
          <w:i/>
          <w:sz w:val="24"/>
          <w:szCs w:val="24"/>
          <w:lang w:eastAsia="ru-RU"/>
        </w:rPr>
        <w:t xml:space="preserve"> в докладе </w:t>
      </w:r>
      <w:r w:rsidRPr="00614C10">
        <w:rPr>
          <w:rFonts w:ascii="Times New Roman" w:eastAsia="Calibri" w:hAnsi="Times New Roman" w:cs="Times New Roman"/>
          <w:i/>
          <w:sz w:val="24"/>
          <w:szCs w:val="24"/>
        </w:rPr>
        <w:t>о ходе реализации и об оценке эффективности государственных программ области показател</w:t>
      </w:r>
      <w:r w:rsidR="00D21DB6">
        <w:rPr>
          <w:rFonts w:ascii="Times New Roman" w:eastAsia="Calibri" w:hAnsi="Times New Roman" w:cs="Times New Roman"/>
          <w:i/>
          <w:sz w:val="24"/>
          <w:szCs w:val="24"/>
        </w:rPr>
        <w:t>и</w:t>
      </w:r>
      <w:r w:rsidRPr="00614C10">
        <w:rPr>
          <w:rFonts w:ascii="Times New Roman" w:eastAsia="Calibri" w:hAnsi="Times New Roman" w:cs="Times New Roman"/>
          <w:i/>
          <w:sz w:val="24"/>
          <w:szCs w:val="24"/>
        </w:rPr>
        <w:t xml:space="preserve"> о кассовом исполнении государственных программ, </w:t>
      </w:r>
      <w:r w:rsidR="00D21DB6">
        <w:rPr>
          <w:rFonts w:ascii="Times New Roman" w:eastAsia="Calibri" w:hAnsi="Times New Roman" w:cs="Times New Roman"/>
          <w:i/>
          <w:sz w:val="24"/>
          <w:szCs w:val="24"/>
        </w:rPr>
        <w:t>соответствуют</w:t>
      </w:r>
      <w:r w:rsidRPr="00614C10">
        <w:rPr>
          <w:rFonts w:ascii="Times New Roman" w:eastAsia="Calibri" w:hAnsi="Times New Roman" w:cs="Times New Roman"/>
          <w:i/>
          <w:sz w:val="24"/>
          <w:szCs w:val="24"/>
        </w:rPr>
        <w:t xml:space="preserve"> аналогичным показателям, предусмотренным сводной бюджетной росписью расходов, и показателям годового отчета о</w:t>
      </w:r>
      <w:r w:rsidR="00D21DB6">
        <w:rPr>
          <w:rFonts w:ascii="Times New Roman" w:eastAsia="Calibri" w:hAnsi="Times New Roman" w:cs="Times New Roman"/>
          <w:i/>
          <w:sz w:val="24"/>
          <w:szCs w:val="24"/>
        </w:rPr>
        <w:t>б исполнении областного бюджета.</w:t>
      </w:r>
    </w:p>
    <w:p w:rsidR="00614C10" w:rsidRPr="00614C10" w:rsidRDefault="00614C10" w:rsidP="00C813D5">
      <w:pPr>
        <w:widowControl w:val="0"/>
        <w:numPr>
          <w:ilvl w:val="0"/>
          <w:numId w:val="7"/>
        </w:numPr>
        <w:autoSpaceDE w:val="0"/>
        <w:autoSpaceDN w:val="0"/>
        <w:adjustRightInd w:val="0"/>
        <w:spacing w:after="0" w:line="288" w:lineRule="auto"/>
        <w:ind w:left="0" w:firstLine="709"/>
        <w:contextualSpacing/>
        <w:jc w:val="both"/>
        <w:rPr>
          <w:rFonts w:ascii="Times New Roman" w:eastAsia="Times New Roman" w:hAnsi="Times New Roman" w:cs="Times New Roman"/>
          <w:i/>
          <w:sz w:val="24"/>
          <w:szCs w:val="24"/>
          <w:lang w:eastAsia="ru-RU"/>
        </w:rPr>
      </w:pPr>
      <w:r w:rsidRPr="00614C10">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614C10" w:rsidRPr="00614C10" w:rsidRDefault="00614C10" w:rsidP="00C813D5">
      <w:pPr>
        <w:spacing w:after="0" w:line="288" w:lineRule="auto"/>
        <w:ind w:firstLine="709"/>
        <w:jc w:val="both"/>
        <w:rPr>
          <w:rFonts w:ascii="Times New Roman" w:eastAsia="Calibri" w:hAnsi="Times New Roman" w:cs="Times New Roman"/>
          <w:sz w:val="24"/>
          <w:szCs w:val="24"/>
        </w:rPr>
      </w:pPr>
      <w:r w:rsidRPr="00614C10">
        <w:rPr>
          <w:rFonts w:ascii="Times New Roman" w:eastAsia="Times New Roman" w:hAnsi="Times New Roman" w:cs="Times New Roman"/>
          <w:sz w:val="24"/>
          <w:szCs w:val="24"/>
          <w:lang w:eastAsia="ru-RU"/>
        </w:rPr>
        <w:t>Сводной бюджетной росписью н</w:t>
      </w:r>
      <w:r w:rsidRPr="00614C10">
        <w:rPr>
          <w:rFonts w:ascii="Times New Roman" w:eastAsia="Calibri" w:hAnsi="Times New Roman" w:cs="Times New Roman"/>
          <w:sz w:val="24"/>
          <w:szCs w:val="24"/>
        </w:rPr>
        <w:t xml:space="preserve">а реализацию подпрограммы в 2015 году по целевой статье расходов 0440000 утверждены ассигнования областного бюджета в сумме </w:t>
      </w:r>
      <w:r w:rsidRPr="00614C10">
        <w:rPr>
          <w:rFonts w:ascii="Times New Roman" w:eastAsia="Calibri" w:hAnsi="Times New Roman" w:cs="Times New Roman"/>
          <w:sz w:val="24"/>
          <w:szCs w:val="24"/>
        </w:rPr>
        <w:br/>
        <w:t>76646,6 тыс. рублей. В общем объеме расходов государственной программы доля расходов подпрограммы составляет 6,8 процента.</w:t>
      </w:r>
    </w:p>
    <w:p w:rsidR="00614C10" w:rsidRPr="00B05D33" w:rsidRDefault="00614C10" w:rsidP="00C813D5">
      <w:pPr>
        <w:autoSpaceDE w:val="0"/>
        <w:autoSpaceDN w:val="0"/>
        <w:adjustRightInd w:val="0"/>
        <w:spacing w:after="0" w:line="288" w:lineRule="auto"/>
        <w:ind w:firstLine="708"/>
        <w:jc w:val="both"/>
        <w:rPr>
          <w:rFonts w:ascii="Times New Roman" w:eastAsia="Times New Roman" w:hAnsi="Times New Roman" w:cs="Times New Roman"/>
          <w:sz w:val="24"/>
          <w:szCs w:val="24"/>
          <w:lang w:eastAsia="ru-RU"/>
        </w:rPr>
      </w:pPr>
      <w:r w:rsidRPr="00614C10">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95,5 процента. В рамках подпрограммы</w:t>
      </w:r>
      <w:r w:rsidRPr="00614C10">
        <w:rPr>
          <w:rFonts w:ascii="Calibri" w:eastAsia="Calibri" w:hAnsi="Calibri" w:cs="Times New Roman"/>
          <w:sz w:val="24"/>
          <w:szCs w:val="24"/>
        </w:rPr>
        <w:t xml:space="preserve"> </w:t>
      </w:r>
      <w:r w:rsidRPr="00614C10">
        <w:rPr>
          <w:rFonts w:ascii="Times New Roman" w:eastAsia="Calibri" w:hAnsi="Times New Roman" w:cs="Times New Roman"/>
          <w:sz w:val="24"/>
          <w:szCs w:val="24"/>
        </w:rPr>
        <w:t>осуществлялось финансирование расходов на обеспечение функций исполнительных органов государственной власти области (министерства природных ресурсов Амурской области, управления по охране, контролю и регулированию использования объектов животного мира и среды их обитания Амурской области и министерства лесного хозяйства и пожарной безопасности Амурской области).</w:t>
      </w:r>
      <w:r w:rsidR="00C813D5">
        <w:rPr>
          <w:rFonts w:ascii="Times New Roman" w:eastAsia="Calibri" w:hAnsi="Times New Roman" w:cs="Times New Roman"/>
          <w:sz w:val="24"/>
          <w:szCs w:val="24"/>
        </w:rPr>
        <w:t xml:space="preserve"> </w:t>
      </w:r>
      <w:r w:rsidRPr="00614C10">
        <w:rPr>
          <w:rFonts w:ascii="Times New Roman" w:eastAsia="Times New Roman" w:hAnsi="Times New Roman" w:cs="Times New Roman"/>
          <w:sz w:val="24"/>
          <w:szCs w:val="24"/>
          <w:lang w:eastAsia="ru-RU"/>
        </w:rPr>
        <w:t>Основные направления расходов по государственной программе представлены на рисунке</w:t>
      </w:r>
      <w:r w:rsidRPr="00614C10">
        <w:rPr>
          <w:rFonts w:ascii="Times New Roman" w:eastAsia="Times New Roman" w:hAnsi="Times New Roman" w:cs="Times New Roman"/>
          <w:color w:val="0070C0"/>
          <w:sz w:val="24"/>
          <w:szCs w:val="24"/>
          <w:lang w:eastAsia="ru-RU"/>
        </w:rPr>
        <w:t xml:space="preserve"> </w:t>
      </w:r>
      <w:r w:rsidRPr="00614C10">
        <w:rPr>
          <w:rFonts w:ascii="Times New Roman" w:eastAsia="Times New Roman" w:hAnsi="Times New Roman" w:cs="Times New Roman"/>
          <w:sz w:val="24"/>
          <w:szCs w:val="24"/>
          <w:lang w:eastAsia="ru-RU"/>
        </w:rPr>
        <w:t>26.</w:t>
      </w:r>
    </w:p>
    <w:p w:rsidR="00614C10" w:rsidRPr="00614C10" w:rsidRDefault="00614C10" w:rsidP="00D7638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lastRenderedPageBreak/>
        <w:drawing>
          <wp:inline distT="0" distB="0" distL="0" distR="0">
            <wp:extent cx="6143625" cy="3324225"/>
            <wp:effectExtent l="0" t="0" r="0" b="0"/>
            <wp:docPr id="3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14C10" w:rsidRPr="00BF5AA9" w:rsidRDefault="00614C10" w:rsidP="00BF5AA9">
      <w:pPr>
        <w:spacing w:after="0" w:line="240" w:lineRule="auto"/>
        <w:ind w:firstLine="709"/>
        <w:jc w:val="center"/>
        <w:rPr>
          <w:rFonts w:ascii="Times New Roman" w:eastAsia="Calibri" w:hAnsi="Times New Roman" w:cs="Times New Roman"/>
          <w:b/>
          <w:noProof/>
          <w:sz w:val="24"/>
          <w:szCs w:val="24"/>
          <w:lang w:eastAsia="ru-RU"/>
        </w:rPr>
      </w:pPr>
      <w:r w:rsidRPr="00BF5AA9">
        <w:rPr>
          <w:rFonts w:ascii="Times New Roman" w:eastAsia="Calibri" w:hAnsi="Times New Roman" w:cs="Times New Roman"/>
          <w:b/>
          <w:noProof/>
          <w:sz w:val="24"/>
          <w:szCs w:val="24"/>
          <w:lang w:eastAsia="ru-RU"/>
        </w:rPr>
        <w:t xml:space="preserve">Рис.26 – Основные направления расходов по государственной программе </w:t>
      </w:r>
      <w:r w:rsidR="00BF5AA9" w:rsidRPr="00614C10">
        <w:rPr>
          <w:rFonts w:ascii="Times New Roman" w:eastAsia="Times New Roman" w:hAnsi="Times New Roman" w:cs="Times New Roman"/>
          <w:b/>
          <w:sz w:val="24"/>
          <w:szCs w:val="24"/>
          <w:lang w:eastAsia="ru-RU"/>
        </w:rPr>
        <w:t>«Охрана окружающей среды на 2014-2020 годы»</w:t>
      </w:r>
      <w:r w:rsidR="00BF5AA9" w:rsidRPr="00BF5AA9">
        <w:rPr>
          <w:rFonts w:ascii="Times New Roman" w:eastAsia="Times New Roman" w:hAnsi="Times New Roman" w:cs="Times New Roman"/>
          <w:b/>
          <w:sz w:val="24"/>
          <w:szCs w:val="24"/>
          <w:lang w:eastAsia="ru-RU"/>
        </w:rPr>
        <w:t xml:space="preserve"> </w:t>
      </w:r>
      <w:r w:rsidRPr="00BF5AA9">
        <w:rPr>
          <w:rFonts w:ascii="Times New Roman" w:eastAsia="Calibri" w:hAnsi="Times New Roman" w:cs="Times New Roman"/>
          <w:b/>
          <w:noProof/>
          <w:sz w:val="24"/>
          <w:szCs w:val="24"/>
          <w:lang w:eastAsia="ru-RU"/>
        </w:rPr>
        <w:t>в 2015 году</w:t>
      </w:r>
      <w:r w:rsidR="00D7638B">
        <w:rPr>
          <w:rFonts w:ascii="Times New Roman" w:eastAsia="Calibri" w:hAnsi="Times New Roman" w:cs="Times New Roman"/>
          <w:b/>
          <w:noProof/>
          <w:sz w:val="24"/>
          <w:szCs w:val="24"/>
          <w:lang w:eastAsia="ru-RU"/>
        </w:rPr>
        <w:t>, млн. руб.</w:t>
      </w:r>
    </w:p>
    <w:p w:rsidR="00614C10" w:rsidRPr="00BF5AA9" w:rsidRDefault="00614C10" w:rsidP="00BF5AA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E285C" w:rsidRDefault="004E285C" w:rsidP="004E285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5.5. </w:t>
      </w:r>
      <w:r w:rsidR="00BD5D4A" w:rsidRPr="001A299F">
        <w:rPr>
          <w:rFonts w:ascii="Times New Roman" w:eastAsia="Times New Roman" w:hAnsi="Times New Roman" w:cs="Times New Roman"/>
          <w:b/>
          <w:sz w:val="24"/>
          <w:szCs w:val="24"/>
          <w:lang w:eastAsia="ru-RU"/>
        </w:rPr>
        <w:t xml:space="preserve">Исполнение расходов областного бюджета за 2015 год в рамках государственной программы </w:t>
      </w:r>
      <w:r w:rsidRPr="009A395F">
        <w:rPr>
          <w:rFonts w:ascii="Times New Roman" w:eastAsia="Times New Roman" w:hAnsi="Times New Roman" w:cs="Times New Roman"/>
          <w:b/>
          <w:sz w:val="24"/>
          <w:szCs w:val="24"/>
          <w:lang w:eastAsia="ru-RU"/>
        </w:rPr>
        <w:t>«Модернизация жилищно–коммунального комплекса, энергосбережение и повышение энергетической эффективности в Амурской области на 2014–2020 годы»</w:t>
      </w:r>
    </w:p>
    <w:p w:rsidR="004E285C" w:rsidRDefault="004E285C" w:rsidP="004E2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200">
        <w:rPr>
          <w:rFonts w:ascii="Times New Roman" w:eastAsia="Times New Roman" w:hAnsi="Times New Roman" w:cs="Times New Roman"/>
          <w:sz w:val="24"/>
          <w:szCs w:val="24"/>
          <w:lang w:eastAsia="ru-RU"/>
        </w:rPr>
        <w:t>Государственная программа «Модернизация жилищно–коммунального комплекса, энергосбережение и повышение энергетической эффективности в Амурской области на 2014–2020 годы»</w:t>
      </w:r>
      <w:r>
        <w:rPr>
          <w:rFonts w:ascii="Times New Roman" w:eastAsia="Times New Roman" w:hAnsi="Times New Roman" w:cs="Times New Roman"/>
          <w:sz w:val="24"/>
          <w:szCs w:val="24"/>
          <w:lang w:eastAsia="ru-RU"/>
        </w:rPr>
        <w:t xml:space="preserve"> утверждена постановлением </w:t>
      </w:r>
      <w:r w:rsidRPr="00483200">
        <w:rPr>
          <w:rFonts w:ascii="Times New Roman" w:eastAsia="Times New Roman" w:hAnsi="Times New Roman" w:cs="Times New Roman"/>
          <w:sz w:val="24"/>
          <w:szCs w:val="24"/>
          <w:lang w:eastAsia="ru-RU"/>
        </w:rPr>
        <w:t xml:space="preserve">Правительства Амурской области </w:t>
      </w:r>
      <w:r w:rsidR="00D302ED">
        <w:rPr>
          <w:rFonts w:ascii="Times New Roman" w:eastAsia="Times New Roman" w:hAnsi="Times New Roman" w:cs="Times New Roman"/>
          <w:sz w:val="24"/>
          <w:szCs w:val="24"/>
          <w:lang w:eastAsia="ru-RU"/>
        </w:rPr>
        <w:br/>
      </w:r>
      <w:r w:rsidRPr="00483200">
        <w:rPr>
          <w:rFonts w:ascii="Times New Roman" w:eastAsia="Times New Roman" w:hAnsi="Times New Roman" w:cs="Times New Roman"/>
          <w:sz w:val="24"/>
          <w:szCs w:val="24"/>
          <w:lang w:eastAsia="ru-RU"/>
        </w:rPr>
        <w:t xml:space="preserve">от 25.09.2013 </w:t>
      </w:r>
      <w:r>
        <w:rPr>
          <w:rFonts w:ascii="Times New Roman" w:eastAsia="Times New Roman" w:hAnsi="Times New Roman" w:cs="Times New Roman"/>
          <w:sz w:val="24"/>
          <w:szCs w:val="24"/>
          <w:lang w:eastAsia="ru-RU"/>
        </w:rPr>
        <w:t>№</w:t>
      </w:r>
      <w:r w:rsidRPr="00483200">
        <w:rPr>
          <w:rFonts w:ascii="Times New Roman" w:eastAsia="Times New Roman" w:hAnsi="Times New Roman" w:cs="Times New Roman"/>
          <w:sz w:val="24"/>
          <w:szCs w:val="24"/>
          <w:lang w:eastAsia="ru-RU"/>
        </w:rPr>
        <w:t xml:space="preserve"> 452</w:t>
      </w:r>
      <w:r>
        <w:rPr>
          <w:rFonts w:ascii="Times New Roman" w:eastAsia="Times New Roman" w:hAnsi="Times New Roman" w:cs="Times New Roman"/>
          <w:sz w:val="24"/>
          <w:szCs w:val="24"/>
          <w:lang w:eastAsia="ru-RU"/>
        </w:rPr>
        <w:t xml:space="preserve"> с объемом ассигнований на 2015 год 2539329,0 тыс. рублей, в том числе: за счет средств областного бюджета - 2514064,4</w:t>
      </w:r>
      <w:r w:rsidRPr="00483200">
        <w:rPr>
          <w:rFonts w:ascii="Times New Roman" w:eastAsia="Times New Roman" w:hAnsi="Times New Roman" w:cs="Times New Roman"/>
          <w:sz w:val="24"/>
          <w:szCs w:val="24"/>
          <w:lang w:eastAsia="ru-RU"/>
        </w:rPr>
        <w:t xml:space="preserve"> тыс. ру</w:t>
      </w:r>
      <w:r>
        <w:rPr>
          <w:rFonts w:ascii="Times New Roman" w:eastAsia="Times New Roman" w:hAnsi="Times New Roman" w:cs="Times New Roman"/>
          <w:sz w:val="24"/>
          <w:szCs w:val="24"/>
          <w:lang w:eastAsia="ru-RU"/>
        </w:rPr>
        <w:t xml:space="preserve">блей, за счет </w:t>
      </w:r>
      <w:r w:rsidRPr="00483200">
        <w:rPr>
          <w:rFonts w:ascii="Times New Roman" w:eastAsia="Times New Roman" w:hAnsi="Times New Roman" w:cs="Times New Roman"/>
          <w:sz w:val="24"/>
          <w:szCs w:val="24"/>
          <w:lang w:eastAsia="ru-RU"/>
        </w:rPr>
        <w:t>средств Фонда содействия реформированию жилищно-коммунального хозяйства</w:t>
      </w:r>
      <w:r>
        <w:rPr>
          <w:rFonts w:ascii="Times New Roman" w:eastAsia="Times New Roman" w:hAnsi="Times New Roman" w:cs="Times New Roman"/>
          <w:sz w:val="24"/>
          <w:szCs w:val="24"/>
          <w:lang w:eastAsia="ru-RU"/>
        </w:rPr>
        <w:t xml:space="preserve"> -</w:t>
      </w:r>
      <w:r w:rsidRPr="00686624">
        <w:rPr>
          <w:rFonts w:ascii="Times New Roman" w:eastAsia="Times New Roman" w:hAnsi="Times New Roman" w:cs="Times New Roman"/>
          <w:sz w:val="24"/>
          <w:szCs w:val="24"/>
          <w:lang w:eastAsia="ru-RU"/>
        </w:rPr>
        <w:t xml:space="preserve"> 25264,6</w:t>
      </w:r>
      <w:r>
        <w:rPr>
          <w:rFonts w:ascii="Times New Roman" w:eastAsia="Times New Roman" w:hAnsi="Times New Roman" w:cs="Times New Roman"/>
          <w:sz w:val="24"/>
          <w:szCs w:val="24"/>
          <w:lang w:eastAsia="ru-RU"/>
        </w:rPr>
        <w:t xml:space="preserve"> тыс. рублей.</w:t>
      </w:r>
    </w:p>
    <w:p w:rsidR="004E285C" w:rsidRDefault="004E285C" w:rsidP="004E2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Координатором государственной программы является министерство жилищно- коммунального хозяйства Амурской области.</w:t>
      </w:r>
    </w:p>
    <w:p w:rsidR="004E285C" w:rsidRDefault="004E285C" w:rsidP="004E2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395F">
        <w:rPr>
          <w:rFonts w:ascii="Times New Roman" w:eastAsia="Times New Roman" w:hAnsi="Times New Roman" w:cs="Times New Roman"/>
          <w:sz w:val="24"/>
          <w:szCs w:val="24"/>
          <w:lang w:eastAsia="ru-RU"/>
        </w:rPr>
        <w:t>Законом Амурской области «Об областном бюджете на 201</w:t>
      </w:r>
      <w:r>
        <w:rPr>
          <w:rFonts w:ascii="Times New Roman" w:eastAsia="Times New Roman" w:hAnsi="Times New Roman" w:cs="Times New Roman"/>
          <w:sz w:val="24"/>
          <w:szCs w:val="24"/>
          <w:lang w:eastAsia="ru-RU"/>
        </w:rPr>
        <w:t>5</w:t>
      </w:r>
      <w:r w:rsidRPr="009A395F">
        <w:rPr>
          <w:rFonts w:ascii="Times New Roman" w:eastAsia="Times New Roman" w:hAnsi="Times New Roman" w:cs="Times New Roman"/>
          <w:sz w:val="24"/>
          <w:szCs w:val="24"/>
          <w:lang w:eastAsia="ru-RU"/>
        </w:rPr>
        <w:t xml:space="preserve"> год и плановый период 201</w:t>
      </w:r>
      <w:r>
        <w:rPr>
          <w:rFonts w:ascii="Times New Roman" w:eastAsia="Times New Roman" w:hAnsi="Times New Roman" w:cs="Times New Roman"/>
          <w:sz w:val="24"/>
          <w:szCs w:val="24"/>
          <w:lang w:eastAsia="ru-RU"/>
        </w:rPr>
        <w:t>6</w:t>
      </w:r>
      <w:r w:rsidRPr="009A395F">
        <w:rPr>
          <w:rFonts w:ascii="Times New Roman" w:eastAsia="Times New Roman" w:hAnsi="Times New Roman" w:cs="Times New Roman"/>
          <w:sz w:val="24"/>
          <w:szCs w:val="24"/>
          <w:lang w:eastAsia="ru-RU"/>
        </w:rPr>
        <w:t xml:space="preserve"> и 201</w:t>
      </w:r>
      <w:r>
        <w:rPr>
          <w:rFonts w:ascii="Times New Roman" w:eastAsia="Times New Roman" w:hAnsi="Times New Roman" w:cs="Times New Roman"/>
          <w:sz w:val="24"/>
          <w:szCs w:val="24"/>
          <w:lang w:eastAsia="ru-RU"/>
        </w:rPr>
        <w:t>7</w:t>
      </w:r>
      <w:r w:rsidRPr="009A395F">
        <w:rPr>
          <w:rFonts w:ascii="Times New Roman" w:eastAsia="Times New Roman" w:hAnsi="Times New Roman" w:cs="Times New Roman"/>
          <w:sz w:val="24"/>
          <w:szCs w:val="24"/>
          <w:lang w:eastAsia="ru-RU"/>
        </w:rPr>
        <w:t xml:space="preserve"> годов»</w:t>
      </w:r>
      <w:r>
        <w:rPr>
          <w:rFonts w:ascii="Times New Roman" w:eastAsia="Times New Roman" w:hAnsi="Times New Roman" w:cs="Times New Roman"/>
          <w:sz w:val="24"/>
          <w:szCs w:val="24"/>
          <w:lang w:eastAsia="ru-RU"/>
        </w:rPr>
        <w:t xml:space="preserve"> на реализацию г</w:t>
      </w:r>
      <w:r w:rsidRPr="009A395F">
        <w:rPr>
          <w:rFonts w:ascii="Times New Roman" w:eastAsia="Times New Roman" w:hAnsi="Times New Roman" w:cs="Times New Roman"/>
          <w:sz w:val="24"/>
          <w:szCs w:val="24"/>
          <w:lang w:eastAsia="ru-RU"/>
        </w:rPr>
        <w:t>осударственн</w:t>
      </w:r>
      <w:r>
        <w:rPr>
          <w:rFonts w:ascii="Times New Roman" w:eastAsia="Times New Roman" w:hAnsi="Times New Roman" w:cs="Times New Roman"/>
          <w:sz w:val="24"/>
          <w:szCs w:val="24"/>
          <w:lang w:eastAsia="ru-RU"/>
        </w:rPr>
        <w:t>ой</w:t>
      </w:r>
      <w:r w:rsidRPr="009A395F">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9A395F">
        <w:rPr>
          <w:rFonts w:ascii="Times New Roman" w:eastAsia="Times New Roman" w:hAnsi="Times New Roman" w:cs="Times New Roman"/>
          <w:sz w:val="24"/>
          <w:szCs w:val="24"/>
          <w:lang w:eastAsia="ru-RU"/>
        </w:rPr>
        <w:t xml:space="preserve"> «Модернизация жилищно</w:t>
      </w:r>
      <w:r>
        <w:rPr>
          <w:rFonts w:ascii="Times New Roman" w:eastAsia="Times New Roman" w:hAnsi="Times New Roman" w:cs="Times New Roman"/>
          <w:sz w:val="24"/>
          <w:szCs w:val="24"/>
          <w:lang w:eastAsia="ru-RU"/>
        </w:rPr>
        <w:t>-</w:t>
      </w:r>
      <w:r w:rsidRPr="009A395F">
        <w:rPr>
          <w:rFonts w:ascii="Times New Roman" w:eastAsia="Times New Roman" w:hAnsi="Times New Roman" w:cs="Times New Roman"/>
          <w:sz w:val="24"/>
          <w:szCs w:val="24"/>
          <w:lang w:eastAsia="ru-RU"/>
        </w:rPr>
        <w:t>коммунального комплекса, энергосбережение и повышение энергетической эффективности в Амурской области на 2014–2020 годы»</w:t>
      </w:r>
      <w:r>
        <w:rPr>
          <w:rFonts w:ascii="Times New Roman" w:eastAsia="Times New Roman" w:hAnsi="Times New Roman" w:cs="Times New Roman"/>
          <w:sz w:val="24"/>
          <w:szCs w:val="24"/>
          <w:lang w:eastAsia="ru-RU"/>
        </w:rPr>
        <w:t xml:space="preserve"> утверждены бюджетные ассигнования в сумме 2514064,4 тыс. рублей.</w:t>
      </w:r>
      <w:r w:rsidR="00D302ED">
        <w:rPr>
          <w:rFonts w:ascii="Times New Roman" w:eastAsia="Times New Roman" w:hAnsi="Times New Roman" w:cs="Times New Roman"/>
          <w:sz w:val="24"/>
          <w:szCs w:val="24"/>
          <w:lang w:eastAsia="ru-RU"/>
        </w:rPr>
        <w:t xml:space="preserve"> </w:t>
      </w:r>
      <w:r w:rsidRPr="00954E75">
        <w:rPr>
          <w:rFonts w:ascii="Times New Roman" w:eastAsia="Times New Roman" w:hAnsi="Times New Roman" w:cs="Times New Roman"/>
          <w:sz w:val="24"/>
          <w:szCs w:val="24"/>
          <w:lang w:eastAsia="ru-RU"/>
        </w:rPr>
        <w:t xml:space="preserve">Отклонение плановых показателей, предусмотренных государственной программой, от плановых показателей, утвержденных законом области об областном бюджете на 2015 год, связано с тем, что ассигнования, предусмотренные в государственной программе </w:t>
      </w:r>
      <w:r>
        <w:rPr>
          <w:rFonts w:ascii="Times New Roman" w:eastAsia="Times New Roman" w:hAnsi="Times New Roman" w:cs="Times New Roman"/>
          <w:sz w:val="24"/>
          <w:szCs w:val="24"/>
          <w:lang w:eastAsia="ru-RU"/>
        </w:rPr>
        <w:t xml:space="preserve">по подпрограмме </w:t>
      </w:r>
      <w:r w:rsidRPr="006A0850">
        <w:rPr>
          <w:rFonts w:ascii="Times New Roman" w:eastAsia="Times New Roman" w:hAnsi="Times New Roman" w:cs="Times New Roman"/>
          <w:sz w:val="24"/>
          <w:szCs w:val="24"/>
          <w:lang w:eastAsia="ru-RU"/>
        </w:rPr>
        <w:t>«Капитальный ремонт многоквартирных домов на территории Амурской области»</w:t>
      </w:r>
      <w:r>
        <w:rPr>
          <w:rFonts w:ascii="Times New Roman" w:eastAsia="Times New Roman" w:hAnsi="Times New Roman" w:cs="Times New Roman"/>
          <w:sz w:val="24"/>
          <w:szCs w:val="24"/>
          <w:lang w:eastAsia="ru-RU"/>
        </w:rPr>
        <w:t xml:space="preserve"> </w:t>
      </w:r>
      <w:r w:rsidRPr="00954E75">
        <w:rPr>
          <w:rFonts w:ascii="Times New Roman" w:eastAsia="Times New Roman" w:hAnsi="Times New Roman" w:cs="Times New Roman"/>
          <w:sz w:val="24"/>
          <w:szCs w:val="24"/>
          <w:lang w:eastAsia="ru-RU"/>
        </w:rPr>
        <w:t xml:space="preserve">в сумме </w:t>
      </w:r>
      <w:r>
        <w:rPr>
          <w:rFonts w:ascii="Times New Roman" w:eastAsia="Times New Roman" w:hAnsi="Times New Roman" w:cs="Times New Roman"/>
          <w:sz w:val="24"/>
          <w:szCs w:val="24"/>
          <w:lang w:eastAsia="ru-RU"/>
        </w:rPr>
        <w:t>25264,6</w:t>
      </w:r>
      <w:r w:rsidRPr="00954E75">
        <w:rPr>
          <w:rFonts w:ascii="Times New Roman" w:eastAsia="Times New Roman" w:hAnsi="Times New Roman" w:cs="Times New Roman"/>
          <w:sz w:val="24"/>
          <w:szCs w:val="24"/>
          <w:lang w:eastAsia="ru-RU"/>
        </w:rPr>
        <w:t xml:space="preserve"> тыс. рублей, не предусмотрены законом области об</w:t>
      </w:r>
      <w:r>
        <w:rPr>
          <w:rFonts w:ascii="Times New Roman" w:eastAsia="Times New Roman" w:hAnsi="Times New Roman" w:cs="Times New Roman"/>
          <w:sz w:val="24"/>
          <w:szCs w:val="24"/>
          <w:lang w:eastAsia="ru-RU"/>
        </w:rPr>
        <w:t xml:space="preserve"> областном бюджете на 2015 год – средства Фонда содействия реформированию жилищно-коммунального хозяйства на о</w:t>
      </w:r>
      <w:r w:rsidRPr="006A0850">
        <w:rPr>
          <w:rFonts w:ascii="Times New Roman" w:eastAsia="Times New Roman" w:hAnsi="Times New Roman" w:cs="Times New Roman"/>
          <w:sz w:val="24"/>
          <w:szCs w:val="24"/>
          <w:lang w:eastAsia="ru-RU"/>
        </w:rPr>
        <w:t>беспечение мероприятий по капитальному ремонту многоквартирных домов</w:t>
      </w:r>
      <w:r>
        <w:rPr>
          <w:rFonts w:ascii="Times New Roman" w:eastAsia="Times New Roman" w:hAnsi="Times New Roman" w:cs="Times New Roman"/>
          <w:sz w:val="24"/>
          <w:szCs w:val="24"/>
          <w:lang w:eastAsia="ru-RU"/>
        </w:rPr>
        <w:t>.</w:t>
      </w:r>
    </w:p>
    <w:p w:rsidR="004E285C" w:rsidRDefault="004E285C" w:rsidP="004E2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Сводной бюджетной росписью расходов областного бюджета на 2015 год на реализацию программы предусмотрено 2520494,4 тыс. рублей.</w:t>
      </w:r>
      <w:r w:rsidR="00D30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Отклонение плановых показателей сводной бюджетной росписи расходов от плановых показателей, утвержденных законом об областном бюджете, составляет 6430,0</w:t>
      </w:r>
      <w:r w:rsidRPr="00861B84">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в том числе</w:t>
      </w:r>
      <w:r w:rsidR="00D30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113,8 тыс. рублей – средства областного бюджета, направленные на исполнение судебных актов;</w:t>
      </w:r>
      <w:r w:rsidR="00D302ED">
        <w:rPr>
          <w:rFonts w:ascii="Times New Roman" w:eastAsia="Times New Roman" w:hAnsi="Times New Roman" w:cs="Times New Roman"/>
          <w:sz w:val="24"/>
          <w:szCs w:val="24"/>
          <w:lang w:eastAsia="ru-RU"/>
        </w:rPr>
        <w:t xml:space="preserve"> </w:t>
      </w:r>
      <w:r w:rsidR="00D302E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6316,2 тыс. рублей – </w:t>
      </w:r>
      <w:r w:rsidRPr="00F80359">
        <w:rPr>
          <w:rFonts w:ascii="Times New Roman" w:eastAsia="Times New Roman" w:hAnsi="Times New Roman" w:cs="Times New Roman"/>
          <w:sz w:val="24"/>
          <w:szCs w:val="24"/>
          <w:lang w:eastAsia="ru-RU"/>
        </w:rPr>
        <w:t>средства Фонда содействия реформированию жилищно-коммунального хозяйства</w:t>
      </w:r>
      <w:r>
        <w:rPr>
          <w:rFonts w:ascii="Times New Roman" w:eastAsia="Times New Roman" w:hAnsi="Times New Roman" w:cs="Times New Roman"/>
          <w:sz w:val="24"/>
          <w:szCs w:val="24"/>
          <w:lang w:eastAsia="ru-RU"/>
        </w:rPr>
        <w:t xml:space="preserve"> на обеспечение мероприятий по капитальному ремонту многоквартирных домов в </w:t>
      </w:r>
      <w:r>
        <w:rPr>
          <w:rFonts w:ascii="Times New Roman" w:eastAsia="Times New Roman" w:hAnsi="Times New Roman" w:cs="Times New Roman"/>
          <w:sz w:val="24"/>
          <w:szCs w:val="24"/>
          <w:lang w:eastAsia="ru-RU"/>
        </w:rPr>
        <w:lastRenderedPageBreak/>
        <w:t xml:space="preserve">рамках подпрограммы </w:t>
      </w:r>
      <w:r w:rsidRPr="00F80359">
        <w:rPr>
          <w:rFonts w:ascii="Times New Roman" w:eastAsia="Times New Roman" w:hAnsi="Times New Roman" w:cs="Times New Roman"/>
          <w:sz w:val="24"/>
          <w:szCs w:val="24"/>
          <w:lang w:eastAsia="ru-RU"/>
        </w:rPr>
        <w:t>«Капитальный ремонт многоквартирных домов на территории Амурской области»</w:t>
      </w:r>
      <w:r>
        <w:rPr>
          <w:rFonts w:ascii="Times New Roman" w:eastAsia="Times New Roman" w:hAnsi="Times New Roman" w:cs="Times New Roman"/>
          <w:sz w:val="24"/>
          <w:szCs w:val="24"/>
          <w:lang w:eastAsia="ru-RU"/>
        </w:rPr>
        <w:t>.</w:t>
      </w:r>
    </w:p>
    <w:p w:rsidR="004E285C" w:rsidRPr="001C1D7B" w:rsidRDefault="004E285C" w:rsidP="004E285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C1D7B">
        <w:rPr>
          <w:rFonts w:ascii="Times New Roman" w:eastAsia="Times New Roman" w:hAnsi="Times New Roman" w:cs="Times New Roman"/>
          <w:color w:val="000000" w:themeColor="text1"/>
          <w:sz w:val="24"/>
          <w:szCs w:val="24"/>
          <w:lang w:eastAsia="ru-RU"/>
        </w:rPr>
        <w:t xml:space="preserve">Исполнение бюджетных назначений, предусмотренных на реализацию программы сводной бюджетной росписью расходов, составило </w:t>
      </w:r>
      <w:r>
        <w:rPr>
          <w:rFonts w:ascii="Times New Roman" w:eastAsia="Times New Roman" w:hAnsi="Times New Roman" w:cs="Times New Roman"/>
          <w:color w:val="000000" w:themeColor="text1"/>
          <w:sz w:val="24"/>
          <w:szCs w:val="24"/>
          <w:lang w:eastAsia="ru-RU"/>
        </w:rPr>
        <w:t>2461694,3</w:t>
      </w:r>
      <w:r w:rsidRPr="001C1D7B">
        <w:rPr>
          <w:rFonts w:ascii="Times New Roman" w:eastAsia="Times New Roman" w:hAnsi="Times New Roman" w:cs="Times New Roman"/>
          <w:color w:val="000000" w:themeColor="text1"/>
          <w:sz w:val="24"/>
          <w:szCs w:val="24"/>
          <w:lang w:eastAsia="ru-RU"/>
        </w:rPr>
        <w:t xml:space="preserve"> тыс. рублей, или 9</w:t>
      </w:r>
      <w:r>
        <w:rPr>
          <w:rFonts w:ascii="Times New Roman" w:eastAsia="Times New Roman" w:hAnsi="Times New Roman" w:cs="Times New Roman"/>
          <w:color w:val="000000" w:themeColor="text1"/>
          <w:sz w:val="24"/>
          <w:szCs w:val="24"/>
          <w:lang w:eastAsia="ru-RU"/>
        </w:rPr>
        <w:t>7,7</w:t>
      </w:r>
      <w:r w:rsidRPr="001C1D7B">
        <w:rPr>
          <w:rFonts w:ascii="Times New Roman" w:eastAsia="Times New Roman" w:hAnsi="Times New Roman" w:cs="Times New Roman"/>
          <w:color w:val="000000" w:themeColor="text1"/>
          <w:sz w:val="24"/>
          <w:szCs w:val="24"/>
          <w:lang w:eastAsia="ru-RU"/>
        </w:rPr>
        <w:t xml:space="preserve"> процента (объем неисполненных назначений составил </w:t>
      </w:r>
      <w:r>
        <w:rPr>
          <w:rFonts w:ascii="Times New Roman" w:eastAsia="Times New Roman" w:hAnsi="Times New Roman" w:cs="Times New Roman"/>
          <w:color w:val="000000" w:themeColor="text1"/>
          <w:sz w:val="24"/>
          <w:szCs w:val="24"/>
          <w:lang w:eastAsia="ru-RU"/>
        </w:rPr>
        <w:t>58800,1</w:t>
      </w:r>
      <w:r w:rsidRPr="001C1D7B">
        <w:rPr>
          <w:rFonts w:ascii="Times New Roman" w:eastAsia="Times New Roman" w:hAnsi="Times New Roman" w:cs="Times New Roman"/>
          <w:color w:val="000000" w:themeColor="text1"/>
          <w:sz w:val="24"/>
          <w:szCs w:val="24"/>
          <w:lang w:eastAsia="ru-RU"/>
        </w:rPr>
        <w:t xml:space="preserve"> тыс. рублей).</w:t>
      </w:r>
    </w:p>
    <w:p w:rsidR="004E285C" w:rsidRPr="001C1D7B" w:rsidRDefault="004E285C" w:rsidP="004E285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C1D7B">
        <w:rPr>
          <w:rFonts w:ascii="Times New Roman" w:eastAsia="Times New Roman" w:hAnsi="Times New Roman" w:cs="Times New Roman"/>
          <w:color w:val="000000" w:themeColor="text1"/>
          <w:sz w:val="24"/>
          <w:szCs w:val="24"/>
          <w:lang w:eastAsia="ru-RU"/>
        </w:rPr>
        <w:t>Государственная программа «Модернизация жилищно–коммунального комплекса, энергосбережение и повышение энергетической эффективности в Амурской области на 2014–2020 годы» включает 4 подпрограммы.</w:t>
      </w:r>
      <w:r w:rsidR="00D302ED">
        <w:rPr>
          <w:rFonts w:ascii="Times New Roman" w:eastAsia="Times New Roman" w:hAnsi="Times New Roman" w:cs="Times New Roman"/>
          <w:color w:val="000000" w:themeColor="text1"/>
          <w:sz w:val="24"/>
          <w:szCs w:val="24"/>
          <w:lang w:eastAsia="ru-RU"/>
        </w:rPr>
        <w:t xml:space="preserve"> </w:t>
      </w:r>
      <w:r w:rsidRPr="001C1D7B">
        <w:rPr>
          <w:rFonts w:ascii="Times New Roman" w:eastAsia="Times New Roman" w:hAnsi="Times New Roman" w:cs="Times New Roman"/>
          <w:color w:val="000000" w:themeColor="text1"/>
          <w:sz w:val="24"/>
          <w:szCs w:val="24"/>
          <w:lang w:eastAsia="ru-RU"/>
        </w:rPr>
        <w:t>В таблице</w:t>
      </w:r>
      <w:r w:rsidR="00D302ED">
        <w:rPr>
          <w:rFonts w:ascii="Times New Roman" w:eastAsia="Times New Roman" w:hAnsi="Times New Roman" w:cs="Times New Roman"/>
          <w:color w:val="000000" w:themeColor="text1"/>
          <w:sz w:val="24"/>
          <w:szCs w:val="24"/>
          <w:lang w:eastAsia="ru-RU"/>
        </w:rPr>
        <w:t xml:space="preserve"> 8</w:t>
      </w:r>
      <w:r w:rsidRPr="001C1D7B">
        <w:rPr>
          <w:rFonts w:ascii="Times New Roman" w:eastAsia="Times New Roman" w:hAnsi="Times New Roman" w:cs="Times New Roman"/>
          <w:color w:val="000000" w:themeColor="text1"/>
          <w:sz w:val="24"/>
          <w:szCs w:val="24"/>
          <w:lang w:eastAsia="ru-RU"/>
        </w:rPr>
        <w:t xml:space="preserve"> представлена информация об исполнении государственной программы «Модернизация жилищно–коммунального комплекса, энергосбережение и повышение энергетической эффективности в Амурской области на 2014–2020 годы» в разрезе подпрограмм.</w:t>
      </w:r>
    </w:p>
    <w:p w:rsidR="004E285C" w:rsidRDefault="00D302ED" w:rsidP="004E285C">
      <w:pPr>
        <w:widowControl w:val="0"/>
        <w:autoSpaceDE w:val="0"/>
        <w:autoSpaceDN w:val="0"/>
        <w:adjustRightInd w:val="0"/>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8</w:t>
      </w:r>
    </w:p>
    <w:p w:rsidR="004E285C" w:rsidRPr="001C1D7B" w:rsidRDefault="004E285C" w:rsidP="004E285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w:t>
      </w:r>
      <w:r w:rsidRPr="00AC0C40">
        <w:rPr>
          <w:rFonts w:ascii="Times New Roman" w:eastAsia="Times New Roman" w:hAnsi="Times New Roman" w:cs="Times New Roman"/>
          <w:color w:val="000000" w:themeColor="text1"/>
          <w:sz w:val="24"/>
          <w:szCs w:val="24"/>
          <w:lang w:eastAsia="ru-RU"/>
        </w:rPr>
        <w:t>нформация об исполнении государственной программы «Модернизация жилищно–коммунального комплекса, энергосбережение и повышение энергетической эффективности в Амурской области на 2014–2020 годы»</w:t>
      </w:r>
    </w:p>
    <w:p w:rsidR="004E285C" w:rsidRPr="001C1D7B" w:rsidRDefault="004E285C" w:rsidP="004E285C">
      <w:pPr>
        <w:widowControl w:val="0"/>
        <w:autoSpaceDE w:val="0"/>
        <w:autoSpaceDN w:val="0"/>
        <w:adjustRightInd w:val="0"/>
        <w:spacing w:before="120" w:after="0" w:line="240" w:lineRule="auto"/>
        <w:jc w:val="right"/>
        <w:rPr>
          <w:rFonts w:ascii="Times New Roman" w:eastAsia="Times New Roman" w:hAnsi="Times New Roman" w:cs="Times New Roman"/>
          <w:color w:val="000000" w:themeColor="text1"/>
          <w:sz w:val="24"/>
          <w:szCs w:val="24"/>
          <w:lang w:eastAsia="ru-RU"/>
        </w:rPr>
      </w:pPr>
      <w:r w:rsidRPr="001C1D7B">
        <w:rPr>
          <w:rFonts w:ascii="Times New Roman" w:eastAsia="Times New Roman" w:hAnsi="Times New Roman" w:cs="Times New Roman"/>
          <w:color w:val="000000" w:themeColor="text1"/>
          <w:sz w:val="24"/>
          <w:szCs w:val="24"/>
          <w:lang w:eastAsia="ru-RU"/>
        </w:rPr>
        <w:t>тыс. рублей</w:t>
      </w:r>
    </w:p>
    <w:tbl>
      <w:tblPr>
        <w:tblStyle w:val="a6"/>
        <w:tblW w:w="0" w:type="auto"/>
        <w:tblLook w:val="04A0" w:firstRow="1" w:lastRow="0" w:firstColumn="1" w:lastColumn="0" w:noHBand="0" w:noVBand="1"/>
      </w:tblPr>
      <w:tblGrid>
        <w:gridCol w:w="4219"/>
        <w:gridCol w:w="1372"/>
        <w:gridCol w:w="1421"/>
        <w:gridCol w:w="1398"/>
        <w:gridCol w:w="1262"/>
      </w:tblGrid>
      <w:tr w:rsidR="004E285C" w:rsidRPr="00EB388E" w:rsidTr="00D302ED">
        <w:trPr>
          <w:trHeight w:val="687"/>
          <w:tblHeader/>
        </w:trPr>
        <w:tc>
          <w:tcPr>
            <w:tcW w:w="4219" w:type="dxa"/>
          </w:tcPr>
          <w:p w:rsidR="004E285C" w:rsidRPr="00EB388E" w:rsidRDefault="004E285C" w:rsidP="00CE0D71">
            <w:pPr>
              <w:widowControl w:val="0"/>
              <w:autoSpaceDE w:val="0"/>
              <w:autoSpaceDN w:val="0"/>
              <w:adjustRightInd w:val="0"/>
              <w:jc w:val="center"/>
              <w:rPr>
                <w:b/>
                <w:bCs/>
                <w:color w:val="000000" w:themeColor="text1"/>
                <w:sz w:val="22"/>
                <w:szCs w:val="22"/>
              </w:rPr>
            </w:pPr>
            <w:r w:rsidRPr="00EB388E">
              <w:rPr>
                <w:b/>
                <w:bCs/>
                <w:color w:val="000000" w:themeColor="text1"/>
                <w:sz w:val="22"/>
                <w:szCs w:val="22"/>
              </w:rPr>
              <w:t>Наименование государственной программы/подпрограммы</w:t>
            </w:r>
          </w:p>
        </w:tc>
        <w:tc>
          <w:tcPr>
            <w:tcW w:w="1372" w:type="dxa"/>
            <w:noWrap/>
          </w:tcPr>
          <w:p w:rsidR="004E285C" w:rsidRPr="00EB388E" w:rsidRDefault="004E285C" w:rsidP="00CE0D71">
            <w:pPr>
              <w:widowControl w:val="0"/>
              <w:autoSpaceDE w:val="0"/>
              <w:autoSpaceDN w:val="0"/>
              <w:adjustRightInd w:val="0"/>
              <w:jc w:val="center"/>
              <w:rPr>
                <w:b/>
                <w:bCs/>
                <w:color w:val="000000" w:themeColor="text1"/>
                <w:sz w:val="22"/>
                <w:szCs w:val="22"/>
              </w:rPr>
            </w:pPr>
            <w:r w:rsidRPr="00EB388E">
              <w:rPr>
                <w:b/>
                <w:bCs/>
                <w:color w:val="000000" w:themeColor="text1"/>
                <w:sz w:val="22"/>
                <w:szCs w:val="22"/>
              </w:rPr>
              <w:t>План</w:t>
            </w:r>
          </w:p>
        </w:tc>
        <w:tc>
          <w:tcPr>
            <w:tcW w:w="1417" w:type="dxa"/>
            <w:noWrap/>
          </w:tcPr>
          <w:p w:rsidR="004E285C" w:rsidRPr="00EB388E" w:rsidRDefault="004E285C" w:rsidP="00CE0D71">
            <w:pPr>
              <w:widowControl w:val="0"/>
              <w:autoSpaceDE w:val="0"/>
              <w:autoSpaceDN w:val="0"/>
              <w:adjustRightInd w:val="0"/>
              <w:jc w:val="center"/>
              <w:rPr>
                <w:b/>
                <w:bCs/>
                <w:color w:val="000000" w:themeColor="text1"/>
                <w:sz w:val="22"/>
                <w:szCs w:val="22"/>
              </w:rPr>
            </w:pPr>
            <w:r w:rsidRPr="00EB388E">
              <w:rPr>
                <w:b/>
                <w:bCs/>
                <w:color w:val="000000" w:themeColor="text1"/>
                <w:sz w:val="22"/>
                <w:szCs w:val="22"/>
              </w:rPr>
              <w:t>Исполнение</w:t>
            </w:r>
          </w:p>
        </w:tc>
        <w:tc>
          <w:tcPr>
            <w:tcW w:w="1321" w:type="dxa"/>
            <w:noWrap/>
          </w:tcPr>
          <w:p w:rsidR="004E285C" w:rsidRPr="00EB388E" w:rsidRDefault="004E285C" w:rsidP="00CE0D71">
            <w:pPr>
              <w:widowControl w:val="0"/>
              <w:autoSpaceDE w:val="0"/>
              <w:autoSpaceDN w:val="0"/>
              <w:adjustRightInd w:val="0"/>
              <w:jc w:val="center"/>
              <w:rPr>
                <w:b/>
                <w:bCs/>
                <w:color w:val="000000" w:themeColor="text1"/>
                <w:sz w:val="22"/>
                <w:szCs w:val="22"/>
              </w:rPr>
            </w:pPr>
            <w:r w:rsidRPr="00EB388E">
              <w:rPr>
                <w:b/>
                <w:bCs/>
                <w:color w:val="000000" w:themeColor="text1"/>
                <w:sz w:val="22"/>
                <w:szCs w:val="22"/>
              </w:rPr>
              <w:t>Уровень исполнения</w:t>
            </w:r>
          </w:p>
        </w:tc>
        <w:tc>
          <w:tcPr>
            <w:tcW w:w="1231" w:type="dxa"/>
            <w:noWrap/>
          </w:tcPr>
          <w:p w:rsidR="004E285C" w:rsidRPr="00EB388E" w:rsidRDefault="004E285C" w:rsidP="00CE0D71">
            <w:pPr>
              <w:widowControl w:val="0"/>
              <w:autoSpaceDE w:val="0"/>
              <w:autoSpaceDN w:val="0"/>
              <w:adjustRightInd w:val="0"/>
              <w:jc w:val="center"/>
              <w:rPr>
                <w:b/>
                <w:bCs/>
                <w:color w:val="000000" w:themeColor="text1"/>
                <w:sz w:val="22"/>
                <w:szCs w:val="22"/>
              </w:rPr>
            </w:pPr>
            <w:r w:rsidRPr="00EB388E">
              <w:rPr>
                <w:b/>
                <w:bCs/>
                <w:color w:val="000000" w:themeColor="text1"/>
                <w:sz w:val="22"/>
                <w:szCs w:val="22"/>
              </w:rPr>
              <w:t>Не исполнено</w:t>
            </w:r>
          </w:p>
        </w:tc>
      </w:tr>
      <w:tr w:rsidR="004E285C" w:rsidRPr="00686624" w:rsidTr="00CE0D71">
        <w:trPr>
          <w:trHeight w:val="1575"/>
        </w:trPr>
        <w:tc>
          <w:tcPr>
            <w:tcW w:w="4219" w:type="dxa"/>
            <w:hideMark/>
          </w:tcPr>
          <w:p w:rsidR="004E285C" w:rsidRPr="008E3727" w:rsidRDefault="004E285C" w:rsidP="00CE0D71">
            <w:pPr>
              <w:widowControl w:val="0"/>
              <w:autoSpaceDE w:val="0"/>
              <w:autoSpaceDN w:val="0"/>
              <w:adjustRightInd w:val="0"/>
              <w:rPr>
                <w:b/>
                <w:bCs/>
                <w:color w:val="000000" w:themeColor="text1"/>
                <w:sz w:val="22"/>
                <w:szCs w:val="22"/>
              </w:rPr>
            </w:pPr>
            <w:r w:rsidRPr="008E3727">
              <w:rPr>
                <w:b/>
                <w:bCs/>
                <w:color w:val="000000" w:themeColor="text1"/>
                <w:sz w:val="22"/>
                <w:szCs w:val="22"/>
              </w:rPr>
              <w:t xml:space="preserve">Государственная программа «Модернизация жилищно–коммунального комплекса, энергосбережение и повышение энергетической эффективности в Амурской области на 2014–2020 годы», </w:t>
            </w:r>
            <w:r w:rsidRPr="008E3727">
              <w:rPr>
                <w:bCs/>
                <w:color w:val="000000" w:themeColor="text1"/>
                <w:sz w:val="22"/>
                <w:szCs w:val="22"/>
              </w:rPr>
              <w:t>в том числе:</w:t>
            </w:r>
          </w:p>
        </w:tc>
        <w:tc>
          <w:tcPr>
            <w:tcW w:w="1372" w:type="dxa"/>
            <w:noWrap/>
            <w:hideMark/>
          </w:tcPr>
          <w:p w:rsidR="004E285C" w:rsidRPr="008E3727" w:rsidRDefault="004E285C" w:rsidP="00CE0D71">
            <w:pPr>
              <w:widowControl w:val="0"/>
              <w:autoSpaceDE w:val="0"/>
              <w:autoSpaceDN w:val="0"/>
              <w:adjustRightInd w:val="0"/>
              <w:jc w:val="right"/>
              <w:rPr>
                <w:b/>
                <w:bCs/>
                <w:color w:val="000000" w:themeColor="text1"/>
                <w:sz w:val="22"/>
                <w:szCs w:val="22"/>
              </w:rPr>
            </w:pPr>
            <w:r w:rsidRPr="008E3727">
              <w:rPr>
                <w:b/>
                <w:bCs/>
                <w:color w:val="000000" w:themeColor="text1"/>
                <w:sz w:val="22"/>
                <w:szCs w:val="22"/>
              </w:rPr>
              <w:t>2 520 494,4</w:t>
            </w:r>
          </w:p>
        </w:tc>
        <w:tc>
          <w:tcPr>
            <w:tcW w:w="1417" w:type="dxa"/>
            <w:noWrap/>
            <w:hideMark/>
          </w:tcPr>
          <w:p w:rsidR="004E285C" w:rsidRPr="008E3727" w:rsidRDefault="004E285C" w:rsidP="00CE0D71">
            <w:pPr>
              <w:widowControl w:val="0"/>
              <w:autoSpaceDE w:val="0"/>
              <w:autoSpaceDN w:val="0"/>
              <w:adjustRightInd w:val="0"/>
              <w:jc w:val="right"/>
              <w:rPr>
                <w:b/>
                <w:bCs/>
                <w:color w:val="000000" w:themeColor="text1"/>
                <w:sz w:val="22"/>
                <w:szCs w:val="22"/>
              </w:rPr>
            </w:pPr>
            <w:r w:rsidRPr="008E3727">
              <w:rPr>
                <w:b/>
                <w:bCs/>
                <w:color w:val="000000" w:themeColor="text1"/>
                <w:sz w:val="22"/>
                <w:szCs w:val="22"/>
              </w:rPr>
              <w:t>2 461 694,3</w:t>
            </w:r>
          </w:p>
        </w:tc>
        <w:tc>
          <w:tcPr>
            <w:tcW w:w="1321" w:type="dxa"/>
            <w:noWrap/>
            <w:hideMark/>
          </w:tcPr>
          <w:p w:rsidR="004E285C" w:rsidRPr="008E3727" w:rsidRDefault="004E285C" w:rsidP="00CE0D71">
            <w:pPr>
              <w:widowControl w:val="0"/>
              <w:autoSpaceDE w:val="0"/>
              <w:autoSpaceDN w:val="0"/>
              <w:adjustRightInd w:val="0"/>
              <w:jc w:val="right"/>
              <w:rPr>
                <w:b/>
                <w:bCs/>
                <w:color w:val="000000" w:themeColor="text1"/>
                <w:sz w:val="22"/>
                <w:szCs w:val="22"/>
              </w:rPr>
            </w:pPr>
            <w:r w:rsidRPr="008E3727">
              <w:rPr>
                <w:b/>
                <w:bCs/>
                <w:color w:val="000000" w:themeColor="text1"/>
                <w:sz w:val="22"/>
                <w:szCs w:val="22"/>
              </w:rPr>
              <w:t>97,7</w:t>
            </w:r>
          </w:p>
        </w:tc>
        <w:tc>
          <w:tcPr>
            <w:tcW w:w="1231" w:type="dxa"/>
            <w:noWrap/>
            <w:hideMark/>
          </w:tcPr>
          <w:p w:rsidR="004E285C" w:rsidRPr="008E3727" w:rsidRDefault="004E285C" w:rsidP="00CE0D71">
            <w:pPr>
              <w:widowControl w:val="0"/>
              <w:autoSpaceDE w:val="0"/>
              <w:autoSpaceDN w:val="0"/>
              <w:adjustRightInd w:val="0"/>
              <w:jc w:val="right"/>
              <w:rPr>
                <w:b/>
                <w:bCs/>
                <w:color w:val="000000" w:themeColor="text1"/>
                <w:sz w:val="22"/>
                <w:szCs w:val="22"/>
              </w:rPr>
            </w:pPr>
            <w:r w:rsidRPr="008E3727">
              <w:rPr>
                <w:b/>
                <w:bCs/>
                <w:color w:val="000000" w:themeColor="text1"/>
                <w:sz w:val="22"/>
                <w:szCs w:val="22"/>
              </w:rPr>
              <w:t>58 800,1</w:t>
            </w:r>
          </w:p>
        </w:tc>
      </w:tr>
      <w:tr w:rsidR="004E285C" w:rsidRPr="00686624" w:rsidTr="00CE0D71">
        <w:trPr>
          <w:trHeight w:val="1260"/>
        </w:trPr>
        <w:tc>
          <w:tcPr>
            <w:tcW w:w="4219" w:type="dxa"/>
            <w:hideMark/>
          </w:tcPr>
          <w:p w:rsidR="004E285C" w:rsidRPr="008E3727" w:rsidRDefault="004E285C" w:rsidP="00CE0D71">
            <w:pPr>
              <w:widowControl w:val="0"/>
              <w:autoSpaceDE w:val="0"/>
              <w:autoSpaceDN w:val="0"/>
              <w:adjustRightInd w:val="0"/>
              <w:rPr>
                <w:color w:val="000000" w:themeColor="text1"/>
                <w:sz w:val="22"/>
                <w:szCs w:val="22"/>
              </w:rPr>
            </w:pPr>
            <w:r w:rsidRPr="008E3727">
              <w:rPr>
                <w:color w:val="000000" w:themeColor="text1"/>
                <w:sz w:val="22"/>
                <w:szCs w:val="22"/>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372" w:type="dxa"/>
            <w:noWrap/>
            <w:hideMark/>
          </w:tcPr>
          <w:p w:rsidR="004E285C" w:rsidRPr="008E3727" w:rsidRDefault="004E285C" w:rsidP="00CE0D71">
            <w:pPr>
              <w:widowControl w:val="0"/>
              <w:autoSpaceDE w:val="0"/>
              <w:autoSpaceDN w:val="0"/>
              <w:adjustRightInd w:val="0"/>
              <w:jc w:val="right"/>
              <w:rPr>
                <w:color w:val="000000" w:themeColor="text1"/>
                <w:sz w:val="22"/>
                <w:szCs w:val="22"/>
              </w:rPr>
            </w:pPr>
            <w:r w:rsidRPr="008E3727">
              <w:rPr>
                <w:color w:val="000000" w:themeColor="text1"/>
                <w:sz w:val="22"/>
                <w:szCs w:val="22"/>
              </w:rPr>
              <w:t>2 433 260,3</w:t>
            </w:r>
          </w:p>
        </w:tc>
        <w:tc>
          <w:tcPr>
            <w:tcW w:w="1417" w:type="dxa"/>
            <w:noWrap/>
            <w:hideMark/>
          </w:tcPr>
          <w:p w:rsidR="004E285C" w:rsidRPr="008E3727" w:rsidRDefault="004E285C" w:rsidP="00CE0D71">
            <w:pPr>
              <w:widowControl w:val="0"/>
              <w:autoSpaceDE w:val="0"/>
              <w:autoSpaceDN w:val="0"/>
              <w:adjustRightInd w:val="0"/>
              <w:jc w:val="right"/>
              <w:rPr>
                <w:color w:val="000000" w:themeColor="text1"/>
                <w:sz w:val="22"/>
                <w:szCs w:val="22"/>
              </w:rPr>
            </w:pPr>
            <w:r w:rsidRPr="008E3727">
              <w:rPr>
                <w:color w:val="000000" w:themeColor="text1"/>
                <w:sz w:val="22"/>
                <w:szCs w:val="22"/>
              </w:rPr>
              <w:t>2</w:t>
            </w:r>
            <w:r>
              <w:rPr>
                <w:color w:val="000000" w:themeColor="text1"/>
                <w:sz w:val="22"/>
                <w:szCs w:val="22"/>
              </w:rPr>
              <w:t xml:space="preserve"> 381 </w:t>
            </w:r>
            <w:r w:rsidRPr="008E3727">
              <w:rPr>
                <w:color w:val="000000" w:themeColor="text1"/>
                <w:sz w:val="22"/>
                <w:szCs w:val="22"/>
              </w:rPr>
              <w:t>492,0</w:t>
            </w:r>
          </w:p>
        </w:tc>
        <w:tc>
          <w:tcPr>
            <w:tcW w:w="1321" w:type="dxa"/>
            <w:noWrap/>
            <w:hideMark/>
          </w:tcPr>
          <w:p w:rsidR="004E285C" w:rsidRPr="008E3727" w:rsidRDefault="004E285C" w:rsidP="00CE0D71">
            <w:pPr>
              <w:widowControl w:val="0"/>
              <w:autoSpaceDE w:val="0"/>
              <w:autoSpaceDN w:val="0"/>
              <w:adjustRightInd w:val="0"/>
              <w:jc w:val="right"/>
              <w:rPr>
                <w:color w:val="000000" w:themeColor="text1"/>
                <w:sz w:val="22"/>
                <w:szCs w:val="22"/>
              </w:rPr>
            </w:pPr>
            <w:r w:rsidRPr="008E3727">
              <w:rPr>
                <w:color w:val="000000" w:themeColor="text1"/>
                <w:sz w:val="22"/>
                <w:szCs w:val="22"/>
              </w:rPr>
              <w:t>97,9</w:t>
            </w:r>
          </w:p>
        </w:tc>
        <w:tc>
          <w:tcPr>
            <w:tcW w:w="1231" w:type="dxa"/>
            <w:noWrap/>
            <w:hideMark/>
          </w:tcPr>
          <w:p w:rsidR="004E285C" w:rsidRPr="008E3727" w:rsidRDefault="004E285C" w:rsidP="00CE0D71">
            <w:pPr>
              <w:widowControl w:val="0"/>
              <w:autoSpaceDE w:val="0"/>
              <w:autoSpaceDN w:val="0"/>
              <w:adjustRightInd w:val="0"/>
              <w:jc w:val="right"/>
              <w:rPr>
                <w:color w:val="000000" w:themeColor="text1"/>
                <w:sz w:val="22"/>
                <w:szCs w:val="22"/>
              </w:rPr>
            </w:pPr>
            <w:r w:rsidRPr="008E3727">
              <w:rPr>
                <w:color w:val="000000" w:themeColor="text1"/>
                <w:sz w:val="22"/>
                <w:szCs w:val="22"/>
              </w:rPr>
              <w:t>51 768,3</w:t>
            </w:r>
          </w:p>
        </w:tc>
      </w:tr>
      <w:tr w:rsidR="004E285C" w:rsidRPr="00686624" w:rsidTr="00CE0D71">
        <w:trPr>
          <w:trHeight w:val="824"/>
        </w:trPr>
        <w:tc>
          <w:tcPr>
            <w:tcW w:w="4219" w:type="dxa"/>
            <w:hideMark/>
          </w:tcPr>
          <w:p w:rsidR="004E285C" w:rsidRPr="008E3727" w:rsidRDefault="004E285C" w:rsidP="00CE0D71">
            <w:pPr>
              <w:widowControl w:val="0"/>
              <w:autoSpaceDE w:val="0"/>
              <w:autoSpaceDN w:val="0"/>
              <w:adjustRightInd w:val="0"/>
              <w:rPr>
                <w:color w:val="000000" w:themeColor="text1"/>
                <w:sz w:val="22"/>
                <w:szCs w:val="22"/>
              </w:rPr>
            </w:pPr>
            <w:r w:rsidRPr="008E3727">
              <w:rPr>
                <w:color w:val="000000" w:themeColor="text1"/>
                <w:sz w:val="22"/>
                <w:szCs w:val="22"/>
              </w:rPr>
              <w:t>Подпрограмма «Капитальный ремонт многоквартирных домов на территории Амурской области»</w:t>
            </w:r>
          </w:p>
        </w:tc>
        <w:tc>
          <w:tcPr>
            <w:tcW w:w="1372" w:type="dxa"/>
            <w:noWrap/>
            <w:hideMark/>
          </w:tcPr>
          <w:p w:rsidR="004E285C" w:rsidRPr="008E3727" w:rsidRDefault="004E285C" w:rsidP="00CE0D71">
            <w:pPr>
              <w:widowControl w:val="0"/>
              <w:autoSpaceDE w:val="0"/>
              <w:autoSpaceDN w:val="0"/>
              <w:adjustRightInd w:val="0"/>
              <w:jc w:val="right"/>
              <w:rPr>
                <w:color w:val="000000" w:themeColor="text1"/>
                <w:sz w:val="22"/>
                <w:szCs w:val="22"/>
              </w:rPr>
            </w:pPr>
            <w:r w:rsidRPr="008E3727">
              <w:rPr>
                <w:color w:val="000000" w:themeColor="text1"/>
                <w:sz w:val="22"/>
                <w:szCs w:val="22"/>
              </w:rPr>
              <w:t>28 402,5</w:t>
            </w:r>
          </w:p>
        </w:tc>
        <w:tc>
          <w:tcPr>
            <w:tcW w:w="1417" w:type="dxa"/>
            <w:noWrap/>
            <w:hideMark/>
          </w:tcPr>
          <w:p w:rsidR="004E285C" w:rsidRPr="008E3727" w:rsidRDefault="004E285C" w:rsidP="00CE0D71">
            <w:pPr>
              <w:widowControl w:val="0"/>
              <w:autoSpaceDE w:val="0"/>
              <w:autoSpaceDN w:val="0"/>
              <w:adjustRightInd w:val="0"/>
              <w:jc w:val="right"/>
              <w:rPr>
                <w:color w:val="000000" w:themeColor="text1"/>
                <w:sz w:val="22"/>
                <w:szCs w:val="22"/>
              </w:rPr>
            </w:pPr>
            <w:r w:rsidRPr="008E3727">
              <w:rPr>
                <w:color w:val="000000" w:themeColor="text1"/>
                <w:sz w:val="22"/>
                <w:szCs w:val="22"/>
              </w:rPr>
              <w:t>22 086,3</w:t>
            </w:r>
          </w:p>
        </w:tc>
        <w:tc>
          <w:tcPr>
            <w:tcW w:w="1321" w:type="dxa"/>
            <w:noWrap/>
            <w:hideMark/>
          </w:tcPr>
          <w:p w:rsidR="004E285C" w:rsidRPr="008E3727" w:rsidRDefault="004E285C" w:rsidP="00CE0D71">
            <w:pPr>
              <w:widowControl w:val="0"/>
              <w:autoSpaceDE w:val="0"/>
              <w:autoSpaceDN w:val="0"/>
              <w:adjustRightInd w:val="0"/>
              <w:jc w:val="right"/>
              <w:rPr>
                <w:color w:val="000000" w:themeColor="text1"/>
                <w:sz w:val="22"/>
                <w:szCs w:val="22"/>
              </w:rPr>
            </w:pPr>
            <w:r w:rsidRPr="008E3727">
              <w:rPr>
                <w:color w:val="000000" w:themeColor="text1"/>
                <w:sz w:val="22"/>
                <w:szCs w:val="22"/>
              </w:rPr>
              <w:t>77,8</w:t>
            </w:r>
          </w:p>
        </w:tc>
        <w:tc>
          <w:tcPr>
            <w:tcW w:w="1231" w:type="dxa"/>
            <w:noWrap/>
            <w:hideMark/>
          </w:tcPr>
          <w:p w:rsidR="004E285C" w:rsidRPr="008E3727" w:rsidRDefault="004E285C" w:rsidP="00CE0D71">
            <w:pPr>
              <w:widowControl w:val="0"/>
              <w:autoSpaceDE w:val="0"/>
              <w:autoSpaceDN w:val="0"/>
              <w:adjustRightInd w:val="0"/>
              <w:jc w:val="right"/>
              <w:rPr>
                <w:color w:val="000000" w:themeColor="text1"/>
                <w:sz w:val="22"/>
                <w:szCs w:val="22"/>
              </w:rPr>
            </w:pPr>
            <w:r w:rsidRPr="008E3727">
              <w:rPr>
                <w:color w:val="000000" w:themeColor="text1"/>
                <w:sz w:val="22"/>
                <w:szCs w:val="22"/>
              </w:rPr>
              <w:t>6 316,2</w:t>
            </w:r>
          </w:p>
        </w:tc>
      </w:tr>
      <w:tr w:rsidR="004E285C" w:rsidRPr="00686624" w:rsidTr="00CE0D71">
        <w:trPr>
          <w:trHeight w:val="945"/>
        </w:trPr>
        <w:tc>
          <w:tcPr>
            <w:tcW w:w="4219" w:type="dxa"/>
            <w:hideMark/>
          </w:tcPr>
          <w:p w:rsidR="004E285C" w:rsidRPr="008E3727" w:rsidRDefault="004E285C" w:rsidP="00CE0D71">
            <w:pPr>
              <w:widowControl w:val="0"/>
              <w:autoSpaceDE w:val="0"/>
              <w:autoSpaceDN w:val="0"/>
              <w:adjustRightInd w:val="0"/>
              <w:rPr>
                <w:color w:val="000000" w:themeColor="text1"/>
                <w:sz w:val="22"/>
                <w:szCs w:val="22"/>
              </w:rPr>
            </w:pPr>
            <w:r w:rsidRPr="008E3727">
              <w:rPr>
                <w:color w:val="000000" w:themeColor="text1"/>
                <w:sz w:val="22"/>
                <w:szCs w:val="22"/>
              </w:rPr>
              <w:t>Подпрограмма «Энергосбережение и повышение энергетической эффективности в Амурской области на 2014 - 2020 годы»</w:t>
            </w:r>
          </w:p>
        </w:tc>
        <w:tc>
          <w:tcPr>
            <w:tcW w:w="1372" w:type="dxa"/>
            <w:noWrap/>
            <w:hideMark/>
          </w:tcPr>
          <w:p w:rsidR="004E285C" w:rsidRPr="008E3727" w:rsidRDefault="004E285C" w:rsidP="00CE0D71">
            <w:pPr>
              <w:widowControl w:val="0"/>
              <w:autoSpaceDE w:val="0"/>
              <w:autoSpaceDN w:val="0"/>
              <w:adjustRightInd w:val="0"/>
              <w:jc w:val="right"/>
              <w:rPr>
                <w:color w:val="000000" w:themeColor="text1"/>
                <w:sz w:val="22"/>
                <w:szCs w:val="22"/>
              </w:rPr>
            </w:pPr>
            <w:r w:rsidRPr="008E3727">
              <w:rPr>
                <w:color w:val="000000" w:themeColor="text1"/>
                <w:sz w:val="22"/>
                <w:szCs w:val="22"/>
              </w:rPr>
              <w:t>3 555,0</w:t>
            </w:r>
          </w:p>
        </w:tc>
        <w:tc>
          <w:tcPr>
            <w:tcW w:w="1417" w:type="dxa"/>
            <w:noWrap/>
            <w:hideMark/>
          </w:tcPr>
          <w:p w:rsidR="004E285C" w:rsidRPr="008E3727" w:rsidRDefault="004E285C" w:rsidP="00CE0D71">
            <w:pPr>
              <w:widowControl w:val="0"/>
              <w:autoSpaceDE w:val="0"/>
              <w:autoSpaceDN w:val="0"/>
              <w:adjustRightInd w:val="0"/>
              <w:jc w:val="right"/>
              <w:rPr>
                <w:color w:val="000000" w:themeColor="text1"/>
                <w:sz w:val="22"/>
                <w:szCs w:val="22"/>
              </w:rPr>
            </w:pPr>
            <w:r w:rsidRPr="008E3727">
              <w:rPr>
                <w:color w:val="000000" w:themeColor="text1"/>
                <w:sz w:val="22"/>
                <w:szCs w:val="22"/>
              </w:rPr>
              <w:t>3 555,0</w:t>
            </w:r>
          </w:p>
        </w:tc>
        <w:tc>
          <w:tcPr>
            <w:tcW w:w="1321" w:type="dxa"/>
            <w:noWrap/>
            <w:hideMark/>
          </w:tcPr>
          <w:p w:rsidR="004E285C" w:rsidRPr="008E3727" w:rsidRDefault="004E285C" w:rsidP="00CE0D71">
            <w:pPr>
              <w:widowControl w:val="0"/>
              <w:autoSpaceDE w:val="0"/>
              <w:autoSpaceDN w:val="0"/>
              <w:adjustRightInd w:val="0"/>
              <w:jc w:val="right"/>
              <w:rPr>
                <w:color w:val="000000" w:themeColor="text1"/>
                <w:sz w:val="22"/>
                <w:szCs w:val="22"/>
              </w:rPr>
            </w:pPr>
            <w:r w:rsidRPr="008E3727">
              <w:rPr>
                <w:color w:val="000000" w:themeColor="text1"/>
                <w:sz w:val="22"/>
                <w:szCs w:val="22"/>
              </w:rPr>
              <w:t>100,0</w:t>
            </w:r>
          </w:p>
        </w:tc>
        <w:tc>
          <w:tcPr>
            <w:tcW w:w="1231" w:type="dxa"/>
            <w:noWrap/>
            <w:hideMark/>
          </w:tcPr>
          <w:p w:rsidR="004E285C" w:rsidRPr="008E3727" w:rsidRDefault="004E285C" w:rsidP="00CE0D71">
            <w:pPr>
              <w:widowControl w:val="0"/>
              <w:autoSpaceDE w:val="0"/>
              <w:autoSpaceDN w:val="0"/>
              <w:adjustRightInd w:val="0"/>
              <w:jc w:val="right"/>
              <w:rPr>
                <w:color w:val="000000" w:themeColor="text1"/>
                <w:sz w:val="22"/>
                <w:szCs w:val="22"/>
              </w:rPr>
            </w:pPr>
            <w:r w:rsidRPr="008E3727">
              <w:rPr>
                <w:color w:val="000000" w:themeColor="text1"/>
                <w:sz w:val="22"/>
                <w:szCs w:val="22"/>
              </w:rPr>
              <w:t>0,0</w:t>
            </w:r>
          </w:p>
        </w:tc>
      </w:tr>
      <w:tr w:rsidR="004E285C" w:rsidRPr="00686624" w:rsidTr="00CE0D71">
        <w:trPr>
          <w:trHeight w:val="1092"/>
        </w:trPr>
        <w:tc>
          <w:tcPr>
            <w:tcW w:w="4219" w:type="dxa"/>
            <w:hideMark/>
          </w:tcPr>
          <w:p w:rsidR="004E285C" w:rsidRPr="008E3727" w:rsidRDefault="004E285C" w:rsidP="00CE0D71">
            <w:pPr>
              <w:widowControl w:val="0"/>
              <w:autoSpaceDE w:val="0"/>
              <w:autoSpaceDN w:val="0"/>
              <w:adjustRightInd w:val="0"/>
              <w:rPr>
                <w:color w:val="000000" w:themeColor="text1"/>
                <w:sz w:val="22"/>
                <w:szCs w:val="22"/>
              </w:rPr>
            </w:pPr>
            <w:r w:rsidRPr="008E3727">
              <w:rPr>
                <w:color w:val="000000" w:themeColor="text1"/>
                <w:sz w:val="22"/>
                <w:szCs w:val="22"/>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372" w:type="dxa"/>
            <w:noWrap/>
            <w:hideMark/>
          </w:tcPr>
          <w:p w:rsidR="004E285C" w:rsidRPr="008E3727" w:rsidRDefault="004E285C" w:rsidP="00CE0D71">
            <w:pPr>
              <w:widowControl w:val="0"/>
              <w:autoSpaceDE w:val="0"/>
              <w:autoSpaceDN w:val="0"/>
              <w:adjustRightInd w:val="0"/>
              <w:jc w:val="right"/>
              <w:rPr>
                <w:color w:val="000000" w:themeColor="text1"/>
                <w:sz w:val="22"/>
                <w:szCs w:val="22"/>
              </w:rPr>
            </w:pPr>
            <w:r w:rsidRPr="008E3727">
              <w:rPr>
                <w:color w:val="000000" w:themeColor="text1"/>
                <w:sz w:val="22"/>
                <w:szCs w:val="22"/>
              </w:rPr>
              <w:t>55 276,5</w:t>
            </w:r>
          </w:p>
        </w:tc>
        <w:tc>
          <w:tcPr>
            <w:tcW w:w="1417" w:type="dxa"/>
            <w:noWrap/>
            <w:hideMark/>
          </w:tcPr>
          <w:p w:rsidR="004E285C" w:rsidRPr="008E3727" w:rsidRDefault="004E285C" w:rsidP="00CE0D71">
            <w:pPr>
              <w:widowControl w:val="0"/>
              <w:autoSpaceDE w:val="0"/>
              <w:autoSpaceDN w:val="0"/>
              <w:adjustRightInd w:val="0"/>
              <w:jc w:val="right"/>
              <w:rPr>
                <w:color w:val="000000" w:themeColor="text1"/>
                <w:sz w:val="22"/>
                <w:szCs w:val="22"/>
              </w:rPr>
            </w:pPr>
            <w:r w:rsidRPr="008E3727">
              <w:rPr>
                <w:color w:val="000000" w:themeColor="text1"/>
                <w:sz w:val="22"/>
                <w:szCs w:val="22"/>
              </w:rPr>
              <w:t>54 561,0</w:t>
            </w:r>
          </w:p>
        </w:tc>
        <w:tc>
          <w:tcPr>
            <w:tcW w:w="1321" w:type="dxa"/>
            <w:noWrap/>
            <w:hideMark/>
          </w:tcPr>
          <w:p w:rsidR="004E285C" w:rsidRPr="008E3727" w:rsidRDefault="004E285C" w:rsidP="00CE0D71">
            <w:pPr>
              <w:widowControl w:val="0"/>
              <w:autoSpaceDE w:val="0"/>
              <w:autoSpaceDN w:val="0"/>
              <w:adjustRightInd w:val="0"/>
              <w:jc w:val="right"/>
              <w:rPr>
                <w:color w:val="000000" w:themeColor="text1"/>
                <w:sz w:val="22"/>
                <w:szCs w:val="22"/>
              </w:rPr>
            </w:pPr>
            <w:r w:rsidRPr="008E3727">
              <w:rPr>
                <w:color w:val="000000" w:themeColor="text1"/>
                <w:sz w:val="22"/>
                <w:szCs w:val="22"/>
              </w:rPr>
              <w:t>98,7</w:t>
            </w:r>
          </w:p>
        </w:tc>
        <w:tc>
          <w:tcPr>
            <w:tcW w:w="1231" w:type="dxa"/>
            <w:noWrap/>
            <w:hideMark/>
          </w:tcPr>
          <w:p w:rsidR="004E285C" w:rsidRPr="008E3727" w:rsidRDefault="004E285C" w:rsidP="00CE0D71">
            <w:pPr>
              <w:widowControl w:val="0"/>
              <w:autoSpaceDE w:val="0"/>
              <w:autoSpaceDN w:val="0"/>
              <w:adjustRightInd w:val="0"/>
              <w:jc w:val="right"/>
              <w:rPr>
                <w:color w:val="000000" w:themeColor="text1"/>
                <w:sz w:val="22"/>
                <w:szCs w:val="22"/>
              </w:rPr>
            </w:pPr>
            <w:r w:rsidRPr="008E3727">
              <w:rPr>
                <w:color w:val="000000" w:themeColor="text1"/>
                <w:sz w:val="22"/>
                <w:szCs w:val="22"/>
              </w:rPr>
              <w:t>715,6</w:t>
            </w:r>
          </w:p>
        </w:tc>
      </w:tr>
    </w:tbl>
    <w:p w:rsidR="004E285C" w:rsidRPr="00EB388E" w:rsidRDefault="004E285C" w:rsidP="004E28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285C" w:rsidRPr="00525C19" w:rsidRDefault="004E285C" w:rsidP="00F60552">
      <w:pPr>
        <w:pStyle w:val="afa"/>
        <w:numPr>
          <w:ilvl w:val="0"/>
          <w:numId w:val="7"/>
        </w:numPr>
        <w:ind w:left="644"/>
        <w:rPr>
          <w:i/>
          <w:color w:val="000000" w:themeColor="text1"/>
          <w:sz w:val="24"/>
          <w:szCs w:val="24"/>
        </w:rPr>
      </w:pPr>
      <w:r w:rsidRPr="00525C19">
        <w:rPr>
          <w:i/>
          <w:color w:val="000000" w:themeColor="text1"/>
          <w:sz w:val="24"/>
          <w:szCs w:val="24"/>
        </w:rPr>
        <w:t>Подпрограмма «Обеспечение доступности коммунальных услуг, повышение качества и надежности жилищно–коммунального обслуживания населения»</w:t>
      </w:r>
    </w:p>
    <w:p w:rsidR="004E285C" w:rsidRPr="00525C19" w:rsidRDefault="004E285C" w:rsidP="00D302ED">
      <w:pPr>
        <w:spacing w:after="0" w:line="240" w:lineRule="auto"/>
        <w:ind w:firstLine="709"/>
        <w:jc w:val="both"/>
        <w:rPr>
          <w:rFonts w:ascii="Times New Roman" w:hAnsi="Times New Roman" w:cs="Times New Roman"/>
          <w:color w:val="000000" w:themeColor="text1"/>
          <w:sz w:val="24"/>
          <w:szCs w:val="24"/>
        </w:rPr>
      </w:pPr>
      <w:r w:rsidRPr="00525C19">
        <w:rPr>
          <w:rFonts w:ascii="Times New Roman" w:hAnsi="Times New Roman" w:cs="Times New Roman"/>
          <w:color w:val="000000" w:themeColor="text1"/>
          <w:sz w:val="24"/>
          <w:szCs w:val="24"/>
        </w:rPr>
        <w:t>Бюджетные ассигнования по подпрограмме «Обеспечение доступности коммунальных услуг, повышение качества и надежности жилищно–коммунального обслуживания населения» утверждены в расходах областного бюджета по целевой статье расходов 0510000 в сумме 2433260,</w:t>
      </w:r>
      <w:r>
        <w:rPr>
          <w:rFonts w:ascii="Times New Roman" w:hAnsi="Times New Roman" w:cs="Times New Roman"/>
          <w:color w:val="000000" w:themeColor="text1"/>
          <w:sz w:val="24"/>
          <w:szCs w:val="24"/>
        </w:rPr>
        <w:t>3</w:t>
      </w:r>
      <w:r w:rsidRPr="00525C19">
        <w:rPr>
          <w:rFonts w:ascii="Times New Roman" w:hAnsi="Times New Roman" w:cs="Times New Roman"/>
          <w:color w:val="000000" w:themeColor="text1"/>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color w:val="000000" w:themeColor="text1"/>
          <w:sz w:val="24"/>
          <w:szCs w:val="24"/>
        </w:rPr>
        <w:br/>
      </w:r>
      <w:r w:rsidRPr="00525C19">
        <w:rPr>
          <w:rFonts w:ascii="Times New Roman" w:hAnsi="Times New Roman" w:cs="Times New Roman"/>
          <w:color w:val="000000" w:themeColor="text1"/>
          <w:sz w:val="24"/>
          <w:szCs w:val="24"/>
        </w:rPr>
        <w:t>96,8 процента.</w:t>
      </w:r>
    </w:p>
    <w:p w:rsidR="004E285C" w:rsidRPr="00525C19" w:rsidRDefault="004E285C" w:rsidP="00D302ED">
      <w:pPr>
        <w:spacing w:after="0" w:line="240" w:lineRule="auto"/>
        <w:ind w:firstLine="709"/>
        <w:jc w:val="both"/>
        <w:rPr>
          <w:rFonts w:ascii="Times New Roman" w:hAnsi="Times New Roman" w:cs="Times New Roman"/>
          <w:color w:val="000000" w:themeColor="text1"/>
          <w:sz w:val="24"/>
          <w:szCs w:val="24"/>
        </w:rPr>
      </w:pPr>
      <w:r w:rsidRPr="00525C19">
        <w:rPr>
          <w:rFonts w:ascii="Times New Roman" w:hAnsi="Times New Roman" w:cs="Times New Roman"/>
          <w:color w:val="000000" w:themeColor="text1"/>
          <w:sz w:val="24"/>
          <w:szCs w:val="24"/>
        </w:rPr>
        <w:t xml:space="preserve">Уровень исполнения расходов, предусмотренных на реализацию мероприятий подпрограммы, составил 97,9 процента (объем неисполненных ассигнований составил </w:t>
      </w:r>
      <w:r w:rsidRPr="00525C19">
        <w:rPr>
          <w:rFonts w:ascii="Times New Roman" w:hAnsi="Times New Roman" w:cs="Times New Roman"/>
          <w:color w:val="000000" w:themeColor="text1"/>
          <w:sz w:val="24"/>
          <w:szCs w:val="24"/>
        </w:rPr>
        <w:lastRenderedPageBreak/>
        <w:t>51768,3 тыс. рублей).</w:t>
      </w:r>
      <w:r w:rsidR="00D302ED">
        <w:rPr>
          <w:rFonts w:ascii="Times New Roman" w:hAnsi="Times New Roman" w:cs="Times New Roman"/>
          <w:color w:val="000000" w:themeColor="text1"/>
          <w:sz w:val="24"/>
          <w:szCs w:val="24"/>
        </w:rPr>
        <w:t xml:space="preserve"> </w:t>
      </w:r>
      <w:r w:rsidRPr="00525C19">
        <w:rPr>
          <w:rFonts w:ascii="Times New Roman" w:hAnsi="Times New Roman" w:cs="Times New Roman"/>
          <w:color w:val="000000" w:themeColor="text1"/>
          <w:sz w:val="24"/>
          <w:szCs w:val="24"/>
        </w:rPr>
        <w:t>По данной подпрограмме в полном объеме исполнены ассигнования, предусмотренные на реализацию следующих программных мероприятий:</w:t>
      </w:r>
    </w:p>
    <w:p w:rsidR="004E285C" w:rsidRPr="00EB388E" w:rsidRDefault="004E285C" w:rsidP="0014690C">
      <w:pPr>
        <w:pStyle w:val="afa"/>
        <w:numPr>
          <w:ilvl w:val="0"/>
          <w:numId w:val="33"/>
        </w:numPr>
        <w:tabs>
          <w:tab w:val="left" w:pos="993"/>
        </w:tabs>
        <w:ind w:left="0" w:firstLine="709"/>
        <w:jc w:val="both"/>
        <w:rPr>
          <w:sz w:val="24"/>
          <w:szCs w:val="24"/>
        </w:rPr>
      </w:pPr>
      <w:r w:rsidRPr="00EB388E">
        <w:rPr>
          <w:sz w:val="24"/>
          <w:szCs w:val="24"/>
        </w:rPr>
        <w:t xml:space="preserve">возмещение юридическим лицам (индивидуальным предпринимателям), осуществляющим производство электрической энергии посредством работы дизельной электростанции недополученных доходов, возникающих в результате поставки электрической энергии (мощности) по регулируемым ценам (тарифам) населению и приравненных к нему категориям потребителей с объемом ассигнований 39843,9 тыс. рублей. Вместе с тем, 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2015 год, плановый показатель критерия эффективности и результативности по мероприятию достигнут на уровне </w:t>
      </w:r>
      <w:r w:rsidRPr="00EB388E">
        <w:rPr>
          <w:sz w:val="24"/>
          <w:szCs w:val="24"/>
        </w:rPr>
        <w:br/>
        <w:t>98,4 процента;</w:t>
      </w:r>
    </w:p>
    <w:p w:rsidR="004E285C" w:rsidRPr="00EB388E" w:rsidRDefault="004E285C" w:rsidP="0014690C">
      <w:pPr>
        <w:pStyle w:val="afa"/>
        <w:numPr>
          <w:ilvl w:val="0"/>
          <w:numId w:val="33"/>
        </w:numPr>
        <w:tabs>
          <w:tab w:val="left" w:pos="993"/>
        </w:tabs>
        <w:ind w:left="0" w:firstLine="709"/>
        <w:jc w:val="both"/>
        <w:rPr>
          <w:sz w:val="24"/>
          <w:szCs w:val="24"/>
        </w:rPr>
      </w:pPr>
      <w:r w:rsidRPr="00EB388E">
        <w:rPr>
          <w:sz w:val="24"/>
          <w:szCs w:val="24"/>
        </w:rPr>
        <w:t>возмещение теплоснабжающим организациям части затрат, возникших в связи с оказанием коммунальных услуг, по расходам на топливо и электрическую энергию, превышающим учтенные уполномоченным исполнительным органом государственной власти области, осуществляющим функции в сфере государственного регулирования цен и тарифов на продукцию (товары, услуги), при установлении экономически обоснованных тарифов на тепловую энергию с объемом ассигнований 468000,0 тыс. рублей. Вместе с тем, 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2015 год, плановый показатель критерия эффективности и результативности по мероприятию достигнут на уровне 96,7 процента;</w:t>
      </w:r>
    </w:p>
    <w:p w:rsidR="004E285C" w:rsidRPr="00EB388E" w:rsidRDefault="004E285C" w:rsidP="0014690C">
      <w:pPr>
        <w:pStyle w:val="afa"/>
        <w:numPr>
          <w:ilvl w:val="0"/>
          <w:numId w:val="33"/>
        </w:numPr>
        <w:tabs>
          <w:tab w:val="left" w:pos="993"/>
        </w:tabs>
        <w:ind w:left="0" w:firstLine="709"/>
        <w:jc w:val="both"/>
        <w:rPr>
          <w:sz w:val="24"/>
          <w:szCs w:val="24"/>
        </w:rPr>
      </w:pPr>
      <w:r w:rsidRPr="00EB388E">
        <w:rPr>
          <w:sz w:val="24"/>
          <w:szCs w:val="24"/>
        </w:rPr>
        <w:t>возмещение теплоснабжающим организациям части затрат, возникших в связи с оказанием коммунальных услуг, в части разницы между величиной, сложившейся исходя из расчетного объема полезного отпуска тепловой энергии на установленный экономически обоснованный тариф на тепловую энергию (за исключением расходов на топливо и электрическую энергию), и величиной, сложившейся исходя из фактического объема тепловой энергии на установленный экономически обоснованный тариф на тепловую энергию (за исключением расходов на топливо и  электрическую энергию) с объемом ассигнований 625032,0 тыс. рублей;</w:t>
      </w:r>
    </w:p>
    <w:p w:rsidR="004E285C" w:rsidRPr="00EB388E" w:rsidRDefault="004E285C" w:rsidP="0014690C">
      <w:pPr>
        <w:pStyle w:val="afa"/>
        <w:numPr>
          <w:ilvl w:val="0"/>
          <w:numId w:val="33"/>
        </w:numPr>
        <w:tabs>
          <w:tab w:val="left" w:pos="993"/>
        </w:tabs>
        <w:ind w:left="0" w:firstLine="709"/>
        <w:jc w:val="both"/>
        <w:rPr>
          <w:sz w:val="24"/>
          <w:szCs w:val="24"/>
        </w:rPr>
      </w:pPr>
      <w:r w:rsidRPr="00EB388E">
        <w:rPr>
          <w:sz w:val="24"/>
          <w:szCs w:val="24"/>
        </w:rPr>
        <w:t>возмещение юридическим лицам части затрат, связанных с предоставлением коммунальных услуг на территории районов Крайнего Севера и приравненных к ним местностей с объемом ассигнований 282714,7 тыс. рублей.</w:t>
      </w:r>
      <w:r w:rsidRPr="00375C8B">
        <w:t xml:space="preserve"> </w:t>
      </w:r>
      <w:r w:rsidRPr="00EB388E">
        <w:rPr>
          <w:sz w:val="24"/>
          <w:szCs w:val="24"/>
        </w:rPr>
        <w:t>Вместе с тем, 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2015 год, плановый показатель критерия эффективности и результативности по мероприятию достигнут на уровне 64,7 процента.</w:t>
      </w:r>
    </w:p>
    <w:p w:rsidR="004E285C" w:rsidRPr="00D043CB" w:rsidRDefault="004E285C" w:rsidP="00D302ED">
      <w:pPr>
        <w:spacing w:after="0" w:line="240" w:lineRule="auto"/>
        <w:ind w:firstLine="709"/>
        <w:jc w:val="both"/>
        <w:rPr>
          <w:rFonts w:ascii="Times New Roman" w:hAnsi="Times New Roman" w:cs="Times New Roman"/>
          <w:color w:val="000000" w:themeColor="text1"/>
          <w:sz w:val="24"/>
          <w:szCs w:val="24"/>
        </w:rPr>
      </w:pPr>
      <w:r w:rsidRPr="00EA6E2D">
        <w:rPr>
          <w:rFonts w:ascii="Times New Roman" w:hAnsi="Times New Roman" w:cs="Times New Roman"/>
          <w:sz w:val="24"/>
          <w:szCs w:val="24"/>
        </w:rPr>
        <w:t>Наиболее низкое исполнение наблюдается по расходам на финансовое обеспечение государственных полномочий по компенсации выпадающих доходов теплоснабжающих организаций, возникающих в результате установления льготных тарифов для населения Амурской области – 94,6 процента.</w:t>
      </w:r>
      <w:r w:rsidR="00D302ED">
        <w:rPr>
          <w:rFonts w:ascii="Times New Roman" w:hAnsi="Times New Roman" w:cs="Times New Roman"/>
          <w:sz w:val="24"/>
          <w:szCs w:val="24"/>
        </w:rPr>
        <w:t xml:space="preserve"> </w:t>
      </w:r>
      <w:r w:rsidRPr="00D043CB">
        <w:rPr>
          <w:rFonts w:ascii="Times New Roman" w:hAnsi="Times New Roman" w:cs="Times New Roman"/>
          <w:color w:val="000000" w:themeColor="text1"/>
          <w:sz w:val="24"/>
          <w:szCs w:val="24"/>
        </w:rPr>
        <w:t>Непосредственным результатом реализации данного мероприятия является ограничение роста платы граждан за коммунальные услуги.</w:t>
      </w:r>
    </w:p>
    <w:p w:rsidR="004E285C" w:rsidRPr="001E5235" w:rsidRDefault="004E285C" w:rsidP="00D302ED">
      <w:pPr>
        <w:spacing w:after="0" w:line="240" w:lineRule="auto"/>
        <w:ind w:firstLine="709"/>
        <w:jc w:val="both"/>
        <w:rPr>
          <w:rFonts w:ascii="Times New Roman" w:hAnsi="Times New Roman" w:cs="Times New Roman"/>
          <w:sz w:val="24"/>
          <w:szCs w:val="24"/>
        </w:rPr>
      </w:pPr>
      <w:r w:rsidRPr="001E5235">
        <w:rPr>
          <w:rFonts w:ascii="Times New Roman" w:hAnsi="Times New Roman" w:cs="Times New Roman"/>
          <w:sz w:val="24"/>
          <w:szCs w:val="24"/>
        </w:rPr>
        <w:t>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2015 год, плановый показатель критерия эффективности и результативности по мероприятию установлен в размере 105,1 процента. Фактич</w:t>
      </w:r>
      <w:r w:rsidR="00EB388E">
        <w:rPr>
          <w:rFonts w:ascii="Times New Roman" w:hAnsi="Times New Roman" w:cs="Times New Roman"/>
          <w:sz w:val="24"/>
          <w:szCs w:val="24"/>
        </w:rPr>
        <w:t>ески достигнуто 106,8 процента.</w:t>
      </w:r>
    </w:p>
    <w:p w:rsidR="004E285C" w:rsidRPr="00EA6E2D" w:rsidRDefault="004E285C" w:rsidP="00F60552">
      <w:pPr>
        <w:pStyle w:val="afa"/>
        <w:numPr>
          <w:ilvl w:val="0"/>
          <w:numId w:val="7"/>
        </w:numPr>
        <w:ind w:left="0" w:firstLine="709"/>
        <w:jc w:val="both"/>
        <w:rPr>
          <w:i/>
          <w:sz w:val="24"/>
          <w:szCs w:val="24"/>
        </w:rPr>
      </w:pPr>
      <w:r w:rsidRPr="00EA6E2D">
        <w:rPr>
          <w:i/>
          <w:sz w:val="24"/>
          <w:szCs w:val="24"/>
        </w:rPr>
        <w:t>Подпрограмма «Капитальный ремонт многоквартирных домов на территории Амурской области»</w:t>
      </w:r>
    </w:p>
    <w:p w:rsidR="004E285C" w:rsidRPr="00EA6E2D" w:rsidRDefault="004E285C" w:rsidP="00D302ED">
      <w:pPr>
        <w:spacing w:after="0" w:line="240" w:lineRule="auto"/>
        <w:ind w:firstLine="709"/>
        <w:jc w:val="both"/>
        <w:rPr>
          <w:rFonts w:ascii="Times New Roman" w:hAnsi="Times New Roman" w:cs="Times New Roman"/>
          <w:sz w:val="24"/>
          <w:szCs w:val="24"/>
        </w:rPr>
      </w:pPr>
      <w:r w:rsidRPr="00EA6E2D">
        <w:rPr>
          <w:rFonts w:ascii="Times New Roman" w:hAnsi="Times New Roman" w:cs="Times New Roman"/>
          <w:sz w:val="24"/>
          <w:szCs w:val="24"/>
        </w:rPr>
        <w:t xml:space="preserve">Бюджетные ассигнования по подпрограмме «Капитальный ремонт многоквартирных домов на территории Амурской области» утверждены в расходах областного бюджета по целевой статье расходов 0520000 в сумме 28402,5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r>
      <w:r w:rsidRPr="00EA6E2D">
        <w:rPr>
          <w:rFonts w:ascii="Times New Roman" w:hAnsi="Times New Roman" w:cs="Times New Roman"/>
          <w:sz w:val="24"/>
          <w:szCs w:val="24"/>
        </w:rPr>
        <w:lastRenderedPageBreak/>
        <w:t>1,1 процента.</w:t>
      </w:r>
      <w:r w:rsidR="00D302ED">
        <w:rPr>
          <w:rFonts w:ascii="Times New Roman" w:hAnsi="Times New Roman" w:cs="Times New Roman"/>
          <w:sz w:val="24"/>
          <w:szCs w:val="24"/>
        </w:rPr>
        <w:t xml:space="preserve"> </w:t>
      </w:r>
      <w:r w:rsidRPr="00EA6E2D">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77,8 процент</w:t>
      </w:r>
      <w:r>
        <w:rPr>
          <w:rFonts w:ascii="Times New Roman" w:hAnsi="Times New Roman" w:cs="Times New Roman"/>
          <w:sz w:val="24"/>
          <w:szCs w:val="24"/>
        </w:rPr>
        <w:t>а</w:t>
      </w:r>
      <w:r w:rsidRPr="00EA6E2D">
        <w:rPr>
          <w:rFonts w:ascii="Times New Roman" w:hAnsi="Times New Roman" w:cs="Times New Roman"/>
          <w:sz w:val="24"/>
          <w:szCs w:val="24"/>
        </w:rPr>
        <w:t>.</w:t>
      </w:r>
    </w:p>
    <w:p w:rsidR="004E285C" w:rsidRPr="00EA6E2D" w:rsidRDefault="004E285C" w:rsidP="00D302ED">
      <w:pPr>
        <w:spacing w:after="0" w:line="240" w:lineRule="auto"/>
        <w:ind w:firstLine="709"/>
        <w:jc w:val="both"/>
        <w:rPr>
          <w:rFonts w:ascii="Times New Roman" w:hAnsi="Times New Roman" w:cs="Times New Roman"/>
          <w:sz w:val="24"/>
          <w:szCs w:val="24"/>
        </w:rPr>
      </w:pPr>
      <w:r w:rsidRPr="00EA6E2D">
        <w:rPr>
          <w:rFonts w:ascii="Times New Roman" w:hAnsi="Times New Roman" w:cs="Times New Roman"/>
          <w:sz w:val="24"/>
          <w:szCs w:val="24"/>
        </w:rPr>
        <w:t>По данной подпрограмме в 2015 году осуществлялось финансирование мероприятий по капитальному ремонту общего имущества в многоквартирных домах в сумме 22086,3 тыс. рублей.</w:t>
      </w:r>
      <w:r w:rsidR="00D302ED">
        <w:rPr>
          <w:rFonts w:ascii="Times New Roman" w:hAnsi="Times New Roman" w:cs="Times New Roman"/>
          <w:sz w:val="24"/>
          <w:szCs w:val="24"/>
        </w:rPr>
        <w:t xml:space="preserve"> </w:t>
      </w:r>
      <w:r w:rsidRPr="00EA6E2D">
        <w:rPr>
          <w:rFonts w:ascii="Times New Roman" w:hAnsi="Times New Roman" w:cs="Times New Roman"/>
          <w:sz w:val="24"/>
          <w:szCs w:val="24"/>
        </w:rPr>
        <w:t>Кроме того,</w:t>
      </w:r>
      <w:r>
        <w:rPr>
          <w:rFonts w:ascii="Times New Roman" w:hAnsi="Times New Roman" w:cs="Times New Roman"/>
          <w:sz w:val="24"/>
          <w:szCs w:val="24"/>
        </w:rPr>
        <w:t xml:space="preserve"> бюджетной росписью расходов</w:t>
      </w:r>
      <w:r w:rsidRPr="00EA6E2D">
        <w:rPr>
          <w:rFonts w:ascii="Times New Roman" w:hAnsi="Times New Roman" w:cs="Times New Roman"/>
          <w:sz w:val="24"/>
          <w:szCs w:val="24"/>
        </w:rPr>
        <w:t xml:space="preserve"> по данной подпрограмме предусмотрены бюджетные ассигнования в сумме 6316,2 тыс. рублей на обеспечение мероприятий по капитальному ремонту многоквартирных домов за счет средств Фонда содействия реформированию жилищно-коммунального хозяйства. </w:t>
      </w:r>
      <w:r>
        <w:rPr>
          <w:rFonts w:ascii="Times New Roman" w:hAnsi="Times New Roman" w:cs="Times New Roman"/>
          <w:sz w:val="24"/>
          <w:szCs w:val="24"/>
        </w:rPr>
        <w:t>В государственной программе на данное мероприятие в рамках подпрограммы предусмотрено 25264,4 тыс. рублей. Исполнение по данному мероприятию отсутствует.</w:t>
      </w:r>
    </w:p>
    <w:p w:rsidR="004E285C" w:rsidRPr="00815906" w:rsidRDefault="004E285C" w:rsidP="00F60552">
      <w:pPr>
        <w:pStyle w:val="afa"/>
        <w:numPr>
          <w:ilvl w:val="0"/>
          <w:numId w:val="7"/>
        </w:numPr>
        <w:ind w:left="0" w:firstLine="709"/>
        <w:jc w:val="both"/>
        <w:rPr>
          <w:i/>
          <w:sz w:val="24"/>
          <w:szCs w:val="24"/>
        </w:rPr>
      </w:pPr>
      <w:r w:rsidRPr="00815906">
        <w:rPr>
          <w:i/>
          <w:sz w:val="24"/>
          <w:szCs w:val="24"/>
        </w:rPr>
        <w:t>Подпрограмма «Энергосбережение и повышение энергетической эффективности в Амурской области на 2014-2020 годы»</w:t>
      </w:r>
    </w:p>
    <w:p w:rsidR="004E285C" w:rsidRPr="00815906" w:rsidRDefault="004E285C" w:rsidP="00D302ED">
      <w:pPr>
        <w:spacing w:after="0" w:line="240" w:lineRule="auto"/>
        <w:ind w:firstLine="709"/>
        <w:jc w:val="both"/>
        <w:rPr>
          <w:rFonts w:ascii="Times New Roman" w:hAnsi="Times New Roman" w:cs="Times New Roman"/>
          <w:sz w:val="24"/>
          <w:szCs w:val="24"/>
        </w:rPr>
      </w:pPr>
      <w:r w:rsidRPr="00815906">
        <w:rPr>
          <w:rFonts w:ascii="Times New Roman" w:hAnsi="Times New Roman" w:cs="Times New Roman"/>
          <w:sz w:val="24"/>
          <w:szCs w:val="24"/>
        </w:rPr>
        <w:t>Бюджетные ассигнования по подпрограмме «Энергосбережение и повышение энергетической эффективности в Амурской области на 2014-2020 годы» утверждены в расходах областного бюджета по целевой статье расходов 0530000 в сумме 3555,0 тыс. рублей.</w:t>
      </w:r>
      <w:r w:rsidR="00D302ED">
        <w:rPr>
          <w:rFonts w:ascii="Times New Roman" w:hAnsi="Times New Roman" w:cs="Times New Roman"/>
          <w:sz w:val="24"/>
          <w:szCs w:val="24"/>
        </w:rPr>
        <w:t xml:space="preserve"> </w:t>
      </w:r>
      <w:r w:rsidRPr="00815906">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w:t>
      </w:r>
      <w:r>
        <w:rPr>
          <w:rFonts w:ascii="Times New Roman" w:hAnsi="Times New Roman" w:cs="Times New Roman"/>
          <w:sz w:val="24"/>
          <w:szCs w:val="24"/>
        </w:rPr>
        <w:t>ов</w:t>
      </w:r>
      <w:r w:rsidRPr="00815906">
        <w:rPr>
          <w:rFonts w:ascii="Times New Roman" w:hAnsi="Times New Roman" w:cs="Times New Roman"/>
          <w:sz w:val="24"/>
          <w:szCs w:val="24"/>
        </w:rPr>
        <w:t>.</w:t>
      </w:r>
    </w:p>
    <w:p w:rsidR="004E285C" w:rsidRDefault="004E285C" w:rsidP="00D302ED">
      <w:pPr>
        <w:spacing w:after="0" w:line="240" w:lineRule="auto"/>
        <w:ind w:firstLine="709"/>
        <w:jc w:val="both"/>
        <w:rPr>
          <w:rFonts w:ascii="Times New Roman" w:hAnsi="Times New Roman" w:cs="Times New Roman"/>
          <w:sz w:val="24"/>
          <w:szCs w:val="24"/>
        </w:rPr>
      </w:pPr>
      <w:r w:rsidRPr="00815906">
        <w:rPr>
          <w:rFonts w:ascii="Times New Roman" w:hAnsi="Times New Roman" w:cs="Times New Roman"/>
          <w:sz w:val="24"/>
          <w:szCs w:val="24"/>
        </w:rPr>
        <w:t xml:space="preserve">В рамках данной подпрограммы на 2015 год предусмотрено финансирование программного мероприятия «технические и технологические мероприятия энергосбережения». Данное мероприятие предусматривает решение </w:t>
      </w:r>
      <w:r>
        <w:rPr>
          <w:rFonts w:ascii="Times New Roman" w:hAnsi="Times New Roman" w:cs="Times New Roman"/>
          <w:sz w:val="24"/>
          <w:szCs w:val="24"/>
        </w:rPr>
        <w:t>ряда</w:t>
      </w:r>
      <w:r w:rsidRPr="00815906">
        <w:rPr>
          <w:rFonts w:ascii="Times New Roman" w:hAnsi="Times New Roman" w:cs="Times New Roman"/>
          <w:sz w:val="24"/>
          <w:szCs w:val="24"/>
        </w:rPr>
        <w:t xml:space="preserve"> задач</w:t>
      </w:r>
      <w:r>
        <w:rPr>
          <w:rFonts w:ascii="Times New Roman" w:hAnsi="Times New Roman" w:cs="Times New Roman"/>
          <w:sz w:val="24"/>
          <w:szCs w:val="24"/>
        </w:rPr>
        <w:t>, результатом реализации которых является:</w:t>
      </w:r>
    </w:p>
    <w:p w:rsidR="004E285C" w:rsidRPr="00EB388E" w:rsidRDefault="004E285C" w:rsidP="0014690C">
      <w:pPr>
        <w:pStyle w:val="afa"/>
        <w:numPr>
          <w:ilvl w:val="0"/>
          <w:numId w:val="34"/>
        </w:numPr>
        <w:tabs>
          <w:tab w:val="left" w:pos="993"/>
        </w:tabs>
        <w:ind w:left="0" w:firstLine="709"/>
        <w:jc w:val="both"/>
        <w:rPr>
          <w:sz w:val="24"/>
          <w:szCs w:val="24"/>
        </w:rPr>
      </w:pPr>
      <w:r w:rsidRPr="00EB388E">
        <w:rPr>
          <w:sz w:val="24"/>
          <w:szCs w:val="24"/>
        </w:rPr>
        <w:t>стопроцентное оснащение приборами учета бюджетных учреждений области;</w:t>
      </w:r>
    </w:p>
    <w:p w:rsidR="004E285C" w:rsidRPr="00EB388E" w:rsidRDefault="004E285C" w:rsidP="0014690C">
      <w:pPr>
        <w:pStyle w:val="afa"/>
        <w:numPr>
          <w:ilvl w:val="0"/>
          <w:numId w:val="34"/>
        </w:numPr>
        <w:tabs>
          <w:tab w:val="left" w:pos="993"/>
        </w:tabs>
        <w:ind w:left="0" w:firstLine="709"/>
        <w:jc w:val="both"/>
        <w:rPr>
          <w:sz w:val="24"/>
          <w:szCs w:val="24"/>
        </w:rPr>
      </w:pPr>
      <w:r w:rsidRPr="00EB388E">
        <w:rPr>
          <w:sz w:val="24"/>
          <w:szCs w:val="24"/>
        </w:rPr>
        <w:t xml:space="preserve">ежегодное снижение потребления бюджетными учреждениями области топливно-энергетических ресурсов к объему потребленных топливно-энергетических ресурсов на </w:t>
      </w:r>
      <w:r w:rsidRPr="00EB388E">
        <w:rPr>
          <w:sz w:val="24"/>
          <w:szCs w:val="24"/>
        </w:rPr>
        <w:br/>
        <w:t>15,0 процентов;</w:t>
      </w:r>
    </w:p>
    <w:p w:rsidR="004E285C" w:rsidRPr="00EB388E" w:rsidRDefault="004E285C" w:rsidP="0014690C">
      <w:pPr>
        <w:pStyle w:val="afa"/>
        <w:numPr>
          <w:ilvl w:val="0"/>
          <w:numId w:val="34"/>
        </w:numPr>
        <w:tabs>
          <w:tab w:val="left" w:pos="993"/>
        </w:tabs>
        <w:ind w:left="0" w:firstLine="709"/>
        <w:jc w:val="both"/>
        <w:rPr>
          <w:sz w:val="24"/>
          <w:szCs w:val="24"/>
        </w:rPr>
      </w:pPr>
      <w:r w:rsidRPr="00EB388E">
        <w:rPr>
          <w:sz w:val="24"/>
          <w:szCs w:val="24"/>
        </w:rPr>
        <w:t>стопроцентное оснащение общедомовыми (коллективными) приборами учета многоквартирных домов;</w:t>
      </w:r>
    </w:p>
    <w:p w:rsidR="004E285C" w:rsidRPr="00EB388E" w:rsidRDefault="004E285C" w:rsidP="0014690C">
      <w:pPr>
        <w:pStyle w:val="afa"/>
        <w:numPr>
          <w:ilvl w:val="0"/>
          <w:numId w:val="34"/>
        </w:numPr>
        <w:tabs>
          <w:tab w:val="left" w:pos="993"/>
        </w:tabs>
        <w:ind w:left="0" w:firstLine="709"/>
        <w:jc w:val="both"/>
        <w:rPr>
          <w:sz w:val="24"/>
          <w:szCs w:val="24"/>
        </w:rPr>
      </w:pPr>
      <w:r w:rsidRPr="00EB388E">
        <w:rPr>
          <w:sz w:val="24"/>
          <w:szCs w:val="24"/>
        </w:rPr>
        <w:t>привлечение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на уровне 63,56 процента.</w:t>
      </w:r>
    </w:p>
    <w:p w:rsidR="004E285C" w:rsidRDefault="004E285C" w:rsidP="00D302ED">
      <w:pPr>
        <w:spacing w:after="0" w:line="240" w:lineRule="auto"/>
        <w:ind w:firstLine="709"/>
        <w:jc w:val="both"/>
        <w:rPr>
          <w:rFonts w:ascii="Times New Roman" w:hAnsi="Times New Roman" w:cs="Times New Roman"/>
          <w:sz w:val="24"/>
          <w:szCs w:val="24"/>
        </w:rPr>
      </w:pPr>
      <w:r w:rsidRPr="00AC0645">
        <w:rPr>
          <w:rFonts w:ascii="Times New Roman" w:hAnsi="Times New Roman" w:cs="Times New Roman"/>
          <w:sz w:val="24"/>
          <w:szCs w:val="24"/>
        </w:rPr>
        <w:t>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2015 год, достижение поставленной на 2015 год задачи отмечается только по снижению потребления бюджетными учреждениями области топливно-энергетических ресурсов к объему потребленных топливно-энергетических ресурсов. При заданных 15,0 процентах, достигнут результат на уровне 16,9 процента.</w:t>
      </w:r>
    </w:p>
    <w:p w:rsidR="004E285C" w:rsidRPr="00D043CB" w:rsidRDefault="004E285C" w:rsidP="00F60552">
      <w:pPr>
        <w:pStyle w:val="afa"/>
        <w:numPr>
          <w:ilvl w:val="0"/>
          <w:numId w:val="7"/>
        </w:numPr>
        <w:ind w:left="0" w:firstLine="709"/>
        <w:jc w:val="both"/>
        <w:rPr>
          <w:i/>
          <w:color w:val="000000" w:themeColor="text1"/>
          <w:sz w:val="24"/>
          <w:szCs w:val="24"/>
        </w:rPr>
      </w:pPr>
      <w:r w:rsidRPr="00D043CB">
        <w:rPr>
          <w:i/>
          <w:color w:val="000000" w:themeColor="text1"/>
          <w:sz w:val="24"/>
          <w:szCs w:val="24"/>
        </w:rPr>
        <w:t>Подпрограмма «Обеспечение реализации основных направлений государственной политики в сфере реализации государственной программы»</w:t>
      </w:r>
    </w:p>
    <w:p w:rsidR="004E285C" w:rsidRPr="00D043CB" w:rsidRDefault="004E285C" w:rsidP="00D302ED">
      <w:pPr>
        <w:spacing w:after="0" w:line="240" w:lineRule="auto"/>
        <w:ind w:firstLine="709"/>
        <w:jc w:val="both"/>
        <w:rPr>
          <w:rFonts w:ascii="Times New Roman" w:hAnsi="Times New Roman" w:cs="Times New Roman"/>
          <w:color w:val="000000" w:themeColor="text1"/>
          <w:sz w:val="24"/>
          <w:szCs w:val="24"/>
        </w:rPr>
      </w:pPr>
      <w:r w:rsidRPr="00D043CB">
        <w:rPr>
          <w:rFonts w:ascii="Times New Roman" w:hAnsi="Times New Roman" w:cs="Times New Roman"/>
          <w:color w:val="000000" w:themeColor="text1"/>
          <w:sz w:val="24"/>
          <w:szCs w:val="24"/>
        </w:rPr>
        <w:t>Бюджетные ассигнования по подпрограмме «Обеспечение реализации основных направлений государственной политики в сфере реализации государственной программы» утверждены в расходах областного бюджета по целевой статье расходов 0540000 в сумме 55276,6 тыс. рублей. В общем объеме расходов государственной программы доля расходов по данной подпрограмме составляет 2,2 процента.</w:t>
      </w:r>
    </w:p>
    <w:p w:rsidR="00D302ED" w:rsidRPr="00D043CB" w:rsidRDefault="004E285C" w:rsidP="00D302ED">
      <w:pPr>
        <w:spacing w:after="0" w:line="240" w:lineRule="auto"/>
        <w:ind w:firstLine="709"/>
        <w:jc w:val="both"/>
        <w:rPr>
          <w:rFonts w:ascii="Times New Roman" w:hAnsi="Times New Roman" w:cs="Times New Roman"/>
          <w:color w:val="000000" w:themeColor="text1"/>
          <w:sz w:val="24"/>
          <w:szCs w:val="24"/>
        </w:rPr>
      </w:pPr>
      <w:r w:rsidRPr="00D043CB">
        <w:rPr>
          <w:rFonts w:ascii="Times New Roman" w:hAnsi="Times New Roman" w:cs="Times New Roman"/>
          <w:color w:val="000000" w:themeColor="text1"/>
          <w:sz w:val="24"/>
          <w:szCs w:val="24"/>
        </w:rPr>
        <w:t xml:space="preserve">Уровень исполнения расходов, предусмотренных на реализацию мероприятий подпрограммы, составил 98,7 процента (объем неисполненных ассигнований составил </w:t>
      </w:r>
      <w:r>
        <w:rPr>
          <w:rFonts w:ascii="Times New Roman" w:hAnsi="Times New Roman" w:cs="Times New Roman"/>
          <w:color w:val="000000" w:themeColor="text1"/>
          <w:sz w:val="24"/>
          <w:szCs w:val="24"/>
        </w:rPr>
        <w:br/>
      </w:r>
      <w:r w:rsidRPr="00D043CB">
        <w:rPr>
          <w:rFonts w:ascii="Times New Roman" w:hAnsi="Times New Roman" w:cs="Times New Roman"/>
          <w:color w:val="000000" w:themeColor="text1"/>
          <w:sz w:val="24"/>
          <w:szCs w:val="24"/>
        </w:rPr>
        <w:t>715,6 тыс. рублей).</w:t>
      </w:r>
      <w:r w:rsidR="00D302ED">
        <w:rPr>
          <w:rFonts w:ascii="Times New Roman" w:hAnsi="Times New Roman" w:cs="Times New Roman"/>
          <w:color w:val="000000" w:themeColor="text1"/>
          <w:sz w:val="24"/>
          <w:szCs w:val="24"/>
        </w:rPr>
        <w:t xml:space="preserve"> </w:t>
      </w:r>
      <w:r w:rsidRPr="00D043CB">
        <w:rPr>
          <w:rFonts w:ascii="Times New Roman" w:hAnsi="Times New Roman" w:cs="Times New Roman"/>
          <w:color w:val="000000" w:themeColor="text1"/>
          <w:sz w:val="24"/>
          <w:szCs w:val="24"/>
        </w:rPr>
        <w:t>Основным мероприятием в рамках подпрограммы являются расходы на обеспечение функций исполнительных</w:t>
      </w:r>
      <w:r w:rsidR="00D302ED">
        <w:rPr>
          <w:rFonts w:ascii="Times New Roman" w:hAnsi="Times New Roman" w:cs="Times New Roman"/>
          <w:color w:val="000000" w:themeColor="text1"/>
          <w:sz w:val="24"/>
          <w:szCs w:val="24"/>
        </w:rPr>
        <w:t xml:space="preserve"> органов государственной власти.</w:t>
      </w:r>
    </w:p>
    <w:p w:rsidR="004E285C" w:rsidRDefault="004E285C" w:rsidP="00D302ED">
      <w:pPr>
        <w:spacing w:after="0" w:line="240" w:lineRule="auto"/>
        <w:ind w:firstLine="709"/>
        <w:jc w:val="both"/>
        <w:rPr>
          <w:rFonts w:ascii="Times New Roman" w:hAnsi="Times New Roman" w:cs="Times New Roman"/>
          <w:color w:val="000000" w:themeColor="text1"/>
          <w:sz w:val="24"/>
          <w:szCs w:val="24"/>
        </w:rPr>
      </w:pPr>
      <w:r w:rsidRPr="00F9325F">
        <w:rPr>
          <w:rFonts w:ascii="Times New Roman" w:hAnsi="Times New Roman" w:cs="Times New Roman"/>
          <w:color w:val="000000" w:themeColor="text1"/>
          <w:sz w:val="24"/>
          <w:szCs w:val="24"/>
        </w:rPr>
        <w:t xml:space="preserve">Информация о расходах государственной программы </w:t>
      </w:r>
      <w:r w:rsidRPr="00A772F6">
        <w:rPr>
          <w:rFonts w:ascii="Times New Roman" w:hAnsi="Times New Roman" w:cs="Times New Roman"/>
          <w:color w:val="000000" w:themeColor="text1"/>
          <w:sz w:val="24"/>
          <w:szCs w:val="24"/>
        </w:rPr>
        <w:t>«Модернизация жилищно–коммунального комплекса, энергосбережение и повышение энергетической эффективности в Амурской области на 2014–2020 годы»</w:t>
      </w:r>
      <w:r>
        <w:rPr>
          <w:rFonts w:ascii="Times New Roman" w:hAnsi="Times New Roman" w:cs="Times New Roman"/>
          <w:color w:val="000000" w:themeColor="text1"/>
          <w:sz w:val="24"/>
          <w:szCs w:val="24"/>
        </w:rPr>
        <w:t xml:space="preserve"> по основным направлениям деятельности представлена</w:t>
      </w:r>
      <w:r w:rsidR="00D302ED">
        <w:rPr>
          <w:rFonts w:ascii="Times New Roman" w:hAnsi="Times New Roman" w:cs="Times New Roman"/>
          <w:color w:val="000000" w:themeColor="text1"/>
          <w:sz w:val="24"/>
          <w:szCs w:val="24"/>
        </w:rPr>
        <w:t xml:space="preserve"> на рисунке 27.</w:t>
      </w:r>
    </w:p>
    <w:p w:rsidR="00BD5D4A" w:rsidRDefault="00BD5D4A" w:rsidP="00D302ED">
      <w:pPr>
        <w:spacing w:after="0" w:line="240" w:lineRule="auto"/>
        <w:ind w:firstLine="709"/>
        <w:jc w:val="both"/>
        <w:rPr>
          <w:rFonts w:ascii="Times New Roman" w:hAnsi="Times New Roman" w:cs="Times New Roman"/>
          <w:color w:val="000000" w:themeColor="text1"/>
          <w:sz w:val="24"/>
          <w:szCs w:val="24"/>
        </w:rPr>
      </w:pPr>
    </w:p>
    <w:p w:rsidR="00BD5D4A" w:rsidRDefault="00BD5D4A" w:rsidP="00D302ED">
      <w:pPr>
        <w:spacing w:after="0" w:line="240" w:lineRule="auto"/>
        <w:ind w:firstLine="709"/>
        <w:jc w:val="both"/>
        <w:rPr>
          <w:rFonts w:ascii="Times New Roman" w:hAnsi="Times New Roman" w:cs="Times New Roman"/>
          <w:color w:val="000000" w:themeColor="text1"/>
          <w:sz w:val="24"/>
          <w:szCs w:val="24"/>
        </w:rPr>
      </w:pPr>
    </w:p>
    <w:p w:rsidR="004E285C" w:rsidRDefault="004E285C" w:rsidP="004E285C">
      <w:pPr>
        <w:keepNext/>
        <w:spacing w:after="120"/>
        <w:jc w:val="both"/>
      </w:pPr>
      <w:r>
        <w:rPr>
          <w:rFonts w:ascii="Times New Roman" w:hAnsi="Times New Roman" w:cs="Times New Roman"/>
          <w:noProof/>
          <w:color w:val="000000" w:themeColor="text1"/>
          <w:sz w:val="24"/>
          <w:szCs w:val="24"/>
          <w:lang w:eastAsia="ru-RU"/>
        </w:rPr>
        <w:lastRenderedPageBreak/>
        <w:drawing>
          <wp:inline distT="0" distB="0" distL="0" distR="0" wp14:anchorId="409751AF" wp14:editId="0825892F">
            <wp:extent cx="6076950" cy="348615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E285C" w:rsidRDefault="004E285C" w:rsidP="00BD5D4A">
      <w:pPr>
        <w:spacing w:after="0"/>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Рис.</w:t>
      </w:r>
      <w:r w:rsidRPr="00A772F6">
        <w:t xml:space="preserve"> </w:t>
      </w:r>
      <w:r w:rsidR="00D302ED" w:rsidRPr="00D302ED">
        <w:rPr>
          <w:rFonts w:ascii="Times New Roman" w:hAnsi="Times New Roman" w:cs="Times New Roman"/>
          <w:b/>
          <w:sz w:val="24"/>
          <w:szCs w:val="24"/>
        </w:rPr>
        <w:t>27 -</w:t>
      </w:r>
      <w:r>
        <w:t xml:space="preserve"> </w:t>
      </w:r>
      <w:r w:rsidRPr="00A772F6">
        <w:rPr>
          <w:rFonts w:ascii="Times New Roman" w:hAnsi="Times New Roman" w:cs="Times New Roman"/>
          <w:b/>
          <w:color w:val="000000" w:themeColor="text1"/>
          <w:sz w:val="24"/>
          <w:szCs w:val="24"/>
        </w:rPr>
        <w:t>Основные направления расходов областного бюджета по государственной программе «Модернизация жилищно–коммунального комплекса, энергосбережение и повышение энергетической эффективности в Амурской области на 2014–2020 годы»</w:t>
      </w:r>
      <w:r w:rsidR="00FD7F92">
        <w:rPr>
          <w:rFonts w:ascii="Times New Roman" w:hAnsi="Times New Roman" w:cs="Times New Roman"/>
          <w:b/>
          <w:color w:val="000000" w:themeColor="text1"/>
          <w:sz w:val="24"/>
          <w:szCs w:val="24"/>
        </w:rPr>
        <w:t>, млн. руб.</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F5AA9">
        <w:rPr>
          <w:rFonts w:ascii="Times New Roman" w:eastAsia="Times New Roman" w:hAnsi="Times New Roman" w:cs="Times New Roman"/>
          <w:b/>
          <w:sz w:val="24"/>
          <w:szCs w:val="24"/>
          <w:lang w:eastAsia="ru-RU"/>
        </w:rPr>
        <w:t xml:space="preserve">5.6. Исполнение расходов областного бюджета за 2015 год в рамках государственной программы «Развитие здравоохранения Амурской области на </w:t>
      </w:r>
      <w:r w:rsidRPr="00BF5AA9">
        <w:rPr>
          <w:rFonts w:ascii="Times New Roman" w:eastAsia="Times New Roman" w:hAnsi="Times New Roman" w:cs="Times New Roman"/>
          <w:b/>
          <w:sz w:val="24"/>
          <w:szCs w:val="24"/>
          <w:lang w:eastAsia="ru-RU"/>
        </w:rPr>
        <w:br/>
        <w:t>2014-2020 годы»</w:t>
      </w:r>
    </w:p>
    <w:p w:rsidR="00BF5AA9" w:rsidRPr="00BF5AA9" w:rsidRDefault="00BF5AA9" w:rsidP="00BF5A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 xml:space="preserve">Государственная программа «Развитие здравоохранения Амурской области на </w:t>
      </w:r>
      <w:r w:rsidRPr="00BF5AA9">
        <w:rPr>
          <w:rFonts w:ascii="Times New Roman" w:eastAsia="Times New Roman" w:hAnsi="Times New Roman" w:cs="Times New Roman"/>
          <w:sz w:val="24"/>
          <w:szCs w:val="24"/>
          <w:lang w:eastAsia="ru-RU"/>
        </w:rPr>
        <w:br/>
        <w:t>2014-2020 годы» утверждена постановлением Правительства Амурской области от 03.07.2013 № 302 в составе девяти подпрограмм с объемом ассигнований на 2015 год – 7228609,6</w:t>
      </w:r>
      <w:r>
        <w:rPr>
          <w:rFonts w:ascii="Times New Roman" w:eastAsia="Times New Roman" w:hAnsi="Times New Roman" w:cs="Times New Roman"/>
          <w:sz w:val="24"/>
          <w:szCs w:val="24"/>
          <w:lang w:eastAsia="ru-RU"/>
        </w:rPr>
        <w:t xml:space="preserve"> тыс. рублей, в том числе </w:t>
      </w:r>
      <w:r w:rsidRPr="00BF5AA9">
        <w:rPr>
          <w:rFonts w:ascii="Times New Roman" w:eastAsia="Times New Roman" w:hAnsi="Times New Roman" w:cs="Times New Roman"/>
          <w:sz w:val="24"/>
          <w:szCs w:val="24"/>
          <w:lang w:eastAsia="ru-RU"/>
        </w:rPr>
        <w:t>за счет средств федерального бюджета – 226755,0</w:t>
      </w:r>
      <w:r>
        <w:rPr>
          <w:rFonts w:ascii="Times New Roman" w:eastAsia="Times New Roman" w:hAnsi="Times New Roman" w:cs="Times New Roman"/>
          <w:sz w:val="24"/>
          <w:szCs w:val="24"/>
          <w:lang w:eastAsia="ru-RU"/>
        </w:rPr>
        <w:t xml:space="preserve"> тыс. рублей, </w:t>
      </w:r>
      <w:r w:rsidRPr="00BF5AA9">
        <w:rPr>
          <w:rFonts w:ascii="Times New Roman" w:eastAsia="Times New Roman" w:hAnsi="Times New Roman" w:cs="Times New Roman"/>
          <w:sz w:val="24"/>
          <w:szCs w:val="24"/>
          <w:lang w:eastAsia="ru-RU"/>
        </w:rPr>
        <w:t>за счет средств областного бюджета – 7001854,6 тыс. рублей.</w:t>
      </w:r>
      <w:r>
        <w:rPr>
          <w:rFonts w:ascii="Times New Roman" w:eastAsia="Times New Roman" w:hAnsi="Times New Roman" w:cs="Times New Roman"/>
          <w:sz w:val="24"/>
          <w:szCs w:val="24"/>
          <w:lang w:eastAsia="ru-RU"/>
        </w:rPr>
        <w:t xml:space="preserve"> </w:t>
      </w:r>
      <w:r w:rsidRPr="00BF5AA9">
        <w:rPr>
          <w:rFonts w:ascii="Times New Roman" w:eastAsia="Times New Roman" w:hAnsi="Times New Roman" w:cs="Times New Roman"/>
          <w:sz w:val="24"/>
          <w:szCs w:val="24"/>
          <w:lang w:eastAsia="ru-RU"/>
        </w:rPr>
        <w:t>Координатором государственной программы является министерство здравоохранения Амурской области.</w:t>
      </w:r>
    </w:p>
    <w:p w:rsidR="00BF5AA9" w:rsidRPr="00BF5AA9" w:rsidRDefault="00BF5AA9" w:rsidP="00BF5A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Законом Амурской области «Об областном бюджете на 2015 год и плановый период 2016 и 2017 годов» на реализацию государственной программы «Развитие здравоохранения Амурской области на 2014-2020 годы» утверждены ассигнования в сумме 7228609,6 тыс. рублей, в том числе</w:t>
      </w:r>
      <w:r w:rsidR="00BD5D4A">
        <w:rPr>
          <w:rFonts w:ascii="Times New Roman" w:eastAsia="Times New Roman" w:hAnsi="Times New Roman" w:cs="Times New Roman"/>
          <w:sz w:val="24"/>
          <w:szCs w:val="24"/>
          <w:lang w:eastAsia="ru-RU"/>
        </w:rPr>
        <w:t xml:space="preserve"> </w:t>
      </w:r>
      <w:r w:rsidRPr="00BF5AA9">
        <w:rPr>
          <w:rFonts w:ascii="Times New Roman" w:eastAsia="Times New Roman" w:hAnsi="Times New Roman" w:cs="Times New Roman"/>
          <w:sz w:val="24"/>
          <w:szCs w:val="24"/>
          <w:lang w:eastAsia="ru-RU"/>
        </w:rPr>
        <w:t>за счет средств федерального</w:t>
      </w:r>
      <w:r w:rsidR="00BD5D4A">
        <w:rPr>
          <w:rFonts w:ascii="Times New Roman" w:eastAsia="Times New Roman" w:hAnsi="Times New Roman" w:cs="Times New Roman"/>
          <w:sz w:val="24"/>
          <w:szCs w:val="24"/>
          <w:lang w:eastAsia="ru-RU"/>
        </w:rPr>
        <w:t xml:space="preserve"> бюджета – 226755,0 тыс. рублей, </w:t>
      </w:r>
      <w:r w:rsidRPr="00BF5AA9">
        <w:rPr>
          <w:rFonts w:ascii="Times New Roman" w:eastAsia="Times New Roman" w:hAnsi="Times New Roman" w:cs="Times New Roman"/>
          <w:sz w:val="24"/>
          <w:szCs w:val="24"/>
          <w:lang w:eastAsia="ru-RU"/>
        </w:rPr>
        <w:t>за счет средств областного бюджета – 7001854,6 тыс. рублей.</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Times New Roman" w:hAnsi="Times New Roman" w:cs="Times New Roman"/>
          <w:sz w:val="24"/>
          <w:szCs w:val="24"/>
          <w:lang w:eastAsia="ru-RU"/>
        </w:rPr>
        <w:t xml:space="preserve">Сводной бюджетной росписью расходов областного бюджета на 2015 год на реализацию государственной программы предусмотрено 7558186,6 тыс. рублей, в том </w:t>
      </w:r>
      <w:r w:rsidRPr="00BF5AA9">
        <w:rPr>
          <w:rFonts w:ascii="Times New Roman" w:eastAsia="Calibri" w:hAnsi="Times New Roman" w:cs="Times New Roman"/>
          <w:sz w:val="24"/>
          <w:szCs w:val="24"/>
        </w:rPr>
        <w:t>числе за счет средств областного бюджета – 7002758,6 тыс. рублей; за счет средств федерального бюджета – 532928,0 тыс. рублей и средств Территориального фонда обязательного медицинского страхования Амурской области – 22500,0 тыс. рублей на софинансирование следующих подпрограмм:</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-«Профилактика заболеваний и формирование здорового образа жизни. Развитие первичной медико-санитарной помощи» - 699594,7 тыс. рублей;</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- 1461879,8 тыс. рублей;</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-«Охрана здоровья матери и ребенка» - 100932,9 тыс. рублей;</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w:t>
      </w:r>
      <w:hyperlink r:id="rId42" w:history="1">
        <w:r w:rsidRPr="00BF5AA9">
          <w:rPr>
            <w:rFonts w:ascii="Times New Roman" w:eastAsia="Calibri" w:hAnsi="Times New Roman" w:cs="Times New Roman"/>
            <w:sz w:val="24"/>
            <w:szCs w:val="24"/>
          </w:rPr>
          <w:t>Развитие медицинской реабилитации и санаторно-курортного лечения, в том числе детей</w:t>
        </w:r>
      </w:hyperlink>
      <w:r w:rsidRPr="00BF5AA9">
        <w:rPr>
          <w:rFonts w:ascii="Times New Roman" w:eastAsia="Calibri" w:hAnsi="Times New Roman" w:cs="Times New Roman"/>
          <w:sz w:val="24"/>
          <w:szCs w:val="24"/>
        </w:rPr>
        <w:t>» - 133062,1 тыс. рублей;</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lastRenderedPageBreak/>
        <w:t>-«Кадровое обеспечение системы здравоохранения» - 45000,0 тыс. рублей (в том числе 22500,0 тыс. рублей средства Территориального фонда обязательного медицинского страхования Амурской области);</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w:t>
      </w:r>
      <w:hyperlink r:id="rId43" w:history="1">
        <w:r w:rsidRPr="00BF5AA9">
          <w:rPr>
            <w:rFonts w:ascii="Times New Roman" w:eastAsia="Calibri" w:hAnsi="Times New Roman" w:cs="Times New Roman"/>
            <w:sz w:val="24"/>
            <w:szCs w:val="24"/>
          </w:rPr>
          <w:t>Оказание паллиативной помощи, в том числе детям</w:t>
        </w:r>
      </w:hyperlink>
      <w:r w:rsidRPr="00BF5AA9">
        <w:rPr>
          <w:rFonts w:ascii="Times New Roman" w:eastAsia="Calibri" w:hAnsi="Times New Roman" w:cs="Times New Roman"/>
          <w:sz w:val="24"/>
          <w:szCs w:val="24"/>
        </w:rPr>
        <w:t>» - 8048,3 тыс. рублей;</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-«Обеспечение реализации основных направлений государственной политики в сфере реализации государственной программы» - 5096274,4 тыс. рублей;</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w:t>
      </w:r>
      <w:hyperlink r:id="rId44" w:history="1">
        <w:r w:rsidRPr="00BF5AA9">
          <w:rPr>
            <w:rFonts w:ascii="Times New Roman" w:eastAsia="Calibri" w:hAnsi="Times New Roman" w:cs="Times New Roman"/>
            <w:sz w:val="24"/>
            <w:szCs w:val="24"/>
          </w:rPr>
          <w:t>Развитие информатизации в здравоохранении</w:t>
        </w:r>
      </w:hyperlink>
      <w:r w:rsidRPr="00BF5AA9">
        <w:rPr>
          <w:rFonts w:ascii="Times New Roman" w:eastAsia="Calibri" w:hAnsi="Times New Roman" w:cs="Times New Roman"/>
          <w:sz w:val="24"/>
          <w:szCs w:val="24"/>
        </w:rPr>
        <w:t>» - 12602,6 тыс. рублей;</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w:t>
      </w:r>
      <w:hyperlink r:id="rId45" w:history="1">
        <w:r w:rsidRPr="00BF5AA9">
          <w:rPr>
            <w:rFonts w:ascii="Times New Roman" w:eastAsia="Calibri" w:hAnsi="Times New Roman" w:cs="Times New Roman"/>
            <w:sz w:val="24"/>
            <w:szCs w:val="24"/>
          </w:rPr>
          <w:t>Противодействие злоупотреблению наркотическими средствами и их незаконному обороту</w:t>
        </w:r>
      </w:hyperlink>
      <w:r w:rsidRPr="00BF5AA9">
        <w:rPr>
          <w:rFonts w:ascii="Times New Roman" w:eastAsia="Calibri" w:hAnsi="Times New Roman" w:cs="Times New Roman"/>
          <w:sz w:val="24"/>
          <w:szCs w:val="24"/>
        </w:rPr>
        <w:t>» - 791,8 тыс. рублей.</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Таким образом, превышение плановых показателей сводной бюджетной росписи расходов над показателями, утвержденными законом об областном бюджете, составляет 329576,9 тыс. рублей (средства федерального бюджета).</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 xml:space="preserve">Исполнение бюджетных назначений, предусмотренных на реализацию государственной программы сводной бюджетной росписью расходов, составило </w:t>
      </w:r>
      <w:r w:rsidRPr="00BF5AA9">
        <w:rPr>
          <w:rFonts w:ascii="Times New Roman" w:eastAsia="Times New Roman" w:hAnsi="Times New Roman" w:cs="Times New Roman"/>
          <w:sz w:val="24"/>
          <w:szCs w:val="24"/>
          <w:lang w:eastAsia="ru-RU"/>
        </w:rPr>
        <w:br/>
        <w:t>7491587,9 тыс. рублей, или 99,1 процента.</w:t>
      </w:r>
    </w:p>
    <w:p w:rsidR="00BF5AA9" w:rsidRPr="00BF5AA9" w:rsidRDefault="00BF5AA9" w:rsidP="00BF5A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Согласно приложению № 1 к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2015 год:</w:t>
      </w:r>
    </w:p>
    <w:p w:rsidR="00BF5AA9" w:rsidRPr="00BF5AA9" w:rsidRDefault="00BF5AA9" w:rsidP="00BF5A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-плановые объемы финансирования за счет средств федерального бюджета и области, отраженные в докладе на реализацию государственной программы, составляют 7620732,44 тыс. рублей, что не соответствует аналогичному плановому значению ассигнований, предусмотренному сводной бюджетной росписью в сумме 7558186,6 тыс. рублей;</w:t>
      </w:r>
    </w:p>
    <w:p w:rsidR="00BF5AA9" w:rsidRPr="00BF5AA9" w:rsidRDefault="00BF5AA9" w:rsidP="00BF5A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color w:val="0070C0"/>
          <w:sz w:val="24"/>
          <w:szCs w:val="24"/>
        </w:rPr>
        <w:t>-</w:t>
      </w:r>
      <w:r w:rsidRPr="00BF5AA9">
        <w:rPr>
          <w:rFonts w:ascii="Times New Roman" w:eastAsia="Calibri" w:hAnsi="Times New Roman" w:cs="Times New Roman"/>
          <w:sz w:val="24"/>
          <w:szCs w:val="24"/>
        </w:rPr>
        <w:t>объем исполненных ассигнований, отраженных в докладе, составляет 7554133,7 тыс. рублей. При этом согласно данным проекта закона области «Об исполнении областного бюджета за 2015 год» аналогичный показатель составляет 7491587,9,5 тыс. рублей.</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F5AA9">
        <w:rPr>
          <w:rFonts w:ascii="Times New Roman" w:eastAsia="Times New Roman" w:hAnsi="Times New Roman" w:cs="Times New Roman"/>
          <w:i/>
          <w:sz w:val="24"/>
          <w:szCs w:val="24"/>
          <w:lang w:eastAsia="ru-RU"/>
        </w:rPr>
        <w:t xml:space="preserve">Отражение в докладе </w:t>
      </w:r>
      <w:r w:rsidRPr="00BF5AA9">
        <w:rPr>
          <w:rFonts w:ascii="Times New Roman" w:eastAsia="Calibri" w:hAnsi="Times New Roman" w:cs="Times New Roman"/>
          <w:i/>
          <w:sz w:val="24"/>
          <w:szCs w:val="24"/>
        </w:rPr>
        <w:t>о ходе реализации и об оценке эффективности государственных программ области плановых показателей и показателей о кассовом исполнении государственных программ, несоответствующих аналогичным показателям, предусмотренным сводной бюджетной росписью расходов, и показателям годового отчета об исполнении областного бюджета, противоречит положениям Порядка принятия решений о разработке государственных программ Амурской области, их формирования и реализации, а также проведения оценки эффективности, утвержденного постановлением Правительства Амурской области от 29.07.2013 № 329 (с учетом изменений).</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В таблице 9 представлена информация об исполнении государственной программы в разрезе подпрограмм.</w:t>
      </w:r>
    </w:p>
    <w:p w:rsidR="00BF5AA9" w:rsidRPr="00BF5AA9" w:rsidRDefault="00BF5AA9" w:rsidP="00BF5AA9">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Таблица 9</w:t>
      </w:r>
    </w:p>
    <w:p w:rsidR="00BF5AA9" w:rsidRPr="00BF5AA9" w:rsidRDefault="00BF5AA9" w:rsidP="00BF5AA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F5AA9">
        <w:rPr>
          <w:rFonts w:ascii="Times New Roman" w:eastAsia="Times New Roman" w:hAnsi="Times New Roman" w:cs="Times New Roman"/>
          <w:b/>
          <w:sz w:val="24"/>
          <w:szCs w:val="24"/>
          <w:lang w:eastAsia="ru-RU"/>
        </w:rPr>
        <w:t>Анализ исполнения государственной программы «</w:t>
      </w:r>
      <w:r w:rsidRPr="00BF5AA9">
        <w:rPr>
          <w:rFonts w:ascii="Times New Roman" w:eastAsia="Calibri" w:hAnsi="Times New Roman" w:cs="Times New Roman"/>
          <w:b/>
          <w:sz w:val="24"/>
          <w:szCs w:val="24"/>
        </w:rPr>
        <w:t>Развитие здравоохранения Амурской области на 2014-2020 годы</w:t>
      </w:r>
      <w:r w:rsidRPr="00BF5AA9">
        <w:rPr>
          <w:rFonts w:ascii="Times New Roman" w:eastAsia="Times New Roman" w:hAnsi="Times New Roman" w:cs="Times New Roman"/>
          <w:b/>
          <w:sz w:val="24"/>
          <w:szCs w:val="24"/>
          <w:lang w:eastAsia="ru-RU"/>
        </w:rPr>
        <w:t>» в разрезе подпрограмм</w:t>
      </w:r>
    </w:p>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1481"/>
        <w:gridCol w:w="1531"/>
        <w:gridCol w:w="1505"/>
        <w:gridCol w:w="1425"/>
      </w:tblGrid>
      <w:tr w:rsidR="00BF5AA9" w:rsidRPr="00BF5AA9" w:rsidTr="00BD5D4A">
        <w:trPr>
          <w:trHeight w:val="687"/>
          <w:tblHeader/>
        </w:trPr>
        <w:tc>
          <w:tcPr>
            <w:tcW w:w="3834" w:type="dxa"/>
            <w:shd w:val="clear" w:color="auto" w:fill="auto"/>
          </w:tcPr>
          <w:p w:rsidR="00BF5AA9" w:rsidRPr="00BF5AA9" w:rsidRDefault="00BF5AA9" w:rsidP="00BF5A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5AA9">
              <w:rPr>
                <w:rFonts w:ascii="Times New Roman" w:eastAsia="Times New Roman" w:hAnsi="Times New Roman" w:cs="Times New Roman"/>
                <w:b/>
                <w:bCs/>
                <w:sz w:val="24"/>
                <w:szCs w:val="24"/>
                <w:lang w:eastAsia="ru-RU"/>
              </w:rPr>
              <w:t>Наименование государственной программы/подпрограммы</w:t>
            </w:r>
          </w:p>
        </w:tc>
        <w:tc>
          <w:tcPr>
            <w:tcW w:w="1481" w:type="dxa"/>
            <w:shd w:val="clear" w:color="auto" w:fill="auto"/>
            <w:noWrap/>
          </w:tcPr>
          <w:p w:rsidR="00BF5AA9" w:rsidRPr="00BF5AA9" w:rsidRDefault="00BF5AA9" w:rsidP="00BF5A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5AA9">
              <w:rPr>
                <w:rFonts w:ascii="Times New Roman" w:eastAsia="Times New Roman" w:hAnsi="Times New Roman" w:cs="Times New Roman"/>
                <w:b/>
                <w:bCs/>
                <w:sz w:val="24"/>
                <w:szCs w:val="24"/>
                <w:lang w:eastAsia="ru-RU"/>
              </w:rPr>
              <w:t>План</w:t>
            </w:r>
          </w:p>
        </w:tc>
        <w:tc>
          <w:tcPr>
            <w:tcW w:w="1463" w:type="dxa"/>
            <w:shd w:val="clear" w:color="auto" w:fill="auto"/>
            <w:noWrap/>
          </w:tcPr>
          <w:p w:rsidR="00BF5AA9" w:rsidRPr="00BF5AA9" w:rsidRDefault="00BF5AA9" w:rsidP="00BF5A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5AA9">
              <w:rPr>
                <w:rFonts w:ascii="Times New Roman" w:eastAsia="Times New Roman" w:hAnsi="Times New Roman" w:cs="Times New Roman"/>
                <w:b/>
                <w:bCs/>
                <w:sz w:val="24"/>
                <w:szCs w:val="24"/>
                <w:lang w:eastAsia="ru-RU"/>
              </w:rPr>
              <w:t>Исполнение</w:t>
            </w:r>
          </w:p>
        </w:tc>
        <w:tc>
          <w:tcPr>
            <w:tcW w:w="1422" w:type="dxa"/>
            <w:shd w:val="clear" w:color="auto" w:fill="auto"/>
            <w:noWrap/>
          </w:tcPr>
          <w:p w:rsidR="00BF5AA9" w:rsidRPr="00BF5AA9" w:rsidRDefault="00BF5AA9" w:rsidP="00BF5A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5AA9">
              <w:rPr>
                <w:rFonts w:ascii="Times New Roman" w:eastAsia="Times New Roman" w:hAnsi="Times New Roman" w:cs="Times New Roman"/>
                <w:b/>
                <w:bCs/>
                <w:sz w:val="24"/>
                <w:szCs w:val="24"/>
                <w:lang w:eastAsia="ru-RU"/>
              </w:rPr>
              <w:t>Уровень исполнения</w:t>
            </w:r>
          </w:p>
        </w:tc>
        <w:tc>
          <w:tcPr>
            <w:tcW w:w="1371" w:type="dxa"/>
            <w:shd w:val="clear" w:color="auto" w:fill="auto"/>
            <w:noWrap/>
          </w:tcPr>
          <w:p w:rsidR="00BF5AA9" w:rsidRPr="00BF5AA9" w:rsidRDefault="00BF5AA9" w:rsidP="00BF5A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5AA9">
              <w:rPr>
                <w:rFonts w:ascii="Times New Roman" w:eastAsia="Times New Roman" w:hAnsi="Times New Roman" w:cs="Times New Roman"/>
                <w:b/>
                <w:bCs/>
                <w:sz w:val="24"/>
                <w:szCs w:val="24"/>
                <w:lang w:eastAsia="ru-RU"/>
              </w:rPr>
              <w:t>Не исполнены</w:t>
            </w:r>
          </w:p>
        </w:tc>
      </w:tr>
      <w:tr w:rsidR="00BF5AA9" w:rsidRPr="00BF5AA9" w:rsidTr="001B7062">
        <w:trPr>
          <w:trHeight w:val="1147"/>
        </w:trPr>
        <w:tc>
          <w:tcPr>
            <w:tcW w:w="3834" w:type="dxa"/>
            <w:shd w:val="clear" w:color="auto" w:fill="auto"/>
            <w:hideMark/>
          </w:tcPr>
          <w:p w:rsidR="00BF5AA9" w:rsidRPr="00BF5AA9" w:rsidRDefault="00BF5AA9" w:rsidP="00BF5AA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BF5AA9">
              <w:rPr>
                <w:rFonts w:ascii="Times New Roman" w:eastAsia="Times New Roman" w:hAnsi="Times New Roman" w:cs="Times New Roman"/>
                <w:b/>
                <w:bCs/>
                <w:sz w:val="24"/>
                <w:szCs w:val="24"/>
                <w:lang w:eastAsia="ru-RU"/>
              </w:rPr>
              <w:t>Государственная программа «</w:t>
            </w:r>
            <w:r w:rsidRPr="00BF5AA9">
              <w:rPr>
                <w:rFonts w:ascii="Times New Roman" w:eastAsia="Times New Roman" w:hAnsi="Times New Roman" w:cs="Times New Roman"/>
                <w:b/>
                <w:sz w:val="24"/>
                <w:szCs w:val="24"/>
                <w:lang w:eastAsia="ru-RU"/>
              </w:rPr>
              <w:t>Развитие здравоохранения Амурской области на 2014-2020 годы</w:t>
            </w:r>
            <w:r w:rsidRPr="00BF5AA9">
              <w:rPr>
                <w:rFonts w:ascii="Times New Roman" w:eastAsia="Times New Roman" w:hAnsi="Times New Roman" w:cs="Times New Roman"/>
                <w:b/>
                <w:bCs/>
                <w:sz w:val="24"/>
                <w:szCs w:val="24"/>
                <w:lang w:eastAsia="ru-RU"/>
              </w:rPr>
              <w:t xml:space="preserve">», </w:t>
            </w:r>
            <w:r w:rsidRPr="00BF5AA9">
              <w:rPr>
                <w:rFonts w:ascii="Times New Roman" w:eastAsia="Times New Roman" w:hAnsi="Times New Roman" w:cs="Times New Roman"/>
                <w:bCs/>
                <w:sz w:val="24"/>
                <w:szCs w:val="24"/>
                <w:lang w:eastAsia="ru-RU"/>
              </w:rPr>
              <w:t>в том числе:</w:t>
            </w:r>
          </w:p>
        </w:tc>
        <w:tc>
          <w:tcPr>
            <w:tcW w:w="1481"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F5AA9">
              <w:rPr>
                <w:rFonts w:ascii="Times New Roman" w:eastAsia="Times New Roman" w:hAnsi="Times New Roman" w:cs="Times New Roman"/>
                <w:b/>
                <w:bCs/>
                <w:sz w:val="24"/>
                <w:szCs w:val="24"/>
                <w:lang w:eastAsia="ru-RU"/>
              </w:rPr>
              <w:t>7558186,6</w:t>
            </w:r>
          </w:p>
        </w:tc>
        <w:tc>
          <w:tcPr>
            <w:tcW w:w="1463"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F5AA9">
              <w:rPr>
                <w:rFonts w:ascii="Times New Roman" w:eastAsia="Times New Roman" w:hAnsi="Times New Roman" w:cs="Times New Roman"/>
                <w:b/>
                <w:bCs/>
                <w:sz w:val="24"/>
                <w:szCs w:val="24"/>
                <w:lang w:eastAsia="ru-RU"/>
              </w:rPr>
              <w:t>7491587,9</w:t>
            </w:r>
          </w:p>
        </w:tc>
        <w:tc>
          <w:tcPr>
            <w:tcW w:w="1422"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F5AA9">
              <w:rPr>
                <w:rFonts w:ascii="Times New Roman" w:eastAsia="Times New Roman" w:hAnsi="Times New Roman" w:cs="Times New Roman"/>
                <w:b/>
                <w:bCs/>
                <w:sz w:val="24"/>
                <w:szCs w:val="24"/>
                <w:lang w:eastAsia="ru-RU"/>
              </w:rPr>
              <w:t>99,1</w:t>
            </w:r>
          </w:p>
        </w:tc>
        <w:tc>
          <w:tcPr>
            <w:tcW w:w="1371"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F5AA9">
              <w:rPr>
                <w:rFonts w:ascii="Times New Roman" w:eastAsia="Times New Roman" w:hAnsi="Times New Roman" w:cs="Times New Roman"/>
                <w:b/>
                <w:bCs/>
                <w:sz w:val="24"/>
                <w:szCs w:val="24"/>
                <w:lang w:eastAsia="ru-RU"/>
              </w:rPr>
              <w:t>-66598,7</w:t>
            </w:r>
          </w:p>
        </w:tc>
      </w:tr>
      <w:tr w:rsidR="00BF5AA9" w:rsidRPr="00BF5AA9" w:rsidTr="00CE0D71">
        <w:trPr>
          <w:trHeight w:val="1260"/>
        </w:trPr>
        <w:tc>
          <w:tcPr>
            <w:tcW w:w="3834" w:type="dxa"/>
            <w:shd w:val="clear" w:color="auto" w:fill="auto"/>
            <w:hideMark/>
          </w:tcPr>
          <w:p w:rsidR="00BF5AA9" w:rsidRPr="00BF5AA9" w:rsidRDefault="00BF5AA9" w:rsidP="00BF5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1481"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699594,7</w:t>
            </w:r>
          </w:p>
        </w:tc>
        <w:tc>
          <w:tcPr>
            <w:tcW w:w="1463"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686918,9</w:t>
            </w:r>
          </w:p>
        </w:tc>
        <w:tc>
          <w:tcPr>
            <w:tcW w:w="1422"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98,2</w:t>
            </w:r>
          </w:p>
        </w:tc>
        <w:tc>
          <w:tcPr>
            <w:tcW w:w="1371"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-12675,8</w:t>
            </w:r>
          </w:p>
        </w:tc>
      </w:tr>
      <w:tr w:rsidR="00BF5AA9" w:rsidRPr="00BF5AA9" w:rsidTr="00CE0D71">
        <w:trPr>
          <w:trHeight w:val="945"/>
        </w:trPr>
        <w:tc>
          <w:tcPr>
            <w:tcW w:w="3834" w:type="dxa"/>
            <w:shd w:val="clear" w:color="auto" w:fill="auto"/>
            <w:hideMark/>
          </w:tcPr>
          <w:p w:rsidR="00BF5AA9" w:rsidRPr="00BF5AA9" w:rsidRDefault="00BF5AA9" w:rsidP="00BF5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481"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1461879,8</w:t>
            </w:r>
          </w:p>
        </w:tc>
        <w:tc>
          <w:tcPr>
            <w:tcW w:w="1463"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1409838,7</w:t>
            </w:r>
          </w:p>
        </w:tc>
        <w:tc>
          <w:tcPr>
            <w:tcW w:w="1422"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96,4</w:t>
            </w:r>
          </w:p>
        </w:tc>
        <w:tc>
          <w:tcPr>
            <w:tcW w:w="1371"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-52041,1</w:t>
            </w:r>
          </w:p>
        </w:tc>
      </w:tr>
      <w:tr w:rsidR="00BF5AA9" w:rsidRPr="00BF5AA9" w:rsidTr="00CE0D71">
        <w:trPr>
          <w:trHeight w:val="543"/>
        </w:trPr>
        <w:tc>
          <w:tcPr>
            <w:tcW w:w="3834" w:type="dxa"/>
            <w:shd w:val="clear" w:color="auto" w:fill="auto"/>
            <w:hideMark/>
          </w:tcPr>
          <w:p w:rsidR="00BF5AA9" w:rsidRPr="00BF5AA9" w:rsidRDefault="00BF5AA9" w:rsidP="00BF5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Подпрограмма «Охрана здоровья матери и ребенка»</w:t>
            </w:r>
          </w:p>
        </w:tc>
        <w:tc>
          <w:tcPr>
            <w:tcW w:w="1481"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100932,9</w:t>
            </w:r>
          </w:p>
        </w:tc>
        <w:tc>
          <w:tcPr>
            <w:tcW w:w="1463"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100932,4</w:t>
            </w:r>
          </w:p>
        </w:tc>
        <w:tc>
          <w:tcPr>
            <w:tcW w:w="1422"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100,0</w:t>
            </w:r>
          </w:p>
        </w:tc>
        <w:tc>
          <w:tcPr>
            <w:tcW w:w="1371"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0</w:t>
            </w:r>
          </w:p>
        </w:tc>
      </w:tr>
      <w:tr w:rsidR="00BF5AA9" w:rsidRPr="00BF5AA9" w:rsidTr="00CE0D71">
        <w:trPr>
          <w:trHeight w:val="600"/>
        </w:trPr>
        <w:tc>
          <w:tcPr>
            <w:tcW w:w="3834" w:type="dxa"/>
            <w:shd w:val="clear" w:color="auto" w:fill="auto"/>
            <w:hideMark/>
          </w:tcPr>
          <w:p w:rsidR="00BF5AA9" w:rsidRPr="00BF5AA9" w:rsidRDefault="00BF5AA9" w:rsidP="00BF5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Подпрограмма «Развитие медицинской реабилитации и санаторно–курортного лечения, в том числе детей»</w:t>
            </w:r>
          </w:p>
        </w:tc>
        <w:tc>
          <w:tcPr>
            <w:tcW w:w="1481"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133062,1</w:t>
            </w:r>
          </w:p>
        </w:tc>
        <w:tc>
          <w:tcPr>
            <w:tcW w:w="1463"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133062,1</w:t>
            </w:r>
          </w:p>
        </w:tc>
        <w:tc>
          <w:tcPr>
            <w:tcW w:w="1422"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100,0</w:t>
            </w:r>
          </w:p>
        </w:tc>
        <w:tc>
          <w:tcPr>
            <w:tcW w:w="1371" w:type="dxa"/>
            <w:shd w:val="clear" w:color="auto" w:fill="auto"/>
            <w:noWrap/>
            <w:hideMark/>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0</w:t>
            </w:r>
          </w:p>
        </w:tc>
      </w:tr>
      <w:tr w:rsidR="00BF5AA9" w:rsidRPr="00BF5AA9" w:rsidTr="00CE0D71">
        <w:trPr>
          <w:trHeight w:val="851"/>
        </w:trPr>
        <w:tc>
          <w:tcPr>
            <w:tcW w:w="3834" w:type="dxa"/>
            <w:shd w:val="clear" w:color="auto" w:fill="auto"/>
          </w:tcPr>
          <w:p w:rsidR="00BF5AA9" w:rsidRPr="00BF5AA9" w:rsidRDefault="00BF5AA9" w:rsidP="00BF5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Подпрограмма «Кадровое обеспечение системы здравоохранения»</w:t>
            </w:r>
          </w:p>
        </w:tc>
        <w:tc>
          <w:tcPr>
            <w:tcW w:w="1481"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45000,0</w:t>
            </w:r>
          </w:p>
        </w:tc>
        <w:tc>
          <w:tcPr>
            <w:tcW w:w="1463"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45000,0</w:t>
            </w:r>
          </w:p>
        </w:tc>
        <w:tc>
          <w:tcPr>
            <w:tcW w:w="1422"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100,0</w:t>
            </w:r>
          </w:p>
        </w:tc>
        <w:tc>
          <w:tcPr>
            <w:tcW w:w="1371"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0</w:t>
            </w:r>
          </w:p>
        </w:tc>
      </w:tr>
      <w:tr w:rsidR="00BF5AA9" w:rsidRPr="00BF5AA9" w:rsidTr="00CE0D71">
        <w:trPr>
          <w:trHeight w:val="699"/>
        </w:trPr>
        <w:tc>
          <w:tcPr>
            <w:tcW w:w="3834" w:type="dxa"/>
            <w:shd w:val="clear" w:color="auto" w:fill="auto"/>
          </w:tcPr>
          <w:p w:rsidR="00BF5AA9" w:rsidRPr="00BF5AA9" w:rsidRDefault="00BF5AA9" w:rsidP="00BF5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Подпрограмма «Оказание паллиативной помощи, в том числе детям»</w:t>
            </w:r>
          </w:p>
        </w:tc>
        <w:tc>
          <w:tcPr>
            <w:tcW w:w="1481"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8048,3</w:t>
            </w:r>
          </w:p>
        </w:tc>
        <w:tc>
          <w:tcPr>
            <w:tcW w:w="1463"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8048,3</w:t>
            </w:r>
          </w:p>
        </w:tc>
        <w:tc>
          <w:tcPr>
            <w:tcW w:w="1422"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100,0</w:t>
            </w:r>
          </w:p>
        </w:tc>
        <w:tc>
          <w:tcPr>
            <w:tcW w:w="1371"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0</w:t>
            </w:r>
          </w:p>
        </w:tc>
      </w:tr>
      <w:tr w:rsidR="00BF5AA9" w:rsidRPr="00BF5AA9" w:rsidTr="00CE0D71">
        <w:trPr>
          <w:trHeight w:val="850"/>
        </w:trPr>
        <w:tc>
          <w:tcPr>
            <w:tcW w:w="3834" w:type="dxa"/>
            <w:shd w:val="clear" w:color="auto" w:fill="auto"/>
          </w:tcPr>
          <w:p w:rsidR="00BF5AA9" w:rsidRPr="00BF5AA9" w:rsidRDefault="00BF5AA9" w:rsidP="00BF5A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481"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5096274,4</w:t>
            </w:r>
          </w:p>
        </w:tc>
        <w:tc>
          <w:tcPr>
            <w:tcW w:w="1463"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5094393,2</w:t>
            </w:r>
          </w:p>
        </w:tc>
        <w:tc>
          <w:tcPr>
            <w:tcW w:w="1422"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100,0</w:t>
            </w:r>
          </w:p>
        </w:tc>
        <w:tc>
          <w:tcPr>
            <w:tcW w:w="1371"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0</w:t>
            </w:r>
          </w:p>
        </w:tc>
      </w:tr>
      <w:tr w:rsidR="00BF5AA9" w:rsidRPr="00BF5AA9" w:rsidTr="00CE0D71">
        <w:trPr>
          <w:trHeight w:val="551"/>
        </w:trPr>
        <w:tc>
          <w:tcPr>
            <w:tcW w:w="3834" w:type="dxa"/>
            <w:shd w:val="clear" w:color="auto" w:fill="auto"/>
          </w:tcPr>
          <w:p w:rsidR="00BF5AA9" w:rsidRPr="00BF5AA9" w:rsidRDefault="00BF5AA9" w:rsidP="00BF5A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Подпрограмма «Развитие информатизации в здравоохранении»</w:t>
            </w:r>
          </w:p>
        </w:tc>
        <w:tc>
          <w:tcPr>
            <w:tcW w:w="1481"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12602,6</w:t>
            </w:r>
          </w:p>
        </w:tc>
        <w:tc>
          <w:tcPr>
            <w:tcW w:w="1463"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12602,6</w:t>
            </w:r>
          </w:p>
        </w:tc>
        <w:tc>
          <w:tcPr>
            <w:tcW w:w="1422"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100,0</w:t>
            </w:r>
          </w:p>
        </w:tc>
        <w:tc>
          <w:tcPr>
            <w:tcW w:w="1371"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0</w:t>
            </w:r>
          </w:p>
        </w:tc>
      </w:tr>
      <w:tr w:rsidR="00BF5AA9" w:rsidRPr="00BF5AA9" w:rsidTr="001B7062">
        <w:trPr>
          <w:trHeight w:val="1124"/>
        </w:trPr>
        <w:tc>
          <w:tcPr>
            <w:tcW w:w="3834" w:type="dxa"/>
            <w:shd w:val="clear" w:color="auto" w:fill="auto"/>
          </w:tcPr>
          <w:p w:rsidR="00BF5AA9" w:rsidRPr="00BF5AA9" w:rsidRDefault="00BF5AA9" w:rsidP="00BF5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Подпрограмма «Противодействие злоупотреблению наркотическими средствами и их незаконному обороту»</w:t>
            </w:r>
          </w:p>
        </w:tc>
        <w:tc>
          <w:tcPr>
            <w:tcW w:w="1481"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791,8</w:t>
            </w:r>
          </w:p>
        </w:tc>
        <w:tc>
          <w:tcPr>
            <w:tcW w:w="1463"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791,8</w:t>
            </w:r>
          </w:p>
        </w:tc>
        <w:tc>
          <w:tcPr>
            <w:tcW w:w="1422"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100,0</w:t>
            </w:r>
          </w:p>
        </w:tc>
        <w:tc>
          <w:tcPr>
            <w:tcW w:w="1371" w:type="dxa"/>
            <w:shd w:val="clear" w:color="auto" w:fill="auto"/>
            <w:noWrap/>
          </w:tcPr>
          <w:p w:rsidR="00BF5AA9" w:rsidRPr="00BF5AA9" w:rsidRDefault="00BF5AA9" w:rsidP="00BF5A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0</w:t>
            </w:r>
          </w:p>
        </w:tc>
      </w:tr>
    </w:tbl>
    <w:p w:rsidR="00BD5D4A" w:rsidRDefault="00BD5D4A" w:rsidP="00BD5D4A">
      <w:pPr>
        <w:widowControl w:val="0"/>
        <w:autoSpaceDE w:val="0"/>
        <w:autoSpaceDN w:val="0"/>
        <w:adjustRightInd w:val="0"/>
        <w:spacing w:after="0" w:line="240" w:lineRule="auto"/>
        <w:ind w:left="709"/>
        <w:contextualSpacing/>
        <w:rPr>
          <w:rFonts w:ascii="Times New Roman" w:eastAsia="Times New Roman" w:hAnsi="Times New Roman" w:cs="Times New Roman"/>
          <w:i/>
          <w:sz w:val="24"/>
          <w:szCs w:val="24"/>
          <w:lang w:eastAsia="ru-RU"/>
        </w:rPr>
      </w:pPr>
    </w:p>
    <w:p w:rsidR="00BF5AA9" w:rsidRPr="00BF5AA9" w:rsidRDefault="00BF5AA9" w:rsidP="00F60552">
      <w:pPr>
        <w:widowControl w:val="0"/>
        <w:numPr>
          <w:ilvl w:val="0"/>
          <w:numId w:val="7"/>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BF5AA9">
        <w:rPr>
          <w:rFonts w:ascii="Times New Roman" w:eastAsia="Times New Roman" w:hAnsi="Times New Roman" w:cs="Times New Roman"/>
          <w:i/>
          <w:sz w:val="24"/>
          <w:szCs w:val="24"/>
          <w:lang w:eastAsia="ru-RU"/>
        </w:rPr>
        <w:t>Подпрограмма «Профилактика заболеваний и формирование здорового образа жизни. Развитие первичной медико-санитарной помощи»</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Times New Roman" w:hAnsi="Times New Roman" w:cs="Times New Roman"/>
          <w:sz w:val="24"/>
          <w:szCs w:val="24"/>
          <w:lang w:eastAsia="ru-RU"/>
        </w:rPr>
        <w:t>Сводной бюджетной росписью н</w:t>
      </w:r>
      <w:r w:rsidRPr="00BF5AA9">
        <w:rPr>
          <w:rFonts w:ascii="Times New Roman" w:eastAsia="Calibri" w:hAnsi="Times New Roman" w:cs="Times New Roman"/>
          <w:sz w:val="24"/>
          <w:szCs w:val="24"/>
        </w:rPr>
        <w:t>а реализацию подпрограммы в 2015 году по целевой статье расходов 0610000 утверждены ассигнования в сумме 699594,7 тыс. рублей, в том числе за счет средств федерального бюджета – 435098,3 тыс. рублей, областного бюджета – 264496,4 тыс. рублей. В общем объеме расходов государственной программы доля расходов по данной подпрограмме составляет 9,2 процента.</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98,2 процента.</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 xml:space="preserve">Стопроцентное исполнение сложилось по </w:t>
      </w:r>
      <w:r w:rsidR="00E65FE4">
        <w:rPr>
          <w:rFonts w:ascii="Times New Roman" w:eastAsia="Calibri" w:hAnsi="Times New Roman" w:cs="Times New Roman"/>
          <w:sz w:val="24"/>
          <w:szCs w:val="24"/>
        </w:rPr>
        <w:t xml:space="preserve">следующим </w:t>
      </w:r>
      <w:r w:rsidRPr="00BF5AA9">
        <w:rPr>
          <w:rFonts w:ascii="Times New Roman" w:eastAsia="Calibri" w:hAnsi="Times New Roman" w:cs="Times New Roman"/>
          <w:sz w:val="24"/>
          <w:szCs w:val="24"/>
        </w:rPr>
        <w:t>расходам:</w:t>
      </w:r>
    </w:p>
    <w:p w:rsidR="00BF5AA9" w:rsidRPr="00BF5AA9" w:rsidRDefault="00BF5AA9" w:rsidP="0014690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обеспечение деятельности (оказание услуг) государственных учреждений -</w:t>
      </w:r>
      <w:r w:rsidR="00E65FE4">
        <w:rPr>
          <w:rFonts w:ascii="Times New Roman" w:eastAsia="Times New Roman" w:hAnsi="Times New Roman" w:cs="Times New Roman"/>
          <w:sz w:val="24"/>
          <w:szCs w:val="24"/>
          <w:lang w:eastAsia="ru-RU"/>
        </w:rPr>
        <w:br/>
      </w:r>
      <w:r w:rsidRPr="00BF5AA9">
        <w:rPr>
          <w:rFonts w:ascii="Times New Roman" w:eastAsia="Times New Roman" w:hAnsi="Times New Roman" w:cs="Times New Roman"/>
          <w:sz w:val="24"/>
          <w:szCs w:val="24"/>
          <w:lang w:eastAsia="ru-RU"/>
        </w:rPr>
        <w:t>180972,6 тыс. рублей;</w:t>
      </w:r>
    </w:p>
    <w:p w:rsidR="00BF5AA9" w:rsidRPr="00BF5AA9" w:rsidRDefault="00BF5AA9" w:rsidP="0014690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профилактику инфекционных заболеваний, включая иммунопрофилактику – 33985,9 тыс. рублей;</w:t>
      </w:r>
    </w:p>
    <w:p w:rsidR="00BF5AA9" w:rsidRPr="00BF5AA9" w:rsidRDefault="00BF5AA9" w:rsidP="0014690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 xml:space="preserve">на осуществление организационных мероприятий по обеспечению лиц лекарственными препаратами, предназначенными для лечения больных злокачественными </w:t>
      </w:r>
      <w:r w:rsidRPr="00BF5AA9">
        <w:rPr>
          <w:rFonts w:ascii="Times New Roman" w:eastAsia="Times New Roman" w:hAnsi="Times New Roman" w:cs="Times New Roman"/>
          <w:sz w:val="24"/>
          <w:szCs w:val="24"/>
          <w:lang w:eastAsia="ru-RU"/>
        </w:rPr>
        <w:lastRenderedPageBreak/>
        <w:t>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 819,4 тыс. рублей;</w:t>
      </w:r>
    </w:p>
    <w:p w:rsidR="00BF5AA9" w:rsidRPr="00BF5AA9" w:rsidRDefault="00BF5AA9" w:rsidP="0014690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 5703,6 тыс. рублей;</w:t>
      </w:r>
    </w:p>
    <w:p w:rsidR="00BF5AA9" w:rsidRPr="00BF5AA9" w:rsidRDefault="00BF5AA9" w:rsidP="0014690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реализацию отдельных мероприятий государственной программы Российской Федерации «Развитие здравоохранения» - 2950,6 тыс. рублей;</w:t>
      </w:r>
    </w:p>
    <w:p w:rsidR="00BF5AA9" w:rsidRPr="00BF5AA9" w:rsidRDefault="00BF5AA9" w:rsidP="0014690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 в амбулаторных условиях – 46660,6 тыс. рублей.</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Низкий уровень исполнения (49,2 процента) наблюдается по мероприятию, предусматривающему софинансирование из федерального бюджета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BF5AA9" w:rsidRPr="00BF5AA9" w:rsidRDefault="00BF5AA9" w:rsidP="00BF5AA9">
      <w:pPr>
        <w:autoSpaceDE w:val="0"/>
        <w:autoSpaceDN w:val="0"/>
        <w:adjustRightInd w:val="0"/>
        <w:spacing w:after="0" w:line="240" w:lineRule="auto"/>
        <w:ind w:firstLine="708"/>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Ассигнования за счет средств области на финансирование мероприятия «Капитальные вложения в объекты государственной собственности» (реконструкция здания учебного корпуса (литер А11А12А13) с перепрофилированием под детскую поликлинику, расположенную по адресу г.Благовещенск, ул.Ленина 1) в размере 750,0 тыс. рублей не исполнены.</w:t>
      </w:r>
    </w:p>
    <w:p w:rsidR="00BF5AA9" w:rsidRPr="00BF5AA9" w:rsidRDefault="00BF5AA9"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BF5AA9">
        <w:rPr>
          <w:rFonts w:ascii="Times New Roman" w:eastAsia="Times New Roman" w:hAnsi="Times New Roman" w:cs="Times New Roman"/>
          <w:i/>
          <w:sz w:val="24"/>
          <w:szCs w:val="24"/>
          <w:lang w:eastAsia="ru-RU"/>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Times New Roman" w:hAnsi="Times New Roman" w:cs="Times New Roman"/>
          <w:sz w:val="24"/>
          <w:szCs w:val="24"/>
          <w:lang w:eastAsia="ru-RU"/>
        </w:rPr>
        <w:t>Сводной бюджетной росписью н</w:t>
      </w:r>
      <w:r w:rsidRPr="00BF5AA9">
        <w:rPr>
          <w:rFonts w:ascii="Times New Roman" w:eastAsia="Calibri" w:hAnsi="Times New Roman" w:cs="Times New Roman"/>
          <w:sz w:val="24"/>
          <w:szCs w:val="24"/>
        </w:rPr>
        <w:t>а реализацию подпрограммы в 2015 году по целевой статье расходов 0620000 утверждены ассигнования в сумме 1461879,8 тыс. рублей, в том числе за счет средств федерального бюджета –95206,2 тыс. рублей, областного бюджета –1366673,6 тыс. рублей. В общем объеме расходов государственной программы доля расходов по данной подпрограмме составляет 18,8 процента.</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96,4 процента.</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Ассигнования, предусмотренные на обеспечение деятельности (оказание услуг) государственных учреждений, исполнены на 98,7 процента.</w:t>
      </w:r>
    </w:p>
    <w:p w:rsidR="00BF5AA9" w:rsidRPr="00BF5AA9" w:rsidRDefault="00BF5AA9" w:rsidP="00BF5AA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Расходы по капитальным вложениям в объекты государственной собственности, софинансируемые из федерального бюджета, исполнены на 91,4 процента.</w:t>
      </w:r>
    </w:p>
    <w:p w:rsidR="00BF5AA9" w:rsidRPr="00BF5AA9" w:rsidRDefault="00BF5AA9" w:rsidP="00BF5A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В полном объеме исполнены ассигнования на следующие мероприятия:</w:t>
      </w:r>
    </w:p>
    <w:p w:rsidR="00BF5AA9" w:rsidRPr="00BF5AA9" w:rsidRDefault="00BF5AA9" w:rsidP="0014690C">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мероприятия по развитию службы крови – 199,4 тыс. рублей;</w:t>
      </w:r>
    </w:p>
    <w:p w:rsidR="00BF5AA9" w:rsidRPr="00BF5AA9" w:rsidRDefault="00BF5AA9" w:rsidP="0014690C">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совершенствование системы оказания медицинской помощи больным туберкулезом – 8359,6 тыс. рублей;</w:t>
      </w:r>
    </w:p>
    <w:p w:rsidR="00BF5AA9" w:rsidRPr="00BF5AA9" w:rsidRDefault="00BF5AA9" w:rsidP="0014690C">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совершенствование системы оказания медицинской помощи больным сахарным диабетом – 49792,4 тыс. рублей;</w:t>
      </w:r>
    </w:p>
    <w:p w:rsidR="00BF5AA9" w:rsidRPr="00BF5AA9" w:rsidRDefault="00BF5AA9" w:rsidP="0014690C">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совершенствование оказания медицинской помощи пострадавшим при дорожно-транспортных происшествиях – 23106,5 тыс. рублей;</w:t>
      </w:r>
    </w:p>
    <w:p w:rsidR="00BF5AA9" w:rsidRPr="00BF5AA9" w:rsidRDefault="00BF5AA9" w:rsidP="0014690C">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 16582,8 тыс. рублей;</w:t>
      </w:r>
    </w:p>
    <w:p w:rsidR="00BF5AA9" w:rsidRPr="00BF5AA9" w:rsidRDefault="00BF5AA9" w:rsidP="0014690C">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 xml:space="preserve">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w:t>
      </w:r>
      <w:r w:rsidRPr="00BF5AA9">
        <w:rPr>
          <w:rFonts w:ascii="Times New Roman" w:eastAsia="Times New Roman" w:hAnsi="Times New Roman" w:cs="Times New Roman"/>
          <w:sz w:val="24"/>
          <w:szCs w:val="24"/>
          <w:lang w:eastAsia="ru-RU"/>
        </w:rPr>
        <w:lastRenderedPageBreak/>
        <w:t>– 39696,2 тыс. рублей;</w:t>
      </w:r>
    </w:p>
    <w:p w:rsidR="00BF5AA9" w:rsidRPr="00BF5AA9" w:rsidRDefault="00BF5AA9" w:rsidP="0014690C">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 4490,3 тыс. рублей;</w:t>
      </w:r>
    </w:p>
    <w:p w:rsidR="00BF5AA9" w:rsidRPr="00BF5AA9" w:rsidRDefault="00BF5AA9" w:rsidP="0014690C">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обеспечение мер социальной поддержки донорам – 12464,6 тыс. рублей.</w:t>
      </w:r>
    </w:p>
    <w:p w:rsidR="00BF5AA9" w:rsidRPr="00BF5AA9" w:rsidRDefault="00BF5AA9" w:rsidP="00BF5A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Низкий уровень исполнения (30,7 процента) ассигнований областного бюджета сложился по мероприятию «Финансовое обеспечение мероприятий по экономическому и социальному развитию Дальнего Востока и Забайкалья на период до 2013 года».</w:t>
      </w:r>
    </w:p>
    <w:p w:rsidR="00BF5AA9" w:rsidRPr="00BF5AA9" w:rsidRDefault="00BF5AA9" w:rsidP="00F60552">
      <w:pPr>
        <w:widowControl w:val="0"/>
        <w:numPr>
          <w:ilvl w:val="0"/>
          <w:numId w:val="7"/>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BF5AA9">
        <w:rPr>
          <w:rFonts w:ascii="Times New Roman" w:eastAsia="Times New Roman" w:hAnsi="Times New Roman" w:cs="Times New Roman"/>
          <w:i/>
          <w:sz w:val="24"/>
          <w:szCs w:val="24"/>
          <w:lang w:eastAsia="ru-RU"/>
        </w:rPr>
        <w:t>Подпрограмма «Охрана здоровья матери и ребенка»</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Times New Roman" w:hAnsi="Times New Roman" w:cs="Times New Roman"/>
          <w:sz w:val="24"/>
          <w:szCs w:val="24"/>
          <w:lang w:eastAsia="ru-RU"/>
        </w:rPr>
        <w:t>Сводной бюджетной росписью н</w:t>
      </w:r>
      <w:r w:rsidRPr="00BF5AA9">
        <w:rPr>
          <w:rFonts w:ascii="Times New Roman" w:eastAsia="Calibri" w:hAnsi="Times New Roman" w:cs="Times New Roman"/>
          <w:sz w:val="24"/>
          <w:szCs w:val="24"/>
        </w:rPr>
        <w:t xml:space="preserve">а реализацию подпрограммы в 2014 году утверждены ассигнования в сумме 100932,9 тыс. рублей, в том числе за счет средств федерального бюджета –114,4тыс. рублей, областного бюджета –100818,5 тыс. рублей. В общем объеме расходов государственной программы доля расходов по данной подпрограмме составляет </w:t>
      </w:r>
      <w:r w:rsidRPr="00BF5AA9">
        <w:rPr>
          <w:rFonts w:ascii="Times New Roman" w:eastAsia="Calibri" w:hAnsi="Times New Roman" w:cs="Times New Roman"/>
          <w:sz w:val="24"/>
          <w:szCs w:val="24"/>
        </w:rPr>
        <w:br/>
        <w:t>1,3 процента.</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в целом 100,0 процентов.</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Ассигнования, предусмотренные на обеспечение деятельности (оказание услуг) государственных учреждений, исполнены на 99,8 процента.</w:t>
      </w:r>
    </w:p>
    <w:p w:rsidR="00BF5AA9" w:rsidRPr="00BF5AA9" w:rsidRDefault="00BF5AA9" w:rsidP="00BF5A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Исполнение ассигнований по мероприятию «Финансовое обеспечение мероприятий, направленных на проведение пренатальной (дородовой) диагностики нарушений развития ребенка» составило 96,1 процента.</w:t>
      </w:r>
    </w:p>
    <w:p w:rsidR="00BF5AA9" w:rsidRPr="00BF5AA9" w:rsidRDefault="00BF5AA9"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BF5AA9">
        <w:rPr>
          <w:rFonts w:ascii="Times New Roman" w:eastAsia="Times New Roman" w:hAnsi="Times New Roman" w:cs="Times New Roman"/>
          <w:i/>
          <w:sz w:val="24"/>
          <w:szCs w:val="24"/>
          <w:lang w:eastAsia="ru-RU"/>
        </w:rPr>
        <w:t>Подпрограмма «Развитие медицинской реабилитации и санаторно–курортного лечения, в том числе детей»</w:t>
      </w:r>
    </w:p>
    <w:p w:rsidR="00BF5AA9" w:rsidRPr="00BF5AA9" w:rsidRDefault="00BF5AA9" w:rsidP="00BF5AA9">
      <w:pPr>
        <w:autoSpaceDE w:val="0"/>
        <w:autoSpaceDN w:val="0"/>
        <w:adjustRightInd w:val="0"/>
        <w:spacing w:after="0" w:line="240" w:lineRule="auto"/>
        <w:ind w:firstLine="708"/>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Ассигнования областного бюджета по подпрограмме утверждены в расходах областного бюджета по целевой статье расходов 0640000 в сумме 133062,1 тыс. рублей.</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В общем объеме расходов государственной программы доля расходов по данной подпрограмме составляет 1,8 процента.</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100,0 процентов.</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Ассигнования, предусмотренные на обеспечение деятельности (оказание услуг) государственных учреждений исполнены на 100,0 процентов.</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Исполнение расходов по мероприятию подпрограммы «Развитие медицинской реабилитации, в том числе детей» составило 98,7 процента.</w:t>
      </w:r>
    </w:p>
    <w:p w:rsidR="00BF5AA9" w:rsidRPr="00BF5AA9" w:rsidRDefault="00BF5AA9" w:rsidP="00F60552">
      <w:pPr>
        <w:widowControl w:val="0"/>
        <w:numPr>
          <w:ilvl w:val="0"/>
          <w:numId w:val="7"/>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BF5AA9">
        <w:rPr>
          <w:rFonts w:ascii="Times New Roman" w:eastAsia="Times New Roman" w:hAnsi="Times New Roman" w:cs="Times New Roman"/>
          <w:i/>
          <w:sz w:val="24"/>
          <w:szCs w:val="24"/>
          <w:lang w:eastAsia="ru-RU"/>
        </w:rPr>
        <w:t>Подпрограмма «Кадровое обеспечение системы здравоохранения»</w:t>
      </w:r>
    </w:p>
    <w:p w:rsidR="00BF5AA9" w:rsidRPr="00BF5AA9" w:rsidRDefault="00BF5AA9" w:rsidP="00BF5A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Бюджетные ассигнования по подпрограмме утверждены в расходах областного бюджета по целевой статье расходов 0650000 в сумме 45000,0 тыс. рублей, в том числе за счет средств Территориального фонда обязательного медицинского страхования Амурской области – 22500,0 тыс. рублей, за счет средств областного бюджета – 22500,0 тыс. рублей.</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В общем объеме расходов государственной программы доля расходов по данной подпрограмме составляет 0,6 процента.</w:t>
      </w:r>
    </w:p>
    <w:p w:rsidR="00BF5AA9" w:rsidRPr="00BF5AA9" w:rsidRDefault="00BF5AA9" w:rsidP="00BF5A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Исполнение расходов, предусмотренных на реализацию мероприятий подпрограммы, составило 100,0 процентов.</w:t>
      </w:r>
    </w:p>
    <w:p w:rsidR="00BF5AA9" w:rsidRPr="00BF5AA9" w:rsidRDefault="00BF5AA9" w:rsidP="00BF5A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В рамках подпрограммы на условиях софинансирования из Территориального фонда обязательного медицинского страхования Амурской области осуществлялись единовременные компенсационные выплаты медицинским работникам в возрасте до 35 лет, прибывшим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из расчета 1 миллион рублей на одного медицинского работника.</w:t>
      </w:r>
    </w:p>
    <w:p w:rsidR="00BF5AA9" w:rsidRPr="00BF5AA9" w:rsidRDefault="00BF5AA9" w:rsidP="00F60552">
      <w:pPr>
        <w:widowControl w:val="0"/>
        <w:numPr>
          <w:ilvl w:val="0"/>
          <w:numId w:val="7"/>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BF5AA9">
        <w:rPr>
          <w:rFonts w:ascii="Times New Roman" w:eastAsia="Times New Roman" w:hAnsi="Times New Roman" w:cs="Times New Roman"/>
          <w:i/>
          <w:sz w:val="24"/>
          <w:szCs w:val="24"/>
          <w:lang w:eastAsia="ru-RU"/>
        </w:rPr>
        <w:t>Подпрограмма «Оказание паллиативной помощи, в том числе детям»</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 xml:space="preserve">Ассигнования областного бюджета по подпрограмме утверждены в расходах областного бюджета по целевой статье расходов 0660000 в сумме 8048,3 тыс. рублей. В </w:t>
      </w:r>
      <w:r w:rsidRPr="00BF5AA9">
        <w:rPr>
          <w:rFonts w:ascii="Times New Roman" w:eastAsia="Calibri" w:hAnsi="Times New Roman" w:cs="Times New Roman"/>
          <w:sz w:val="24"/>
          <w:szCs w:val="24"/>
        </w:rPr>
        <w:lastRenderedPageBreak/>
        <w:t>общем объеме расходов государственной программы доля расходов по подпрограмме составляет 0,1 процента.</w:t>
      </w:r>
    </w:p>
    <w:p w:rsidR="00BF5AA9" w:rsidRPr="00BF5AA9" w:rsidRDefault="00BF5AA9" w:rsidP="00BF5A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Исполнение расходов, предусмотренных на реализацию мероприятий подпрограммы, составило 100,0 процентов. В рамках подпрограммы осуществлялось финансирование расходов на обеспечение деятельности (оказание услуг) государственных учреждений.</w:t>
      </w:r>
    </w:p>
    <w:p w:rsidR="00BF5AA9" w:rsidRPr="00BF5AA9" w:rsidRDefault="00BF5AA9"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BF5AA9">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Times New Roman" w:hAnsi="Times New Roman" w:cs="Times New Roman"/>
          <w:sz w:val="24"/>
          <w:szCs w:val="24"/>
          <w:lang w:eastAsia="ru-RU"/>
        </w:rPr>
        <w:t>Сводной бюджетной росписью н</w:t>
      </w:r>
      <w:r w:rsidRPr="00BF5AA9">
        <w:rPr>
          <w:rFonts w:ascii="Times New Roman" w:eastAsia="Calibri" w:hAnsi="Times New Roman" w:cs="Times New Roman"/>
          <w:sz w:val="24"/>
          <w:szCs w:val="24"/>
        </w:rPr>
        <w:t>а реализацию подпрограммы в 2014 году по целевой статье расходов 0670000 утверждены ассигнования в сумме 5096274,4 тыс. рублей, в том числе за счет средств федерального бюджета – 2509,1 тыс. рублей, областного бюджета – 5093765,3 тыс. рублей. В общем объеме расходов государственной программы доля расходов по данной подпрограмме составляет 68,0 процентов.</w:t>
      </w:r>
    </w:p>
    <w:p w:rsidR="00BF5AA9" w:rsidRPr="00BF5AA9" w:rsidRDefault="00BF5AA9" w:rsidP="00BF5AA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Исполнение расходов, предусмотренных на реализацию мероприятий подпрограммы, составило 100,0 процентов.</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Ассигнования областного бюджета, предусмотренные на обеспечение функций министерства здравоохранения Амурской области, исполнены на 99,8 процента.</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Исполнение ассигнований на обеспечение деятельности (оказание услуг) государственных учреждений составило 99,8 процента.</w:t>
      </w:r>
    </w:p>
    <w:p w:rsidR="00BF5AA9" w:rsidRPr="00BF5AA9" w:rsidRDefault="00BF5AA9" w:rsidP="00BF5AA9">
      <w:pPr>
        <w:autoSpaceDE w:val="0"/>
        <w:autoSpaceDN w:val="0"/>
        <w:adjustRightInd w:val="0"/>
        <w:spacing w:after="0" w:line="240" w:lineRule="auto"/>
        <w:ind w:firstLine="708"/>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Низкий уровень исполнения расходов областного бюджета (91,3 процента) сложился по мероприятию «Организация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p w:rsidR="00BF5AA9" w:rsidRPr="00BF5AA9" w:rsidRDefault="00BF5AA9" w:rsidP="00BF5AA9">
      <w:pPr>
        <w:autoSpaceDE w:val="0"/>
        <w:autoSpaceDN w:val="0"/>
        <w:adjustRightInd w:val="0"/>
        <w:spacing w:after="0" w:line="240" w:lineRule="auto"/>
        <w:ind w:firstLine="708"/>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Исполнение ассигнований мероприятия «Отдельные полномочия в области здравоохранения» составило 100,0 процентов. В рамках мероприятия осуществлялась централизованная оплата лекарственных средств и расходных материалов, приобретаемых для оказания высокотехнологичной (дорогостоящей) медицинской помощи, предоставляемой жителям области за счет средств областного бюджета и централизованная оплата договоров о направлении жителей Амурской области в государственные медицинские учреждения, находящиеся на территории Российской Федерации, для оказания медицинской услуги по трансплантации почки.</w:t>
      </w:r>
    </w:p>
    <w:p w:rsidR="00BF5AA9" w:rsidRPr="00BF5AA9" w:rsidRDefault="00BF5AA9" w:rsidP="00BF5AA9">
      <w:pPr>
        <w:autoSpaceDE w:val="0"/>
        <w:autoSpaceDN w:val="0"/>
        <w:adjustRightInd w:val="0"/>
        <w:spacing w:after="0" w:line="240" w:lineRule="auto"/>
        <w:ind w:firstLine="540"/>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 xml:space="preserve">Расходы по мероприятию подпрограммы «Осуществление переданных органам государственной власти субъектов Российской Федерации в соответствии с </w:t>
      </w:r>
      <w:hyperlink r:id="rId46" w:history="1">
        <w:r w:rsidRPr="00BF5AA9">
          <w:rPr>
            <w:rFonts w:ascii="Times New Roman" w:eastAsia="Calibri" w:hAnsi="Times New Roman" w:cs="Times New Roman"/>
            <w:sz w:val="24"/>
            <w:szCs w:val="24"/>
          </w:rPr>
          <w:t>частью 1 статьи 15</w:t>
        </w:r>
      </w:hyperlink>
      <w:r w:rsidRPr="00BF5AA9">
        <w:rPr>
          <w:rFonts w:ascii="Times New Roman" w:eastAsia="Calibri" w:hAnsi="Times New Roman" w:cs="Times New Roman"/>
          <w:sz w:val="24"/>
          <w:szCs w:val="24"/>
        </w:rPr>
        <w:t xml:space="preserve"> Федерального закона «Об основах охраны здоровья граждан в Российской Федерации» полномочий Российской Федерации в сфере охраны здоровья», источником финансирования которого являлись средства, поступившие из федерального бюджета, исполнены на </w:t>
      </w:r>
      <w:r w:rsidRPr="00BF5AA9">
        <w:rPr>
          <w:rFonts w:ascii="Times New Roman" w:eastAsia="Calibri" w:hAnsi="Times New Roman" w:cs="Times New Roman"/>
          <w:sz w:val="24"/>
          <w:szCs w:val="24"/>
        </w:rPr>
        <w:br/>
        <w:t xml:space="preserve">99,2 процента. В рамках мероприятия осуществлялось лицензирование медицинской деятельности (за исключением деятельности по оказанию высокотехнологичной медицинской помощи); фармацевтической деятельности в части, касающейся деятельности, осуществляемой в сфере обращения лекарственных средств для медицинского применения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и государственным академиям наук); деятельность по обороту наркотических средств, психотропных веществ и их прекурсоров, культивированию наркосодержащих растений в части, касающейся деятельности по обороту наркотических средств и психотропных веществ, внесенных в </w:t>
      </w:r>
      <w:hyperlink r:id="rId47" w:history="1">
        <w:r w:rsidRPr="00BF5AA9">
          <w:rPr>
            <w:rFonts w:ascii="Times New Roman" w:eastAsia="Calibri" w:hAnsi="Times New Roman" w:cs="Times New Roman"/>
            <w:sz w:val="24"/>
            <w:szCs w:val="24"/>
          </w:rPr>
          <w:t>списки I</w:t>
        </w:r>
      </w:hyperlink>
      <w:r w:rsidRPr="00BF5AA9">
        <w:rPr>
          <w:rFonts w:ascii="Times New Roman" w:eastAsia="Calibri" w:hAnsi="Times New Roman" w:cs="Times New Roman"/>
          <w:sz w:val="24"/>
          <w:szCs w:val="24"/>
        </w:rPr>
        <w:t xml:space="preserve">, </w:t>
      </w:r>
      <w:hyperlink r:id="rId48" w:history="1">
        <w:r w:rsidRPr="00BF5AA9">
          <w:rPr>
            <w:rFonts w:ascii="Times New Roman" w:eastAsia="Calibri" w:hAnsi="Times New Roman" w:cs="Times New Roman"/>
            <w:sz w:val="24"/>
            <w:szCs w:val="24"/>
          </w:rPr>
          <w:t>II</w:t>
        </w:r>
      </w:hyperlink>
      <w:r w:rsidRPr="00BF5AA9">
        <w:rPr>
          <w:rFonts w:ascii="Times New Roman" w:eastAsia="Calibri" w:hAnsi="Times New Roman" w:cs="Times New Roman"/>
          <w:sz w:val="24"/>
          <w:szCs w:val="24"/>
        </w:rPr>
        <w:t xml:space="preserve"> и </w:t>
      </w:r>
      <w:hyperlink r:id="rId49" w:history="1">
        <w:r w:rsidRPr="00BF5AA9">
          <w:rPr>
            <w:rFonts w:ascii="Times New Roman" w:eastAsia="Calibri" w:hAnsi="Times New Roman" w:cs="Times New Roman"/>
            <w:sz w:val="24"/>
            <w:szCs w:val="24"/>
          </w:rPr>
          <w:t>III</w:t>
        </w:r>
      </w:hyperlink>
      <w:r w:rsidRPr="00BF5AA9">
        <w:rPr>
          <w:rFonts w:ascii="Times New Roman" w:eastAsia="Calibri" w:hAnsi="Times New Roman" w:cs="Times New Roman"/>
          <w:sz w:val="24"/>
          <w:szCs w:val="24"/>
        </w:rP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 681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и государственным академиям наук).</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lastRenderedPageBreak/>
        <w:t>В полном объеме исполнены ассигнования на капитальные вложения в объекты государственной собственности и ассигнования, предусмотренные в виде межбюджетных трансфертов на страховые взносы на обязательное медицинское страхование неработающего населения.</w:t>
      </w:r>
    </w:p>
    <w:p w:rsidR="00BF5AA9" w:rsidRPr="00BF5AA9" w:rsidRDefault="00BF5AA9" w:rsidP="00F60552">
      <w:pPr>
        <w:widowControl w:val="0"/>
        <w:numPr>
          <w:ilvl w:val="0"/>
          <w:numId w:val="7"/>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BF5AA9">
        <w:rPr>
          <w:rFonts w:ascii="Times New Roman" w:eastAsia="Times New Roman" w:hAnsi="Times New Roman" w:cs="Times New Roman"/>
          <w:i/>
          <w:sz w:val="24"/>
          <w:szCs w:val="24"/>
          <w:lang w:eastAsia="ru-RU"/>
        </w:rPr>
        <w:t>Подпрограмма «Развитие информатизации в здравоохранении»</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Ассигнования областного бюджета по подпрограмме утверждены в расходах областного бюджета по целевой статье расходов 0680000 в сумме 12602,6 тыс. рублей. В общем объеме расходов государственной программы доля расходов по данной подпрограмме составляет 0,2 процента.</w:t>
      </w:r>
    </w:p>
    <w:p w:rsidR="00BF5AA9" w:rsidRPr="00BF5AA9" w:rsidRDefault="00BF5AA9" w:rsidP="00BF5AA9">
      <w:pPr>
        <w:autoSpaceDE w:val="0"/>
        <w:autoSpaceDN w:val="0"/>
        <w:adjustRightInd w:val="0"/>
        <w:spacing w:after="0" w:line="240" w:lineRule="auto"/>
        <w:ind w:firstLine="708"/>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Исполнение расходов, предусмотренных на реализацию мероприятий подпрограммы, составило 100,0 процентов. В рамках подпрограммы осуществлялось финансирование расходов на обеспечение деятельности (оказание услуг) государственных учреждений.</w:t>
      </w:r>
    </w:p>
    <w:p w:rsidR="00BF5AA9" w:rsidRPr="00BF5AA9" w:rsidRDefault="00BF5AA9"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BF5AA9">
        <w:rPr>
          <w:rFonts w:ascii="Times New Roman" w:eastAsia="Times New Roman" w:hAnsi="Times New Roman" w:cs="Times New Roman"/>
          <w:i/>
          <w:sz w:val="24"/>
          <w:szCs w:val="24"/>
          <w:lang w:eastAsia="ru-RU"/>
        </w:rPr>
        <w:t>Подпрограмма «Противодействие злоупотреблению наркотическими средствами и их незаконному обороту»</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Ассигнования областного бюджета по подпрограмме утверждены в расходах областного бюджета по целевой статье расходов 0690000 в сумме 791,8 тыс. рублей. В общем объеме расходов государственной программы доля расходов по данной подпрограмме составляет 0,03 процента.</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r w:rsidRPr="00BF5AA9">
        <w:rPr>
          <w:rFonts w:ascii="Times New Roman" w:eastAsia="Calibri" w:hAnsi="Times New Roman" w:cs="Times New Roman"/>
          <w:sz w:val="24"/>
          <w:szCs w:val="24"/>
        </w:rPr>
        <w:t>Исполнение расходов, предусмотренных на реализацию мероприятий подпрограммы, составило 100,0 процентов.</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AA9">
        <w:rPr>
          <w:rFonts w:ascii="Times New Roman" w:eastAsia="Times New Roman" w:hAnsi="Times New Roman" w:cs="Times New Roman"/>
          <w:sz w:val="24"/>
          <w:szCs w:val="24"/>
          <w:lang w:eastAsia="ru-RU"/>
        </w:rPr>
        <w:t>Основные направления расходов по государственной программе представлены на рисунке</w:t>
      </w:r>
      <w:r w:rsidRPr="00BF5AA9">
        <w:rPr>
          <w:rFonts w:ascii="Times New Roman" w:eastAsia="Times New Roman" w:hAnsi="Times New Roman" w:cs="Times New Roman"/>
          <w:color w:val="0070C0"/>
          <w:sz w:val="24"/>
          <w:szCs w:val="24"/>
          <w:lang w:eastAsia="ru-RU"/>
        </w:rPr>
        <w:t xml:space="preserve"> </w:t>
      </w:r>
      <w:r w:rsidRPr="00BD5D4A">
        <w:rPr>
          <w:rFonts w:ascii="Times New Roman" w:eastAsia="Times New Roman" w:hAnsi="Times New Roman" w:cs="Times New Roman"/>
          <w:sz w:val="24"/>
          <w:szCs w:val="24"/>
          <w:lang w:eastAsia="ru-RU"/>
        </w:rPr>
        <w:t>28</w:t>
      </w:r>
      <w:r w:rsidRPr="00BF5AA9">
        <w:rPr>
          <w:rFonts w:ascii="Times New Roman" w:eastAsia="Times New Roman" w:hAnsi="Times New Roman" w:cs="Times New Roman"/>
          <w:sz w:val="24"/>
          <w:szCs w:val="24"/>
          <w:lang w:eastAsia="ru-RU"/>
        </w:rPr>
        <w:t>.</w:t>
      </w:r>
    </w:p>
    <w:p w:rsidR="00BF5AA9" w:rsidRPr="00BF5AA9" w:rsidRDefault="00BF5AA9" w:rsidP="00BF5AA9">
      <w:pPr>
        <w:spacing w:after="0" w:line="240" w:lineRule="auto"/>
        <w:ind w:firstLine="709"/>
        <w:jc w:val="both"/>
        <w:rPr>
          <w:rFonts w:ascii="Times New Roman" w:eastAsia="Calibri" w:hAnsi="Times New Roman" w:cs="Times New Roman"/>
          <w:sz w:val="24"/>
          <w:szCs w:val="24"/>
        </w:rPr>
      </w:pPr>
    </w:p>
    <w:p w:rsidR="00BF5AA9" w:rsidRPr="00BA7A3B" w:rsidRDefault="00BF5AA9" w:rsidP="001B70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color w:val="0070C0"/>
          <w:sz w:val="24"/>
          <w:szCs w:val="24"/>
          <w:lang w:eastAsia="ru-RU"/>
        </w:rPr>
        <w:drawing>
          <wp:inline distT="0" distB="0" distL="0" distR="0">
            <wp:extent cx="6105525" cy="4848225"/>
            <wp:effectExtent l="0" t="0" r="0" b="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F5AA9" w:rsidRPr="00BF5AA9" w:rsidRDefault="00BF5AA9" w:rsidP="00BD5D4A">
      <w:pPr>
        <w:spacing w:after="0" w:line="240" w:lineRule="auto"/>
        <w:ind w:firstLine="709"/>
        <w:jc w:val="center"/>
        <w:rPr>
          <w:rFonts w:ascii="Times New Roman" w:eastAsia="Calibri" w:hAnsi="Times New Roman" w:cs="Times New Roman"/>
          <w:b/>
          <w:noProof/>
          <w:sz w:val="24"/>
          <w:szCs w:val="24"/>
          <w:lang w:eastAsia="ru-RU"/>
        </w:rPr>
      </w:pPr>
      <w:r w:rsidRPr="00BF5AA9">
        <w:rPr>
          <w:rFonts w:ascii="Times New Roman" w:eastAsia="Calibri" w:hAnsi="Times New Roman" w:cs="Times New Roman"/>
          <w:b/>
          <w:noProof/>
          <w:sz w:val="24"/>
          <w:szCs w:val="24"/>
          <w:lang w:eastAsia="ru-RU"/>
        </w:rPr>
        <w:t xml:space="preserve">Рис. 28 - Основные направления расходов по государственной программе </w:t>
      </w:r>
      <w:r w:rsidRPr="00BF5AA9">
        <w:rPr>
          <w:rFonts w:ascii="Times New Roman" w:eastAsia="Times New Roman" w:hAnsi="Times New Roman" w:cs="Times New Roman"/>
          <w:b/>
          <w:sz w:val="24"/>
          <w:szCs w:val="24"/>
          <w:lang w:eastAsia="ru-RU"/>
        </w:rPr>
        <w:t xml:space="preserve">«Развитие здравоохранения Амурской области на 2014-2020 годы» </w:t>
      </w:r>
      <w:r>
        <w:rPr>
          <w:rFonts w:ascii="Times New Roman" w:eastAsia="Calibri" w:hAnsi="Times New Roman" w:cs="Times New Roman"/>
          <w:b/>
          <w:noProof/>
          <w:sz w:val="24"/>
          <w:szCs w:val="24"/>
          <w:lang w:eastAsia="ru-RU"/>
        </w:rPr>
        <w:t>в 2015 году</w:t>
      </w:r>
      <w:r w:rsidR="00BA7A3B">
        <w:rPr>
          <w:rFonts w:ascii="Times New Roman" w:eastAsia="Calibri" w:hAnsi="Times New Roman" w:cs="Times New Roman"/>
          <w:b/>
          <w:noProof/>
          <w:sz w:val="24"/>
          <w:szCs w:val="24"/>
          <w:lang w:eastAsia="ru-RU"/>
        </w:rPr>
        <w:t>, млн. руб.</w:t>
      </w:r>
    </w:p>
    <w:p w:rsidR="00BF5AA9" w:rsidRPr="00BF5AA9" w:rsidRDefault="00BF5AA9" w:rsidP="00BF5AA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BD5D4A" w:rsidRPr="00D043CB" w:rsidRDefault="00BD5D4A" w:rsidP="00BD5D4A">
      <w:pPr>
        <w:spacing w:after="0" w:line="240" w:lineRule="auto"/>
        <w:ind w:firstLine="709"/>
        <w:jc w:val="both"/>
        <w:rPr>
          <w:rFonts w:ascii="Times New Roman" w:hAnsi="Times New Roman" w:cs="Times New Roman"/>
          <w:b/>
          <w:color w:val="000000" w:themeColor="text1"/>
          <w:sz w:val="24"/>
          <w:szCs w:val="24"/>
        </w:rPr>
      </w:pPr>
      <w:r w:rsidRPr="00D043CB">
        <w:rPr>
          <w:rFonts w:ascii="Times New Roman" w:hAnsi="Times New Roman" w:cs="Times New Roman"/>
          <w:b/>
          <w:color w:val="000000" w:themeColor="text1"/>
          <w:sz w:val="24"/>
          <w:szCs w:val="24"/>
        </w:rPr>
        <w:lastRenderedPageBreak/>
        <w:t xml:space="preserve">5.7. </w:t>
      </w:r>
      <w:r w:rsidRPr="001A299F">
        <w:rPr>
          <w:rFonts w:ascii="Times New Roman" w:eastAsia="Times New Roman" w:hAnsi="Times New Roman" w:cs="Times New Roman"/>
          <w:b/>
          <w:sz w:val="24"/>
          <w:szCs w:val="24"/>
          <w:lang w:eastAsia="ru-RU"/>
        </w:rPr>
        <w:t xml:space="preserve">Исполнение расходов областного бюджета за 2015 год в рамках государственной программы </w:t>
      </w:r>
      <w:r w:rsidRPr="00D043CB">
        <w:rPr>
          <w:rFonts w:ascii="Times New Roman" w:hAnsi="Times New Roman" w:cs="Times New Roman"/>
          <w:b/>
          <w:color w:val="000000" w:themeColor="text1"/>
          <w:sz w:val="24"/>
          <w:szCs w:val="24"/>
        </w:rPr>
        <w:t>«Обеспечение доступным и качественным жильем населения Амурской области на 2014–2020 годы»</w:t>
      </w:r>
    </w:p>
    <w:p w:rsidR="00BD5D4A" w:rsidRPr="00D043CB" w:rsidRDefault="00BD5D4A" w:rsidP="00BD5D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043CB">
        <w:rPr>
          <w:rFonts w:ascii="Times New Roman" w:eastAsia="Times New Roman" w:hAnsi="Times New Roman" w:cs="Times New Roman"/>
          <w:color w:val="000000" w:themeColor="text1"/>
          <w:sz w:val="24"/>
          <w:szCs w:val="24"/>
          <w:lang w:eastAsia="ru-RU"/>
        </w:rPr>
        <w:t xml:space="preserve">Государственная программа «Обеспечение доступным и качественным жильем населения Амурской области на 2014–2020 годы» утверждена постановлением Правительства Амурской области от 25.09.2013 № 446 с объемом ассигнований на </w:t>
      </w:r>
      <w:r w:rsidRPr="00D043CB">
        <w:rPr>
          <w:rFonts w:ascii="Times New Roman" w:eastAsia="Times New Roman" w:hAnsi="Times New Roman" w:cs="Times New Roman"/>
          <w:color w:val="000000" w:themeColor="text1"/>
          <w:sz w:val="24"/>
          <w:szCs w:val="24"/>
          <w:lang w:eastAsia="ru-RU"/>
        </w:rPr>
        <w:br/>
        <w:t xml:space="preserve">2015 год в сумме </w:t>
      </w:r>
      <w:r>
        <w:rPr>
          <w:rFonts w:ascii="Times New Roman" w:eastAsia="Times New Roman" w:hAnsi="Times New Roman" w:cs="Times New Roman"/>
          <w:color w:val="000000" w:themeColor="text1"/>
          <w:sz w:val="24"/>
          <w:szCs w:val="24"/>
          <w:lang w:eastAsia="ru-RU"/>
        </w:rPr>
        <w:t>3810381,9</w:t>
      </w:r>
      <w:r w:rsidRPr="00D043CB">
        <w:rPr>
          <w:rFonts w:ascii="Times New Roman" w:eastAsia="Times New Roman" w:hAnsi="Times New Roman" w:cs="Times New Roman"/>
          <w:color w:val="000000" w:themeColor="text1"/>
          <w:sz w:val="24"/>
          <w:szCs w:val="24"/>
          <w:lang w:eastAsia="ru-RU"/>
        </w:rPr>
        <w:t xml:space="preserve"> тыс. рублей.</w:t>
      </w:r>
    </w:p>
    <w:p w:rsidR="00BD5D4A" w:rsidRPr="00D043CB" w:rsidRDefault="00BD5D4A" w:rsidP="00BD5D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043CB">
        <w:rPr>
          <w:rFonts w:ascii="Times New Roman" w:eastAsia="Times New Roman" w:hAnsi="Times New Roman" w:cs="Times New Roman"/>
          <w:color w:val="000000" w:themeColor="text1"/>
          <w:sz w:val="24"/>
          <w:szCs w:val="24"/>
          <w:lang w:eastAsia="ru-RU"/>
        </w:rPr>
        <w:t xml:space="preserve">Координатором государственной программы является министерство </w:t>
      </w:r>
      <w:r>
        <w:rPr>
          <w:rFonts w:ascii="Times New Roman" w:eastAsia="Times New Roman" w:hAnsi="Times New Roman" w:cs="Times New Roman"/>
          <w:color w:val="000000" w:themeColor="text1"/>
          <w:sz w:val="24"/>
          <w:szCs w:val="24"/>
          <w:lang w:eastAsia="ru-RU"/>
        </w:rPr>
        <w:t xml:space="preserve">транспорта и </w:t>
      </w:r>
      <w:r w:rsidRPr="00D043CB">
        <w:rPr>
          <w:rFonts w:ascii="Times New Roman" w:eastAsia="Times New Roman" w:hAnsi="Times New Roman" w:cs="Times New Roman"/>
          <w:color w:val="000000" w:themeColor="text1"/>
          <w:sz w:val="24"/>
          <w:szCs w:val="24"/>
          <w:lang w:eastAsia="ru-RU"/>
        </w:rPr>
        <w:t>строительства Амурской области.</w:t>
      </w:r>
    </w:p>
    <w:p w:rsidR="00BD5D4A" w:rsidRPr="00ED4D1B" w:rsidRDefault="00BD5D4A" w:rsidP="00BD5D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D4D1B">
        <w:rPr>
          <w:rFonts w:ascii="Times New Roman" w:eastAsia="Times New Roman" w:hAnsi="Times New Roman" w:cs="Times New Roman"/>
          <w:color w:val="000000" w:themeColor="text1"/>
          <w:sz w:val="24"/>
          <w:szCs w:val="24"/>
          <w:lang w:eastAsia="ru-RU"/>
        </w:rPr>
        <w:t>Законом Амурской области «Об областном бюджете на 2015 год и плановый период 2016 и 2017 годов» на реализацию государственной программы «Обеспечение доступным и качественным жильем населения Амурской области на 2014–2020 годы» утверждены бюджетные ассигнования в сумме 2000194,5 тыс. рублей.</w:t>
      </w:r>
    </w:p>
    <w:p w:rsidR="00BD5D4A" w:rsidRPr="00ED4D1B" w:rsidRDefault="00BD5D4A" w:rsidP="00BD5D4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D4D1B">
        <w:rPr>
          <w:rFonts w:ascii="Times New Roman" w:eastAsia="Times New Roman" w:hAnsi="Times New Roman" w:cs="Times New Roman"/>
          <w:color w:val="000000" w:themeColor="text1"/>
          <w:sz w:val="24"/>
          <w:szCs w:val="24"/>
          <w:lang w:eastAsia="ru-RU"/>
        </w:rPr>
        <w:t xml:space="preserve">Отклонение плановых показателей, предусмотренных государственной программой, от плановых показателей, утвержденных законом области об областном бюджете на </w:t>
      </w:r>
      <w:r>
        <w:rPr>
          <w:rFonts w:ascii="Times New Roman" w:eastAsia="Times New Roman" w:hAnsi="Times New Roman" w:cs="Times New Roman"/>
          <w:color w:val="000000" w:themeColor="text1"/>
          <w:sz w:val="24"/>
          <w:szCs w:val="24"/>
          <w:lang w:eastAsia="ru-RU"/>
        </w:rPr>
        <w:br/>
      </w:r>
      <w:r w:rsidRPr="00ED4D1B">
        <w:rPr>
          <w:rFonts w:ascii="Times New Roman" w:eastAsia="Times New Roman" w:hAnsi="Times New Roman" w:cs="Times New Roman"/>
          <w:color w:val="000000" w:themeColor="text1"/>
          <w:sz w:val="24"/>
          <w:szCs w:val="24"/>
          <w:lang w:eastAsia="ru-RU"/>
        </w:rPr>
        <w:t xml:space="preserve">2015 год, связано с тем, что </w:t>
      </w:r>
      <w:r w:rsidRPr="00300B3B">
        <w:rPr>
          <w:rFonts w:ascii="Times New Roman" w:eastAsia="Times New Roman" w:hAnsi="Times New Roman" w:cs="Times New Roman"/>
          <w:color w:val="000000" w:themeColor="text1"/>
          <w:sz w:val="24"/>
          <w:szCs w:val="24"/>
          <w:lang w:eastAsia="ru-RU"/>
        </w:rPr>
        <w:t>ассигнования, предусмотренные в государственной программе в общей сумме 1810187,4 тыс. рублей, не предусмотрены законом области об областном бюджете на 2015 год,</w:t>
      </w:r>
      <w:r w:rsidRPr="00ED4D1B">
        <w:rPr>
          <w:rFonts w:ascii="Times New Roman" w:eastAsia="Times New Roman" w:hAnsi="Times New Roman" w:cs="Times New Roman"/>
          <w:color w:val="000000" w:themeColor="text1"/>
          <w:sz w:val="24"/>
          <w:szCs w:val="24"/>
          <w:lang w:eastAsia="ru-RU"/>
        </w:rPr>
        <w:t xml:space="preserve"> в том числе:</w:t>
      </w:r>
    </w:p>
    <w:p w:rsidR="00BD5D4A" w:rsidRPr="001B5FEB" w:rsidRDefault="00BD5D4A" w:rsidP="0014690C">
      <w:pPr>
        <w:pStyle w:val="afa"/>
        <w:numPr>
          <w:ilvl w:val="0"/>
          <w:numId w:val="35"/>
        </w:numPr>
        <w:tabs>
          <w:tab w:val="left" w:pos="851"/>
        </w:tabs>
        <w:ind w:left="0" w:firstLine="709"/>
        <w:jc w:val="both"/>
        <w:rPr>
          <w:sz w:val="24"/>
          <w:szCs w:val="24"/>
        </w:rPr>
      </w:pPr>
      <w:r w:rsidRPr="001B5FEB">
        <w:rPr>
          <w:color w:val="000000" w:themeColor="text1"/>
          <w:sz w:val="24"/>
          <w:szCs w:val="24"/>
        </w:rPr>
        <w:t>по подпрограмме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Амурской области», мероприятию по переселению граждан из ветхого и аварийного жилья в зоне Байкало-Амурской магистрали в сумме 75000,0 тыс. рублей (координатор подпрограммы министерство транспорта и строительства области);</w:t>
      </w:r>
    </w:p>
    <w:p w:rsidR="00BD5D4A" w:rsidRPr="001B5FEB" w:rsidRDefault="00BD5D4A" w:rsidP="0014690C">
      <w:pPr>
        <w:pStyle w:val="afa"/>
        <w:numPr>
          <w:ilvl w:val="0"/>
          <w:numId w:val="35"/>
        </w:numPr>
        <w:tabs>
          <w:tab w:val="left" w:pos="851"/>
        </w:tabs>
        <w:ind w:left="0" w:firstLine="709"/>
        <w:jc w:val="both"/>
        <w:rPr>
          <w:color w:val="000000" w:themeColor="text1"/>
          <w:sz w:val="24"/>
          <w:szCs w:val="24"/>
        </w:rPr>
      </w:pPr>
      <w:r w:rsidRPr="001B5FEB">
        <w:rPr>
          <w:color w:val="000000" w:themeColor="text1"/>
          <w:sz w:val="24"/>
          <w:szCs w:val="24"/>
        </w:rPr>
        <w:t>по подпрограмме «Обеспечение жильем молодых семей», мероприятию «Предоставление социальных выплат молодым семьям на приобретение (строительство) жилья по мероприятиям подпрограммы «Обеспечение жильем молодых семей» федеральной целевой программы «Жилище» на 2011-2015 годы» в сумме 8749,0 тыс. рублей (координатор подпрограммы министерство жилищно-коммунального хозяйства Амурской области);</w:t>
      </w:r>
    </w:p>
    <w:p w:rsidR="00BD5D4A" w:rsidRPr="001B5FEB" w:rsidRDefault="00BD5D4A" w:rsidP="0014690C">
      <w:pPr>
        <w:pStyle w:val="afa"/>
        <w:numPr>
          <w:ilvl w:val="0"/>
          <w:numId w:val="35"/>
        </w:numPr>
        <w:tabs>
          <w:tab w:val="left" w:pos="851"/>
        </w:tabs>
        <w:ind w:left="0" w:firstLine="709"/>
        <w:jc w:val="both"/>
        <w:rPr>
          <w:color w:val="000000" w:themeColor="text1"/>
          <w:sz w:val="24"/>
          <w:szCs w:val="24"/>
        </w:rPr>
      </w:pPr>
      <w:r w:rsidRPr="001B5FEB">
        <w:rPr>
          <w:color w:val="000000" w:themeColor="text1"/>
          <w:sz w:val="24"/>
          <w:szCs w:val="24"/>
        </w:rPr>
        <w:t>по подпрограмме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мероприятию «Обеспечение мероприятий по переселению граждан из аварийного жилищного фонда» в сумме 1726437,5 тыс. рублей (координатор подпрограммы министерство жилищно-коммунального хозяйства Амурской области).</w:t>
      </w:r>
    </w:p>
    <w:p w:rsidR="00BD5D4A" w:rsidRPr="00220216" w:rsidRDefault="00BD5D4A" w:rsidP="00BD5D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0216">
        <w:rPr>
          <w:rFonts w:ascii="Times New Roman" w:eastAsia="Times New Roman" w:hAnsi="Times New Roman" w:cs="Times New Roman"/>
          <w:sz w:val="24"/>
          <w:szCs w:val="24"/>
          <w:lang w:eastAsia="ru-RU"/>
        </w:rPr>
        <w:t>Согласно приложению № 1 к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2015 год:</w:t>
      </w:r>
    </w:p>
    <w:p w:rsidR="00BD5D4A" w:rsidRPr="001B5FEB" w:rsidRDefault="00BD5D4A" w:rsidP="0014690C">
      <w:pPr>
        <w:pStyle w:val="afa"/>
        <w:numPr>
          <w:ilvl w:val="0"/>
          <w:numId w:val="36"/>
        </w:numPr>
        <w:tabs>
          <w:tab w:val="left" w:pos="851"/>
          <w:tab w:val="left" w:pos="993"/>
        </w:tabs>
        <w:ind w:left="0" w:firstLine="709"/>
        <w:jc w:val="both"/>
        <w:rPr>
          <w:sz w:val="24"/>
          <w:szCs w:val="24"/>
        </w:rPr>
      </w:pPr>
      <w:r w:rsidRPr="001B5FEB">
        <w:rPr>
          <w:sz w:val="24"/>
          <w:szCs w:val="24"/>
        </w:rPr>
        <w:t xml:space="preserve">Плановые назначения, отраженные в докладе, на реализацию программы составляют 4190035,0 тыс. рублей, что не соответствует аналогичному плановому значению, предусмотренному сводной бюджетной росписью расходов в сумме 60763,8 тыс. </w:t>
      </w:r>
      <w:r w:rsidR="001B5FEB">
        <w:rPr>
          <w:sz w:val="24"/>
          <w:szCs w:val="24"/>
        </w:rPr>
        <w:t>рублей.</w:t>
      </w:r>
    </w:p>
    <w:p w:rsidR="00BD5D4A" w:rsidRPr="001B5FEB" w:rsidRDefault="00BD5D4A" w:rsidP="0014690C">
      <w:pPr>
        <w:pStyle w:val="afa"/>
        <w:numPr>
          <w:ilvl w:val="0"/>
          <w:numId w:val="36"/>
        </w:numPr>
        <w:tabs>
          <w:tab w:val="left" w:pos="851"/>
          <w:tab w:val="left" w:pos="993"/>
        </w:tabs>
        <w:ind w:left="0" w:firstLine="709"/>
        <w:jc w:val="both"/>
        <w:rPr>
          <w:sz w:val="24"/>
          <w:szCs w:val="24"/>
        </w:rPr>
      </w:pPr>
      <w:r w:rsidRPr="001B5FEB">
        <w:rPr>
          <w:sz w:val="24"/>
          <w:szCs w:val="24"/>
        </w:rPr>
        <w:t xml:space="preserve">Объем исполненных ассигнований, отраженных в докладе, составляет </w:t>
      </w:r>
      <w:r w:rsidRPr="001B5FEB">
        <w:rPr>
          <w:sz w:val="24"/>
          <w:szCs w:val="24"/>
        </w:rPr>
        <w:br/>
        <w:t>1593169,4 тыс. рублей. Вместе с тем, согласно отчету об исполнении областного бюджета за 2015 год аналогичный показатель составляет 1995581,3 тыс. рублей, что больше суммы, представленной в докладе на 402411,9 тыс. рублей.</w:t>
      </w:r>
    </w:p>
    <w:p w:rsidR="00BD5D4A" w:rsidRPr="00220216" w:rsidRDefault="00BD5D4A" w:rsidP="00BD5D4A">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20216">
        <w:rPr>
          <w:rFonts w:ascii="Times New Roman" w:eastAsia="Times New Roman" w:hAnsi="Times New Roman" w:cs="Times New Roman"/>
          <w:b/>
          <w:i/>
          <w:sz w:val="24"/>
          <w:szCs w:val="24"/>
          <w:lang w:eastAsia="ru-RU"/>
        </w:rPr>
        <w:t>Таким образом, доклад о ходе реализации и об оценке эффективности государственных программ области, представленный одновременно с годовым отчетом об исполнении областного бюджета за 2015 год, содержит недостоверную информацию о плановых и исполненных объемах финансовых средств по государственной программе «Обеспечение доступным и качественным жильем населения Амурской области на 2014–2020 годы».</w:t>
      </w:r>
    </w:p>
    <w:p w:rsidR="00BD5D4A" w:rsidRPr="00A56718" w:rsidRDefault="00BD5D4A" w:rsidP="00BD5D4A">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A56718">
        <w:rPr>
          <w:rFonts w:ascii="Times New Roman" w:eastAsia="Times New Roman" w:hAnsi="Times New Roman" w:cs="Times New Roman"/>
          <w:b/>
          <w:i/>
          <w:sz w:val="24"/>
          <w:szCs w:val="24"/>
          <w:lang w:eastAsia="ru-RU"/>
        </w:rPr>
        <w:t xml:space="preserve">Отражение в докладе показателей объема бюджетных ассигнований и показателей о кассовом исполнении государственных программ, несоответствующих аналогичным показателям, предусмотренным сводной бюджетной росписью расходов, и </w:t>
      </w:r>
      <w:r w:rsidRPr="00A56718">
        <w:rPr>
          <w:rFonts w:ascii="Times New Roman" w:eastAsia="Times New Roman" w:hAnsi="Times New Roman" w:cs="Times New Roman"/>
          <w:b/>
          <w:i/>
          <w:sz w:val="24"/>
          <w:szCs w:val="24"/>
          <w:lang w:eastAsia="ru-RU"/>
        </w:rPr>
        <w:lastRenderedPageBreak/>
        <w:t>показателям годового отчета об исполнении областного бюджета, противоречит положениям Порядка принятия решений о разработке государственных программ Амурской области, их формирования и реализации, а также проведения оценки эффективности, утвержденного постановлением Правительства Амурской области от 29.07.2013 № 329.</w:t>
      </w:r>
    </w:p>
    <w:p w:rsidR="00BD5D4A" w:rsidRPr="00ED4D1B" w:rsidRDefault="00BD5D4A" w:rsidP="00BD5D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D1B">
        <w:rPr>
          <w:rFonts w:ascii="Times New Roman" w:eastAsia="Times New Roman" w:hAnsi="Times New Roman" w:cs="Times New Roman"/>
          <w:sz w:val="24"/>
          <w:szCs w:val="24"/>
          <w:lang w:eastAsia="ru-RU"/>
        </w:rPr>
        <w:t>Сводной бюджетной росписью расходов областного бюджета на 2015 год на реализацию программы предусмотрено 4250798,8 тыс. рублей.</w:t>
      </w:r>
    </w:p>
    <w:p w:rsidR="00BD5D4A" w:rsidRPr="005B5355" w:rsidRDefault="00BD5D4A" w:rsidP="00BD5D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5355">
        <w:rPr>
          <w:rFonts w:ascii="Times New Roman" w:eastAsia="Times New Roman" w:hAnsi="Times New Roman" w:cs="Times New Roman"/>
          <w:sz w:val="24"/>
          <w:szCs w:val="24"/>
          <w:lang w:eastAsia="ru-RU"/>
        </w:rPr>
        <w:t xml:space="preserve">Превышение плановых показателей, утвержденных сводной бюджетной росписью расходов, плановых показателей, утвержденных законом об областном бюджете, составляет 2250604,3 тыс. рублей – средства федерального бюджета и средства фонда содействия реформированию жилищно-коммунального хозяйства, </w:t>
      </w:r>
      <w:r>
        <w:rPr>
          <w:rFonts w:ascii="Times New Roman" w:eastAsia="Times New Roman" w:hAnsi="Times New Roman" w:cs="Times New Roman"/>
          <w:sz w:val="24"/>
          <w:szCs w:val="24"/>
          <w:lang w:eastAsia="ru-RU"/>
        </w:rPr>
        <w:t>а также средства, направлен</w:t>
      </w:r>
      <w:r w:rsidR="001B5FEB">
        <w:rPr>
          <w:rFonts w:ascii="Times New Roman" w:eastAsia="Times New Roman" w:hAnsi="Times New Roman" w:cs="Times New Roman"/>
          <w:sz w:val="24"/>
          <w:szCs w:val="24"/>
          <w:lang w:eastAsia="ru-RU"/>
        </w:rPr>
        <w:t>ные на оплату судебных решений.</w:t>
      </w:r>
    </w:p>
    <w:p w:rsidR="00BD5D4A" w:rsidRPr="005B5355" w:rsidRDefault="00BD5D4A" w:rsidP="00BD5D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5355">
        <w:rPr>
          <w:rFonts w:ascii="Times New Roman" w:eastAsia="Times New Roman" w:hAnsi="Times New Roman" w:cs="Times New Roman"/>
          <w:sz w:val="24"/>
          <w:szCs w:val="24"/>
          <w:lang w:eastAsia="ru-RU"/>
        </w:rPr>
        <w:t>Согласно отчету об исполнении областного бюджета за 2015 год, исполнение бюджетных назначений, предусмотренных на реализацию программы сводной бюджетной росписью расходов, составило 1995581,3 тыс. рублей, или 46,9 процента. Объем неисполненных ассигнований составил 2255217,5 тыс. рублей.</w:t>
      </w:r>
    </w:p>
    <w:p w:rsidR="00BD5D4A" w:rsidRPr="005B5355" w:rsidRDefault="00BD5D4A" w:rsidP="00BD5D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5355">
        <w:rPr>
          <w:rFonts w:ascii="Times New Roman" w:eastAsia="Times New Roman" w:hAnsi="Times New Roman" w:cs="Times New Roman"/>
          <w:sz w:val="24"/>
          <w:szCs w:val="24"/>
          <w:lang w:eastAsia="ru-RU"/>
        </w:rPr>
        <w:t xml:space="preserve">Государственная программа «Обеспечение доступным и качественным жильем населения Амурской области на 2014–2020 годы» включает </w:t>
      </w:r>
      <w:r>
        <w:rPr>
          <w:rFonts w:ascii="Times New Roman" w:eastAsia="Times New Roman" w:hAnsi="Times New Roman" w:cs="Times New Roman"/>
          <w:sz w:val="24"/>
          <w:szCs w:val="24"/>
          <w:lang w:eastAsia="ru-RU"/>
        </w:rPr>
        <w:t>9</w:t>
      </w:r>
      <w:r w:rsidRPr="005B5355">
        <w:rPr>
          <w:rFonts w:ascii="Times New Roman" w:eastAsia="Times New Roman" w:hAnsi="Times New Roman" w:cs="Times New Roman"/>
          <w:sz w:val="24"/>
          <w:szCs w:val="24"/>
          <w:lang w:eastAsia="ru-RU"/>
        </w:rPr>
        <w:t xml:space="preserve"> подпрограмм</w:t>
      </w:r>
      <w:r>
        <w:rPr>
          <w:rFonts w:ascii="Times New Roman" w:eastAsia="Times New Roman" w:hAnsi="Times New Roman" w:cs="Times New Roman"/>
          <w:sz w:val="24"/>
          <w:szCs w:val="24"/>
          <w:lang w:eastAsia="ru-RU"/>
        </w:rPr>
        <w:t>, реализуемых в 2015 году</w:t>
      </w:r>
      <w:r w:rsidRPr="005B5355">
        <w:rPr>
          <w:rFonts w:ascii="Times New Roman" w:eastAsia="Times New Roman" w:hAnsi="Times New Roman" w:cs="Times New Roman"/>
          <w:sz w:val="24"/>
          <w:szCs w:val="24"/>
          <w:lang w:eastAsia="ru-RU"/>
        </w:rPr>
        <w:t>.</w:t>
      </w:r>
    </w:p>
    <w:p w:rsidR="00BD5D4A" w:rsidRDefault="00BD5D4A" w:rsidP="00BD5D4A">
      <w:pPr>
        <w:spacing w:after="0" w:line="240" w:lineRule="auto"/>
        <w:ind w:firstLine="709"/>
        <w:jc w:val="both"/>
        <w:rPr>
          <w:rFonts w:ascii="Times New Roman" w:hAnsi="Times New Roman" w:cs="Times New Roman"/>
          <w:sz w:val="24"/>
          <w:szCs w:val="24"/>
        </w:rPr>
      </w:pPr>
      <w:r w:rsidRPr="005B5355">
        <w:rPr>
          <w:rFonts w:ascii="Times New Roman" w:hAnsi="Times New Roman" w:cs="Times New Roman"/>
          <w:sz w:val="24"/>
          <w:szCs w:val="24"/>
        </w:rPr>
        <w:t>В таблице</w:t>
      </w:r>
      <w:r>
        <w:rPr>
          <w:rFonts w:ascii="Times New Roman" w:hAnsi="Times New Roman" w:cs="Times New Roman"/>
          <w:sz w:val="24"/>
          <w:szCs w:val="24"/>
        </w:rPr>
        <w:t xml:space="preserve"> 10</w:t>
      </w:r>
      <w:r w:rsidRPr="005B5355">
        <w:rPr>
          <w:rFonts w:ascii="Times New Roman" w:hAnsi="Times New Roman" w:cs="Times New Roman"/>
          <w:sz w:val="24"/>
          <w:szCs w:val="24"/>
        </w:rPr>
        <w:t xml:space="preserve"> представлена информация об исполнении государственной программы «Обеспечение доступным и качественным жильем населения Амурской области на </w:t>
      </w:r>
      <w:r w:rsidRPr="005B5355">
        <w:rPr>
          <w:rFonts w:ascii="Times New Roman" w:hAnsi="Times New Roman" w:cs="Times New Roman"/>
          <w:sz w:val="24"/>
          <w:szCs w:val="24"/>
        </w:rPr>
        <w:br/>
        <w:t>2014–2020 годы» в разрезе подпрограмм.</w:t>
      </w:r>
    </w:p>
    <w:p w:rsidR="00BD5D4A" w:rsidRPr="005B5355" w:rsidRDefault="00BD5D4A" w:rsidP="00BD5D4A">
      <w:pPr>
        <w:spacing w:after="0" w:line="240" w:lineRule="auto"/>
        <w:ind w:firstLine="709"/>
        <w:jc w:val="both"/>
        <w:rPr>
          <w:rFonts w:ascii="Times New Roman" w:hAnsi="Times New Roman" w:cs="Times New Roman"/>
          <w:sz w:val="24"/>
          <w:szCs w:val="24"/>
        </w:rPr>
      </w:pPr>
    </w:p>
    <w:p w:rsidR="00BD5D4A" w:rsidRDefault="00BD5D4A" w:rsidP="00BD5D4A">
      <w:pPr>
        <w:spacing w:after="0" w:line="240" w:lineRule="auto"/>
        <w:ind w:firstLine="709"/>
        <w:jc w:val="right"/>
        <w:rPr>
          <w:rFonts w:ascii="Times New Roman" w:hAnsi="Times New Roman" w:cs="Times New Roman"/>
          <w:sz w:val="24"/>
          <w:szCs w:val="24"/>
        </w:rPr>
      </w:pPr>
      <w:r w:rsidRPr="005B5355">
        <w:rPr>
          <w:rFonts w:ascii="Times New Roman" w:hAnsi="Times New Roman" w:cs="Times New Roman"/>
          <w:sz w:val="24"/>
          <w:szCs w:val="24"/>
        </w:rPr>
        <w:t>Таблица</w:t>
      </w:r>
      <w:r>
        <w:rPr>
          <w:rFonts w:ascii="Times New Roman" w:hAnsi="Times New Roman" w:cs="Times New Roman"/>
          <w:sz w:val="24"/>
          <w:szCs w:val="24"/>
        </w:rPr>
        <w:t xml:space="preserve"> 10</w:t>
      </w:r>
    </w:p>
    <w:p w:rsidR="00BD5D4A" w:rsidRPr="00BD5D4A" w:rsidRDefault="00BD5D4A" w:rsidP="00BD5D4A">
      <w:pPr>
        <w:spacing w:after="0" w:line="240" w:lineRule="auto"/>
        <w:ind w:firstLine="709"/>
        <w:jc w:val="center"/>
        <w:rPr>
          <w:rFonts w:ascii="Times New Roman" w:hAnsi="Times New Roman" w:cs="Times New Roman"/>
          <w:b/>
          <w:sz w:val="24"/>
          <w:szCs w:val="24"/>
        </w:rPr>
      </w:pPr>
      <w:r w:rsidRPr="00BD5D4A">
        <w:rPr>
          <w:rFonts w:ascii="Times New Roman" w:hAnsi="Times New Roman" w:cs="Times New Roman"/>
          <w:b/>
          <w:sz w:val="24"/>
          <w:szCs w:val="24"/>
        </w:rPr>
        <w:t>Информация об исполнении государственной программы «Обеспечение доступным и качественным жильем населения Амурской области на 2014–2020 годы»</w:t>
      </w:r>
    </w:p>
    <w:p w:rsidR="00BD5D4A" w:rsidRPr="005B5355" w:rsidRDefault="00BD5D4A" w:rsidP="00BD5D4A">
      <w:pPr>
        <w:spacing w:after="0"/>
        <w:ind w:firstLine="709"/>
        <w:jc w:val="right"/>
        <w:rPr>
          <w:rFonts w:ascii="Times New Roman" w:hAnsi="Times New Roman" w:cs="Times New Roman"/>
          <w:sz w:val="24"/>
          <w:szCs w:val="24"/>
        </w:rPr>
      </w:pPr>
      <w:r w:rsidRPr="005B5355">
        <w:rPr>
          <w:rFonts w:ascii="Times New Roman" w:hAnsi="Times New Roman" w:cs="Times New Roman"/>
          <w:sz w:val="24"/>
          <w:szCs w:val="24"/>
        </w:rPr>
        <w:t>тыс. рублей</w:t>
      </w:r>
    </w:p>
    <w:tbl>
      <w:tblPr>
        <w:tblStyle w:val="a6"/>
        <w:tblW w:w="9718" w:type="dxa"/>
        <w:tblLook w:val="04A0" w:firstRow="1" w:lastRow="0" w:firstColumn="1" w:lastColumn="0" w:noHBand="0" w:noVBand="1"/>
      </w:tblPr>
      <w:tblGrid>
        <w:gridCol w:w="4320"/>
        <w:gridCol w:w="1418"/>
        <w:gridCol w:w="1463"/>
        <w:gridCol w:w="1099"/>
        <w:gridCol w:w="1418"/>
      </w:tblGrid>
      <w:tr w:rsidR="00BD5D4A" w:rsidRPr="001B5FEB" w:rsidTr="00CE0D71">
        <w:trPr>
          <w:trHeight w:val="711"/>
          <w:tblHeader/>
        </w:trPr>
        <w:tc>
          <w:tcPr>
            <w:tcW w:w="4361" w:type="dxa"/>
          </w:tcPr>
          <w:p w:rsidR="00BD5D4A" w:rsidRPr="001B5FEB" w:rsidRDefault="00BD5D4A" w:rsidP="00CE0D71">
            <w:pPr>
              <w:widowControl w:val="0"/>
              <w:autoSpaceDE w:val="0"/>
              <w:autoSpaceDN w:val="0"/>
              <w:adjustRightInd w:val="0"/>
              <w:jc w:val="center"/>
              <w:rPr>
                <w:b/>
                <w:bCs/>
                <w:sz w:val="22"/>
                <w:szCs w:val="22"/>
              </w:rPr>
            </w:pPr>
            <w:r w:rsidRPr="001B5FEB">
              <w:rPr>
                <w:b/>
                <w:bCs/>
                <w:sz w:val="22"/>
                <w:szCs w:val="22"/>
              </w:rPr>
              <w:t>Наименование государственной программы/подпрограммы</w:t>
            </w:r>
          </w:p>
        </w:tc>
        <w:tc>
          <w:tcPr>
            <w:tcW w:w="1418" w:type="dxa"/>
            <w:noWrap/>
          </w:tcPr>
          <w:p w:rsidR="00BD5D4A" w:rsidRPr="001B5FEB" w:rsidRDefault="00BD5D4A" w:rsidP="00CE0D71">
            <w:pPr>
              <w:widowControl w:val="0"/>
              <w:autoSpaceDE w:val="0"/>
              <w:autoSpaceDN w:val="0"/>
              <w:adjustRightInd w:val="0"/>
              <w:jc w:val="center"/>
              <w:rPr>
                <w:b/>
                <w:bCs/>
                <w:sz w:val="22"/>
                <w:szCs w:val="22"/>
              </w:rPr>
            </w:pPr>
            <w:r w:rsidRPr="001B5FEB">
              <w:rPr>
                <w:b/>
                <w:bCs/>
                <w:sz w:val="22"/>
                <w:szCs w:val="22"/>
              </w:rPr>
              <w:t>План</w:t>
            </w:r>
          </w:p>
        </w:tc>
        <w:tc>
          <w:tcPr>
            <w:tcW w:w="1463" w:type="dxa"/>
            <w:noWrap/>
          </w:tcPr>
          <w:p w:rsidR="00BD5D4A" w:rsidRPr="001B5FEB" w:rsidRDefault="00BD5D4A" w:rsidP="00CE0D71">
            <w:pPr>
              <w:widowControl w:val="0"/>
              <w:autoSpaceDE w:val="0"/>
              <w:autoSpaceDN w:val="0"/>
              <w:adjustRightInd w:val="0"/>
              <w:jc w:val="center"/>
              <w:rPr>
                <w:b/>
                <w:bCs/>
                <w:sz w:val="22"/>
                <w:szCs w:val="22"/>
              </w:rPr>
            </w:pPr>
            <w:r w:rsidRPr="001B5FEB">
              <w:rPr>
                <w:b/>
                <w:bCs/>
                <w:sz w:val="22"/>
                <w:szCs w:val="22"/>
              </w:rPr>
              <w:t>Исполнение</w:t>
            </w:r>
          </w:p>
        </w:tc>
        <w:tc>
          <w:tcPr>
            <w:tcW w:w="1058" w:type="dxa"/>
            <w:noWrap/>
          </w:tcPr>
          <w:p w:rsidR="00BD5D4A" w:rsidRPr="001B5FEB" w:rsidRDefault="00BD5D4A" w:rsidP="00CE0D71">
            <w:pPr>
              <w:widowControl w:val="0"/>
              <w:autoSpaceDE w:val="0"/>
              <w:autoSpaceDN w:val="0"/>
              <w:adjustRightInd w:val="0"/>
              <w:jc w:val="center"/>
              <w:rPr>
                <w:b/>
                <w:bCs/>
                <w:sz w:val="22"/>
                <w:szCs w:val="22"/>
              </w:rPr>
            </w:pPr>
            <w:r w:rsidRPr="001B5FEB">
              <w:rPr>
                <w:b/>
                <w:bCs/>
                <w:sz w:val="22"/>
                <w:szCs w:val="22"/>
              </w:rPr>
              <w:t>Уровень исполне-ния</w:t>
            </w:r>
          </w:p>
        </w:tc>
        <w:tc>
          <w:tcPr>
            <w:tcW w:w="1418" w:type="dxa"/>
            <w:noWrap/>
          </w:tcPr>
          <w:p w:rsidR="00BD5D4A" w:rsidRPr="001B5FEB" w:rsidRDefault="00BD5D4A" w:rsidP="00CE0D71">
            <w:pPr>
              <w:widowControl w:val="0"/>
              <w:autoSpaceDE w:val="0"/>
              <w:autoSpaceDN w:val="0"/>
              <w:adjustRightInd w:val="0"/>
              <w:jc w:val="center"/>
              <w:rPr>
                <w:b/>
                <w:bCs/>
                <w:sz w:val="22"/>
                <w:szCs w:val="22"/>
              </w:rPr>
            </w:pPr>
            <w:r w:rsidRPr="001B5FEB">
              <w:rPr>
                <w:b/>
                <w:bCs/>
                <w:sz w:val="22"/>
                <w:szCs w:val="22"/>
              </w:rPr>
              <w:t>Не исполнено</w:t>
            </w:r>
          </w:p>
        </w:tc>
      </w:tr>
      <w:tr w:rsidR="00BD5D4A" w:rsidRPr="00ED4D1B" w:rsidTr="00CE0D71">
        <w:trPr>
          <w:trHeight w:val="960"/>
        </w:trPr>
        <w:tc>
          <w:tcPr>
            <w:tcW w:w="4361" w:type="dxa"/>
            <w:hideMark/>
          </w:tcPr>
          <w:p w:rsidR="00BD5D4A" w:rsidRPr="008E3727" w:rsidRDefault="00BD5D4A" w:rsidP="00CE0D71">
            <w:pPr>
              <w:rPr>
                <w:b/>
                <w:sz w:val="22"/>
                <w:szCs w:val="22"/>
              </w:rPr>
            </w:pPr>
            <w:r w:rsidRPr="008E3727">
              <w:rPr>
                <w:b/>
                <w:sz w:val="22"/>
                <w:szCs w:val="22"/>
              </w:rPr>
              <w:t>Государственная программа «Обеспечение доступным и качественным жильем населения Амурской области на 2014-2020 годы»</w:t>
            </w:r>
          </w:p>
        </w:tc>
        <w:tc>
          <w:tcPr>
            <w:tcW w:w="1418" w:type="dxa"/>
            <w:noWrap/>
            <w:hideMark/>
          </w:tcPr>
          <w:p w:rsidR="00BD5D4A" w:rsidRPr="008E3727" w:rsidRDefault="00BD5D4A" w:rsidP="00CE0D71">
            <w:pPr>
              <w:jc w:val="right"/>
              <w:rPr>
                <w:b/>
                <w:sz w:val="22"/>
                <w:szCs w:val="22"/>
              </w:rPr>
            </w:pPr>
            <w:r w:rsidRPr="008E3727">
              <w:rPr>
                <w:b/>
                <w:sz w:val="22"/>
                <w:szCs w:val="22"/>
              </w:rPr>
              <w:t>4 250 798,8</w:t>
            </w:r>
          </w:p>
        </w:tc>
        <w:tc>
          <w:tcPr>
            <w:tcW w:w="1463" w:type="dxa"/>
            <w:noWrap/>
            <w:hideMark/>
          </w:tcPr>
          <w:p w:rsidR="00BD5D4A" w:rsidRPr="008E3727" w:rsidRDefault="00BD5D4A" w:rsidP="00CE0D71">
            <w:pPr>
              <w:jc w:val="right"/>
              <w:rPr>
                <w:b/>
                <w:sz w:val="22"/>
                <w:szCs w:val="22"/>
              </w:rPr>
            </w:pPr>
            <w:r w:rsidRPr="008E3727">
              <w:rPr>
                <w:b/>
                <w:sz w:val="22"/>
                <w:szCs w:val="22"/>
              </w:rPr>
              <w:t>1 995 581,3</w:t>
            </w:r>
          </w:p>
        </w:tc>
        <w:tc>
          <w:tcPr>
            <w:tcW w:w="1058" w:type="dxa"/>
            <w:noWrap/>
            <w:hideMark/>
          </w:tcPr>
          <w:p w:rsidR="00BD5D4A" w:rsidRPr="008E3727" w:rsidRDefault="00BD5D4A" w:rsidP="00CE0D71">
            <w:pPr>
              <w:jc w:val="right"/>
              <w:rPr>
                <w:b/>
                <w:sz w:val="22"/>
                <w:szCs w:val="22"/>
              </w:rPr>
            </w:pPr>
            <w:r w:rsidRPr="008E3727">
              <w:rPr>
                <w:b/>
                <w:sz w:val="22"/>
                <w:szCs w:val="22"/>
              </w:rPr>
              <w:t>46,9</w:t>
            </w:r>
          </w:p>
        </w:tc>
        <w:tc>
          <w:tcPr>
            <w:tcW w:w="1418" w:type="dxa"/>
            <w:noWrap/>
            <w:hideMark/>
          </w:tcPr>
          <w:p w:rsidR="00BD5D4A" w:rsidRPr="008E3727" w:rsidRDefault="00BD5D4A" w:rsidP="00CE0D71">
            <w:pPr>
              <w:jc w:val="right"/>
              <w:rPr>
                <w:b/>
                <w:sz w:val="22"/>
                <w:szCs w:val="22"/>
              </w:rPr>
            </w:pPr>
            <w:r w:rsidRPr="008E3727">
              <w:rPr>
                <w:b/>
                <w:sz w:val="22"/>
                <w:szCs w:val="22"/>
              </w:rPr>
              <w:t>2 255 217,5</w:t>
            </w:r>
          </w:p>
        </w:tc>
      </w:tr>
      <w:tr w:rsidR="00BD5D4A" w:rsidRPr="00ED4D1B" w:rsidTr="00CE0D71">
        <w:trPr>
          <w:trHeight w:val="440"/>
        </w:trPr>
        <w:tc>
          <w:tcPr>
            <w:tcW w:w="4361" w:type="dxa"/>
            <w:hideMark/>
          </w:tcPr>
          <w:p w:rsidR="00BD5D4A" w:rsidRPr="008E3727" w:rsidRDefault="00BD5D4A" w:rsidP="00CE0D71">
            <w:pPr>
              <w:rPr>
                <w:sz w:val="22"/>
                <w:szCs w:val="22"/>
              </w:rPr>
            </w:pPr>
            <w:r w:rsidRPr="008E3727">
              <w:rPr>
                <w:sz w:val="22"/>
                <w:szCs w:val="22"/>
              </w:rPr>
              <w:t>Подпрограмма «Повышение устойчивости жилых домов, основных объектов и систем жизнеобеспечения в сейсмических районах области»</w:t>
            </w:r>
          </w:p>
        </w:tc>
        <w:tc>
          <w:tcPr>
            <w:tcW w:w="1418" w:type="dxa"/>
            <w:noWrap/>
            <w:hideMark/>
          </w:tcPr>
          <w:p w:rsidR="00BD5D4A" w:rsidRPr="008E3727" w:rsidRDefault="00BD5D4A" w:rsidP="00CE0D71">
            <w:pPr>
              <w:jc w:val="right"/>
              <w:rPr>
                <w:sz w:val="22"/>
                <w:szCs w:val="22"/>
              </w:rPr>
            </w:pPr>
            <w:r w:rsidRPr="008E3727">
              <w:rPr>
                <w:sz w:val="22"/>
                <w:szCs w:val="22"/>
              </w:rPr>
              <w:t>231 268,0</w:t>
            </w:r>
          </w:p>
        </w:tc>
        <w:tc>
          <w:tcPr>
            <w:tcW w:w="1463" w:type="dxa"/>
            <w:noWrap/>
            <w:hideMark/>
          </w:tcPr>
          <w:p w:rsidR="00BD5D4A" w:rsidRPr="008E3727" w:rsidRDefault="00BD5D4A" w:rsidP="00CE0D71">
            <w:pPr>
              <w:jc w:val="right"/>
              <w:rPr>
                <w:sz w:val="22"/>
                <w:szCs w:val="22"/>
              </w:rPr>
            </w:pPr>
            <w:r w:rsidRPr="008E3727">
              <w:rPr>
                <w:sz w:val="22"/>
                <w:szCs w:val="22"/>
              </w:rPr>
              <w:t>223 655,3</w:t>
            </w:r>
          </w:p>
        </w:tc>
        <w:tc>
          <w:tcPr>
            <w:tcW w:w="1058" w:type="dxa"/>
            <w:noWrap/>
            <w:hideMark/>
          </w:tcPr>
          <w:p w:rsidR="00BD5D4A" w:rsidRPr="008E3727" w:rsidRDefault="00BD5D4A" w:rsidP="00CE0D71">
            <w:pPr>
              <w:jc w:val="right"/>
              <w:rPr>
                <w:sz w:val="22"/>
                <w:szCs w:val="22"/>
              </w:rPr>
            </w:pPr>
            <w:r w:rsidRPr="008E3727">
              <w:rPr>
                <w:sz w:val="22"/>
                <w:szCs w:val="22"/>
              </w:rPr>
              <w:t>96,7</w:t>
            </w:r>
          </w:p>
        </w:tc>
        <w:tc>
          <w:tcPr>
            <w:tcW w:w="1418" w:type="dxa"/>
            <w:noWrap/>
            <w:hideMark/>
          </w:tcPr>
          <w:p w:rsidR="00BD5D4A" w:rsidRPr="008E3727" w:rsidRDefault="00BD5D4A" w:rsidP="00CE0D71">
            <w:pPr>
              <w:jc w:val="right"/>
              <w:rPr>
                <w:sz w:val="22"/>
                <w:szCs w:val="22"/>
              </w:rPr>
            </w:pPr>
            <w:r w:rsidRPr="008E3727">
              <w:rPr>
                <w:sz w:val="22"/>
                <w:szCs w:val="22"/>
              </w:rPr>
              <w:t>7 612,7</w:t>
            </w:r>
          </w:p>
        </w:tc>
      </w:tr>
      <w:tr w:rsidR="00BD5D4A" w:rsidRPr="00ED4D1B" w:rsidTr="00CE0D71">
        <w:trPr>
          <w:trHeight w:val="960"/>
        </w:trPr>
        <w:tc>
          <w:tcPr>
            <w:tcW w:w="4361" w:type="dxa"/>
            <w:hideMark/>
          </w:tcPr>
          <w:p w:rsidR="00BD5D4A" w:rsidRPr="008E3727" w:rsidRDefault="00BD5D4A" w:rsidP="00CE0D71">
            <w:pPr>
              <w:rPr>
                <w:sz w:val="22"/>
                <w:szCs w:val="22"/>
              </w:rPr>
            </w:pPr>
            <w:r w:rsidRPr="008E3727">
              <w:rPr>
                <w:sz w:val="22"/>
                <w:szCs w:val="22"/>
              </w:rPr>
              <w:t>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Амурской области»</w:t>
            </w:r>
          </w:p>
        </w:tc>
        <w:tc>
          <w:tcPr>
            <w:tcW w:w="1418" w:type="dxa"/>
            <w:noWrap/>
            <w:hideMark/>
          </w:tcPr>
          <w:p w:rsidR="00BD5D4A" w:rsidRPr="008E3727" w:rsidRDefault="00BD5D4A" w:rsidP="00CE0D71">
            <w:pPr>
              <w:jc w:val="right"/>
              <w:rPr>
                <w:sz w:val="22"/>
                <w:szCs w:val="22"/>
              </w:rPr>
            </w:pPr>
            <w:r w:rsidRPr="008E3727">
              <w:rPr>
                <w:sz w:val="22"/>
                <w:szCs w:val="22"/>
              </w:rPr>
              <w:t>75 000,0</w:t>
            </w:r>
          </w:p>
        </w:tc>
        <w:tc>
          <w:tcPr>
            <w:tcW w:w="1463" w:type="dxa"/>
            <w:noWrap/>
            <w:hideMark/>
          </w:tcPr>
          <w:p w:rsidR="00BD5D4A" w:rsidRPr="008E3727" w:rsidRDefault="00BD5D4A" w:rsidP="00CE0D71">
            <w:pPr>
              <w:jc w:val="right"/>
              <w:rPr>
                <w:sz w:val="22"/>
                <w:szCs w:val="22"/>
              </w:rPr>
            </w:pPr>
            <w:r w:rsidRPr="008E3727">
              <w:rPr>
                <w:sz w:val="22"/>
                <w:szCs w:val="22"/>
              </w:rPr>
              <w:t>75 000,0</w:t>
            </w:r>
          </w:p>
        </w:tc>
        <w:tc>
          <w:tcPr>
            <w:tcW w:w="1058" w:type="dxa"/>
            <w:noWrap/>
            <w:hideMark/>
          </w:tcPr>
          <w:p w:rsidR="00BD5D4A" w:rsidRPr="008E3727" w:rsidRDefault="00BD5D4A" w:rsidP="00CE0D71">
            <w:pPr>
              <w:jc w:val="right"/>
              <w:rPr>
                <w:sz w:val="22"/>
                <w:szCs w:val="22"/>
              </w:rPr>
            </w:pPr>
            <w:r w:rsidRPr="008E3727">
              <w:rPr>
                <w:sz w:val="22"/>
                <w:szCs w:val="22"/>
              </w:rPr>
              <w:t>100,0</w:t>
            </w:r>
          </w:p>
        </w:tc>
        <w:tc>
          <w:tcPr>
            <w:tcW w:w="1418" w:type="dxa"/>
            <w:noWrap/>
            <w:hideMark/>
          </w:tcPr>
          <w:p w:rsidR="00BD5D4A" w:rsidRPr="008E3727" w:rsidRDefault="00BD5D4A" w:rsidP="00CE0D71">
            <w:pPr>
              <w:jc w:val="right"/>
              <w:rPr>
                <w:sz w:val="22"/>
                <w:szCs w:val="22"/>
              </w:rPr>
            </w:pPr>
            <w:r w:rsidRPr="008E3727">
              <w:rPr>
                <w:sz w:val="22"/>
                <w:szCs w:val="22"/>
              </w:rPr>
              <w:t>0,0</w:t>
            </w:r>
          </w:p>
        </w:tc>
      </w:tr>
      <w:tr w:rsidR="00BD5D4A" w:rsidRPr="00ED4D1B" w:rsidTr="00CE0D71">
        <w:trPr>
          <w:trHeight w:val="453"/>
        </w:trPr>
        <w:tc>
          <w:tcPr>
            <w:tcW w:w="4361" w:type="dxa"/>
            <w:hideMark/>
          </w:tcPr>
          <w:p w:rsidR="00BD5D4A" w:rsidRPr="008E3727" w:rsidRDefault="00BD5D4A" w:rsidP="00CE0D71">
            <w:pPr>
              <w:rPr>
                <w:sz w:val="22"/>
                <w:szCs w:val="22"/>
              </w:rPr>
            </w:pPr>
            <w:r w:rsidRPr="008E3727">
              <w:rPr>
                <w:sz w:val="22"/>
                <w:szCs w:val="22"/>
              </w:rPr>
              <w:t>Подпрограмма «Обеспечение жильем молодых семей»</w:t>
            </w:r>
          </w:p>
        </w:tc>
        <w:tc>
          <w:tcPr>
            <w:tcW w:w="1418" w:type="dxa"/>
            <w:noWrap/>
            <w:hideMark/>
          </w:tcPr>
          <w:p w:rsidR="00BD5D4A" w:rsidRPr="008E3727" w:rsidRDefault="00BD5D4A" w:rsidP="00CE0D71">
            <w:pPr>
              <w:jc w:val="right"/>
              <w:rPr>
                <w:sz w:val="22"/>
                <w:szCs w:val="22"/>
              </w:rPr>
            </w:pPr>
            <w:r w:rsidRPr="008E3727">
              <w:rPr>
                <w:sz w:val="22"/>
                <w:szCs w:val="22"/>
              </w:rPr>
              <w:t>18 929,8</w:t>
            </w:r>
          </w:p>
        </w:tc>
        <w:tc>
          <w:tcPr>
            <w:tcW w:w="1463" w:type="dxa"/>
            <w:noWrap/>
            <w:hideMark/>
          </w:tcPr>
          <w:p w:rsidR="00BD5D4A" w:rsidRPr="008E3727" w:rsidRDefault="00BD5D4A" w:rsidP="00CE0D71">
            <w:pPr>
              <w:jc w:val="right"/>
              <w:rPr>
                <w:sz w:val="22"/>
                <w:szCs w:val="22"/>
              </w:rPr>
            </w:pPr>
            <w:r w:rsidRPr="008E3727">
              <w:rPr>
                <w:sz w:val="22"/>
                <w:szCs w:val="22"/>
              </w:rPr>
              <w:t>18 929,8</w:t>
            </w:r>
          </w:p>
        </w:tc>
        <w:tc>
          <w:tcPr>
            <w:tcW w:w="1058" w:type="dxa"/>
            <w:noWrap/>
            <w:hideMark/>
          </w:tcPr>
          <w:p w:rsidR="00BD5D4A" w:rsidRPr="008E3727" w:rsidRDefault="00BD5D4A" w:rsidP="00CE0D71">
            <w:pPr>
              <w:jc w:val="right"/>
              <w:rPr>
                <w:sz w:val="22"/>
                <w:szCs w:val="22"/>
              </w:rPr>
            </w:pPr>
            <w:r w:rsidRPr="008E3727">
              <w:rPr>
                <w:sz w:val="22"/>
                <w:szCs w:val="22"/>
              </w:rPr>
              <w:t>100,0</w:t>
            </w:r>
          </w:p>
        </w:tc>
        <w:tc>
          <w:tcPr>
            <w:tcW w:w="1418" w:type="dxa"/>
            <w:noWrap/>
            <w:hideMark/>
          </w:tcPr>
          <w:p w:rsidR="00BD5D4A" w:rsidRPr="008E3727" w:rsidRDefault="00BD5D4A" w:rsidP="00CE0D71">
            <w:pPr>
              <w:jc w:val="right"/>
              <w:rPr>
                <w:sz w:val="22"/>
                <w:szCs w:val="22"/>
              </w:rPr>
            </w:pPr>
            <w:r w:rsidRPr="008E3727">
              <w:rPr>
                <w:sz w:val="22"/>
                <w:szCs w:val="22"/>
              </w:rPr>
              <w:t>0,0</w:t>
            </w:r>
          </w:p>
        </w:tc>
      </w:tr>
      <w:tr w:rsidR="00BD5D4A" w:rsidRPr="00ED4D1B" w:rsidTr="00CE0D71">
        <w:trPr>
          <w:trHeight w:val="630"/>
        </w:trPr>
        <w:tc>
          <w:tcPr>
            <w:tcW w:w="4361" w:type="dxa"/>
            <w:hideMark/>
          </w:tcPr>
          <w:p w:rsidR="00BD5D4A" w:rsidRPr="008E3727" w:rsidRDefault="00BD5D4A" w:rsidP="00CE0D71">
            <w:pPr>
              <w:rPr>
                <w:sz w:val="22"/>
                <w:szCs w:val="22"/>
              </w:rPr>
            </w:pPr>
            <w:r w:rsidRPr="008E3727">
              <w:rPr>
                <w:sz w:val="22"/>
                <w:szCs w:val="22"/>
              </w:rPr>
              <w:t>Подпрограмма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w:t>
            </w:r>
          </w:p>
        </w:tc>
        <w:tc>
          <w:tcPr>
            <w:tcW w:w="1418" w:type="dxa"/>
            <w:noWrap/>
            <w:hideMark/>
          </w:tcPr>
          <w:p w:rsidR="00BD5D4A" w:rsidRPr="008E3727" w:rsidRDefault="00BD5D4A" w:rsidP="00CE0D71">
            <w:pPr>
              <w:jc w:val="right"/>
              <w:rPr>
                <w:sz w:val="22"/>
                <w:szCs w:val="22"/>
              </w:rPr>
            </w:pPr>
            <w:r w:rsidRPr="008E3727">
              <w:rPr>
                <w:sz w:val="22"/>
                <w:szCs w:val="22"/>
              </w:rPr>
              <w:t>3 197 023,3</w:t>
            </w:r>
          </w:p>
        </w:tc>
        <w:tc>
          <w:tcPr>
            <w:tcW w:w="1463" w:type="dxa"/>
            <w:noWrap/>
            <w:hideMark/>
          </w:tcPr>
          <w:p w:rsidR="00BD5D4A" w:rsidRPr="008E3727" w:rsidRDefault="00BD5D4A" w:rsidP="00CE0D71">
            <w:pPr>
              <w:jc w:val="right"/>
              <w:rPr>
                <w:sz w:val="22"/>
                <w:szCs w:val="22"/>
              </w:rPr>
            </w:pPr>
            <w:r w:rsidRPr="008E3727">
              <w:rPr>
                <w:sz w:val="22"/>
                <w:szCs w:val="22"/>
              </w:rPr>
              <w:t>1 014 049,5</w:t>
            </w:r>
          </w:p>
        </w:tc>
        <w:tc>
          <w:tcPr>
            <w:tcW w:w="1058" w:type="dxa"/>
            <w:noWrap/>
            <w:hideMark/>
          </w:tcPr>
          <w:p w:rsidR="00BD5D4A" w:rsidRPr="008E3727" w:rsidRDefault="00BD5D4A" w:rsidP="00CE0D71">
            <w:pPr>
              <w:jc w:val="right"/>
              <w:rPr>
                <w:sz w:val="22"/>
                <w:szCs w:val="22"/>
              </w:rPr>
            </w:pPr>
            <w:r w:rsidRPr="008E3727">
              <w:rPr>
                <w:sz w:val="22"/>
                <w:szCs w:val="22"/>
              </w:rPr>
              <w:t>31,7</w:t>
            </w:r>
          </w:p>
        </w:tc>
        <w:tc>
          <w:tcPr>
            <w:tcW w:w="1418" w:type="dxa"/>
            <w:noWrap/>
            <w:hideMark/>
          </w:tcPr>
          <w:p w:rsidR="00BD5D4A" w:rsidRPr="008E3727" w:rsidRDefault="00BD5D4A" w:rsidP="00CE0D71">
            <w:pPr>
              <w:jc w:val="right"/>
              <w:rPr>
                <w:sz w:val="22"/>
                <w:szCs w:val="22"/>
              </w:rPr>
            </w:pPr>
            <w:r w:rsidRPr="008E3727">
              <w:rPr>
                <w:sz w:val="22"/>
                <w:szCs w:val="22"/>
              </w:rPr>
              <w:t>2 182 973,8</w:t>
            </w:r>
          </w:p>
        </w:tc>
      </w:tr>
      <w:tr w:rsidR="00BD5D4A" w:rsidRPr="00ED4D1B" w:rsidTr="00CE0D71">
        <w:trPr>
          <w:trHeight w:val="675"/>
        </w:trPr>
        <w:tc>
          <w:tcPr>
            <w:tcW w:w="4361" w:type="dxa"/>
            <w:hideMark/>
          </w:tcPr>
          <w:p w:rsidR="00BD5D4A" w:rsidRPr="008E3727" w:rsidRDefault="00BD5D4A" w:rsidP="00CE0D71">
            <w:pPr>
              <w:rPr>
                <w:sz w:val="22"/>
                <w:szCs w:val="22"/>
              </w:rPr>
            </w:pPr>
            <w:r w:rsidRPr="008E3727">
              <w:rPr>
                <w:sz w:val="22"/>
                <w:szCs w:val="22"/>
              </w:rPr>
              <w:lastRenderedPageBreak/>
              <w:t>Подпрограмма «Улучшение жилищных условий отдельных категорий граждан, проживающих на территории области»</w:t>
            </w:r>
          </w:p>
        </w:tc>
        <w:tc>
          <w:tcPr>
            <w:tcW w:w="1418" w:type="dxa"/>
            <w:noWrap/>
            <w:hideMark/>
          </w:tcPr>
          <w:p w:rsidR="00BD5D4A" w:rsidRPr="008E3727" w:rsidRDefault="00BD5D4A" w:rsidP="00CE0D71">
            <w:pPr>
              <w:jc w:val="right"/>
              <w:rPr>
                <w:sz w:val="22"/>
                <w:szCs w:val="22"/>
              </w:rPr>
            </w:pPr>
            <w:r w:rsidRPr="008E3727">
              <w:rPr>
                <w:sz w:val="22"/>
                <w:szCs w:val="22"/>
              </w:rPr>
              <w:t>230 130,9</w:t>
            </w:r>
          </w:p>
        </w:tc>
        <w:tc>
          <w:tcPr>
            <w:tcW w:w="1463" w:type="dxa"/>
            <w:noWrap/>
            <w:hideMark/>
          </w:tcPr>
          <w:p w:rsidR="00BD5D4A" w:rsidRPr="008E3727" w:rsidRDefault="00BD5D4A" w:rsidP="00CE0D71">
            <w:pPr>
              <w:jc w:val="right"/>
              <w:rPr>
                <w:sz w:val="22"/>
                <w:szCs w:val="22"/>
              </w:rPr>
            </w:pPr>
            <w:r w:rsidRPr="008E3727">
              <w:rPr>
                <w:sz w:val="22"/>
                <w:szCs w:val="22"/>
              </w:rPr>
              <w:t>229 027,4</w:t>
            </w:r>
          </w:p>
        </w:tc>
        <w:tc>
          <w:tcPr>
            <w:tcW w:w="1058" w:type="dxa"/>
            <w:noWrap/>
            <w:hideMark/>
          </w:tcPr>
          <w:p w:rsidR="00BD5D4A" w:rsidRPr="008E3727" w:rsidRDefault="00BD5D4A" w:rsidP="00CE0D71">
            <w:pPr>
              <w:jc w:val="right"/>
              <w:rPr>
                <w:sz w:val="22"/>
                <w:szCs w:val="22"/>
              </w:rPr>
            </w:pPr>
            <w:r w:rsidRPr="008E3727">
              <w:rPr>
                <w:sz w:val="22"/>
                <w:szCs w:val="22"/>
              </w:rPr>
              <w:t>99,5</w:t>
            </w:r>
          </w:p>
        </w:tc>
        <w:tc>
          <w:tcPr>
            <w:tcW w:w="1418" w:type="dxa"/>
            <w:noWrap/>
            <w:hideMark/>
          </w:tcPr>
          <w:p w:rsidR="00BD5D4A" w:rsidRPr="008E3727" w:rsidRDefault="00BD5D4A" w:rsidP="00CE0D71">
            <w:pPr>
              <w:jc w:val="right"/>
              <w:rPr>
                <w:sz w:val="22"/>
                <w:szCs w:val="22"/>
              </w:rPr>
            </w:pPr>
            <w:r w:rsidRPr="008E3727">
              <w:rPr>
                <w:sz w:val="22"/>
                <w:szCs w:val="22"/>
              </w:rPr>
              <w:t>1 103,5</w:t>
            </w:r>
          </w:p>
        </w:tc>
      </w:tr>
      <w:tr w:rsidR="00BD5D4A" w:rsidRPr="00ED4D1B" w:rsidTr="00CE0D71">
        <w:trPr>
          <w:trHeight w:val="945"/>
        </w:trPr>
        <w:tc>
          <w:tcPr>
            <w:tcW w:w="4361" w:type="dxa"/>
            <w:hideMark/>
          </w:tcPr>
          <w:p w:rsidR="00BD5D4A" w:rsidRPr="008E3727" w:rsidRDefault="00BD5D4A" w:rsidP="00CE0D71">
            <w:pPr>
              <w:rPr>
                <w:sz w:val="22"/>
                <w:szCs w:val="22"/>
              </w:rPr>
            </w:pPr>
            <w:r w:rsidRPr="008E3727">
              <w:rPr>
                <w:sz w:val="22"/>
                <w:szCs w:val="22"/>
              </w:rPr>
              <w:t>Подпрограмма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1418" w:type="dxa"/>
            <w:noWrap/>
            <w:hideMark/>
          </w:tcPr>
          <w:p w:rsidR="00BD5D4A" w:rsidRPr="008E3727" w:rsidRDefault="00BD5D4A" w:rsidP="00CE0D71">
            <w:pPr>
              <w:jc w:val="right"/>
              <w:rPr>
                <w:sz w:val="22"/>
                <w:szCs w:val="22"/>
              </w:rPr>
            </w:pPr>
            <w:r w:rsidRPr="008E3727">
              <w:rPr>
                <w:sz w:val="22"/>
                <w:szCs w:val="22"/>
              </w:rPr>
              <w:t>234 971,8</w:t>
            </w:r>
          </w:p>
        </w:tc>
        <w:tc>
          <w:tcPr>
            <w:tcW w:w="1463" w:type="dxa"/>
            <w:noWrap/>
            <w:hideMark/>
          </w:tcPr>
          <w:p w:rsidR="00BD5D4A" w:rsidRPr="008E3727" w:rsidRDefault="00BD5D4A" w:rsidP="00CE0D71">
            <w:pPr>
              <w:jc w:val="right"/>
              <w:rPr>
                <w:sz w:val="22"/>
                <w:szCs w:val="22"/>
              </w:rPr>
            </w:pPr>
            <w:r w:rsidRPr="008E3727">
              <w:rPr>
                <w:sz w:val="22"/>
                <w:szCs w:val="22"/>
              </w:rPr>
              <w:t>234 489,1</w:t>
            </w:r>
          </w:p>
        </w:tc>
        <w:tc>
          <w:tcPr>
            <w:tcW w:w="1058" w:type="dxa"/>
            <w:noWrap/>
            <w:hideMark/>
          </w:tcPr>
          <w:p w:rsidR="00BD5D4A" w:rsidRPr="008E3727" w:rsidRDefault="00BD5D4A" w:rsidP="00CE0D71">
            <w:pPr>
              <w:jc w:val="right"/>
              <w:rPr>
                <w:sz w:val="22"/>
                <w:szCs w:val="22"/>
              </w:rPr>
            </w:pPr>
            <w:r w:rsidRPr="008E3727">
              <w:rPr>
                <w:sz w:val="22"/>
                <w:szCs w:val="22"/>
              </w:rPr>
              <w:t>99,8</w:t>
            </w:r>
          </w:p>
        </w:tc>
        <w:tc>
          <w:tcPr>
            <w:tcW w:w="1418" w:type="dxa"/>
            <w:noWrap/>
            <w:hideMark/>
          </w:tcPr>
          <w:p w:rsidR="00BD5D4A" w:rsidRPr="008E3727" w:rsidRDefault="00BD5D4A" w:rsidP="00CE0D71">
            <w:pPr>
              <w:jc w:val="right"/>
              <w:rPr>
                <w:sz w:val="22"/>
                <w:szCs w:val="22"/>
              </w:rPr>
            </w:pPr>
            <w:r w:rsidRPr="008E3727">
              <w:rPr>
                <w:sz w:val="22"/>
                <w:szCs w:val="22"/>
              </w:rPr>
              <w:t>482,7</w:t>
            </w:r>
          </w:p>
        </w:tc>
      </w:tr>
      <w:tr w:rsidR="00BD5D4A" w:rsidRPr="00ED4D1B" w:rsidTr="00CE0D71">
        <w:trPr>
          <w:trHeight w:val="644"/>
        </w:trPr>
        <w:tc>
          <w:tcPr>
            <w:tcW w:w="4361" w:type="dxa"/>
            <w:hideMark/>
          </w:tcPr>
          <w:p w:rsidR="00BD5D4A" w:rsidRPr="008E3727" w:rsidRDefault="00BD5D4A" w:rsidP="00CE0D71">
            <w:pPr>
              <w:rPr>
                <w:sz w:val="22"/>
                <w:szCs w:val="22"/>
              </w:rPr>
            </w:pPr>
            <w:r w:rsidRPr="008E3727">
              <w:rPr>
                <w:sz w:val="22"/>
                <w:szCs w:val="22"/>
              </w:rPr>
              <w:t>Подпрограмма «Развитие ипотечного жилищного кредитования в Амурской области»</w:t>
            </w:r>
          </w:p>
        </w:tc>
        <w:tc>
          <w:tcPr>
            <w:tcW w:w="1418" w:type="dxa"/>
            <w:noWrap/>
            <w:hideMark/>
          </w:tcPr>
          <w:p w:rsidR="00BD5D4A" w:rsidRPr="008E3727" w:rsidRDefault="00BD5D4A" w:rsidP="00CE0D71">
            <w:pPr>
              <w:jc w:val="right"/>
              <w:rPr>
                <w:sz w:val="22"/>
                <w:szCs w:val="22"/>
              </w:rPr>
            </w:pPr>
            <w:r w:rsidRPr="008E3727">
              <w:rPr>
                <w:sz w:val="22"/>
                <w:szCs w:val="22"/>
              </w:rPr>
              <w:t>129 832,3</w:t>
            </w:r>
          </w:p>
        </w:tc>
        <w:tc>
          <w:tcPr>
            <w:tcW w:w="1463" w:type="dxa"/>
            <w:noWrap/>
            <w:hideMark/>
          </w:tcPr>
          <w:p w:rsidR="00BD5D4A" w:rsidRPr="008E3727" w:rsidRDefault="00BD5D4A" w:rsidP="00CE0D71">
            <w:pPr>
              <w:jc w:val="right"/>
              <w:rPr>
                <w:sz w:val="22"/>
                <w:szCs w:val="22"/>
              </w:rPr>
            </w:pPr>
            <w:r w:rsidRPr="008E3727">
              <w:rPr>
                <w:sz w:val="22"/>
                <w:szCs w:val="22"/>
              </w:rPr>
              <w:t>129 082,3</w:t>
            </w:r>
          </w:p>
        </w:tc>
        <w:tc>
          <w:tcPr>
            <w:tcW w:w="1058" w:type="dxa"/>
            <w:noWrap/>
            <w:hideMark/>
          </w:tcPr>
          <w:p w:rsidR="00BD5D4A" w:rsidRPr="008E3727" w:rsidRDefault="00BD5D4A" w:rsidP="00CE0D71">
            <w:pPr>
              <w:jc w:val="right"/>
              <w:rPr>
                <w:sz w:val="22"/>
                <w:szCs w:val="22"/>
              </w:rPr>
            </w:pPr>
            <w:r w:rsidRPr="008E3727">
              <w:rPr>
                <w:sz w:val="22"/>
                <w:szCs w:val="22"/>
              </w:rPr>
              <w:t>99,4</w:t>
            </w:r>
          </w:p>
        </w:tc>
        <w:tc>
          <w:tcPr>
            <w:tcW w:w="1418" w:type="dxa"/>
            <w:noWrap/>
            <w:hideMark/>
          </w:tcPr>
          <w:p w:rsidR="00BD5D4A" w:rsidRPr="008E3727" w:rsidRDefault="00BD5D4A" w:rsidP="00CE0D71">
            <w:pPr>
              <w:jc w:val="right"/>
              <w:rPr>
                <w:sz w:val="22"/>
                <w:szCs w:val="22"/>
              </w:rPr>
            </w:pPr>
            <w:r w:rsidRPr="008E3727">
              <w:rPr>
                <w:sz w:val="22"/>
                <w:szCs w:val="22"/>
              </w:rPr>
              <w:t>750,0</w:t>
            </w:r>
          </w:p>
        </w:tc>
      </w:tr>
      <w:tr w:rsidR="00BD5D4A" w:rsidRPr="00ED4D1B" w:rsidTr="00CE0D71">
        <w:trPr>
          <w:trHeight w:val="780"/>
        </w:trPr>
        <w:tc>
          <w:tcPr>
            <w:tcW w:w="4361" w:type="dxa"/>
            <w:hideMark/>
          </w:tcPr>
          <w:p w:rsidR="00BD5D4A" w:rsidRPr="008E3727" w:rsidRDefault="00BD5D4A" w:rsidP="00CE0D71">
            <w:pPr>
              <w:rPr>
                <w:sz w:val="22"/>
                <w:szCs w:val="22"/>
              </w:rPr>
            </w:pPr>
            <w:r w:rsidRPr="008E3727">
              <w:rPr>
                <w:sz w:val="22"/>
                <w:szCs w:val="22"/>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418" w:type="dxa"/>
            <w:noWrap/>
            <w:hideMark/>
          </w:tcPr>
          <w:p w:rsidR="00BD5D4A" w:rsidRPr="008E3727" w:rsidRDefault="00BD5D4A" w:rsidP="00CE0D71">
            <w:pPr>
              <w:jc w:val="right"/>
              <w:rPr>
                <w:sz w:val="22"/>
                <w:szCs w:val="22"/>
              </w:rPr>
            </w:pPr>
            <w:r w:rsidRPr="008E3727">
              <w:rPr>
                <w:sz w:val="22"/>
                <w:szCs w:val="22"/>
              </w:rPr>
              <w:t>58 546,6</w:t>
            </w:r>
          </w:p>
        </w:tc>
        <w:tc>
          <w:tcPr>
            <w:tcW w:w="1463" w:type="dxa"/>
            <w:noWrap/>
            <w:hideMark/>
          </w:tcPr>
          <w:p w:rsidR="00BD5D4A" w:rsidRPr="008E3727" w:rsidRDefault="00BD5D4A" w:rsidP="00CE0D71">
            <w:pPr>
              <w:jc w:val="right"/>
              <w:rPr>
                <w:sz w:val="22"/>
                <w:szCs w:val="22"/>
              </w:rPr>
            </w:pPr>
            <w:r w:rsidRPr="008E3727">
              <w:rPr>
                <w:sz w:val="22"/>
                <w:szCs w:val="22"/>
              </w:rPr>
              <w:t>57 284,7</w:t>
            </w:r>
          </w:p>
        </w:tc>
        <w:tc>
          <w:tcPr>
            <w:tcW w:w="1058" w:type="dxa"/>
            <w:noWrap/>
            <w:hideMark/>
          </w:tcPr>
          <w:p w:rsidR="00BD5D4A" w:rsidRPr="008E3727" w:rsidRDefault="00BD5D4A" w:rsidP="00CE0D71">
            <w:pPr>
              <w:jc w:val="right"/>
              <w:rPr>
                <w:sz w:val="22"/>
                <w:szCs w:val="22"/>
              </w:rPr>
            </w:pPr>
            <w:r w:rsidRPr="008E3727">
              <w:rPr>
                <w:sz w:val="22"/>
                <w:szCs w:val="22"/>
              </w:rPr>
              <w:t>97,8</w:t>
            </w:r>
          </w:p>
        </w:tc>
        <w:tc>
          <w:tcPr>
            <w:tcW w:w="1418" w:type="dxa"/>
            <w:noWrap/>
            <w:hideMark/>
          </w:tcPr>
          <w:p w:rsidR="00BD5D4A" w:rsidRPr="008E3727" w:rsidRDefault="00BD5D4A" w:rsidP="00CE0D71">
            <w:pPr>
              <w:jc w:val="right"/>
              <w:rPr>
                <w:sz w:val="22"/>
                <w:szCs w:val="22"/>
              </w:rPr>
            </w:pPr>
            <w:r w:rsidRPr="008E3727">
              <w:rPr>
                <w:sz w:val="22"/>
                <w:szCs w:val="22"/>
              </w:rPr>
              <w:t>1 261,9</w:t>
            </w:r>
          </w:p>
        </w:tc>
      </w:tr>
      <w:tr w:rsidR="00BD5D4A" w:rsidRPr="00ED4D1B" w:rsidTr="00CE0D71">
        <w:trPr>
          <w:trHeight w:val="1156"/>
        </w:trPr>
        <w:tc>
          <w:tcPr>
            <w:tcW w:w="4361" w:type="dxa"/>
            <w:hideMark/>
          </w:tcPr>
          <w:p w:rsidR="00BD5D4A" w:rsidRPr="008E3727" w:rsidRDefault="00BD5D4A" w:rsidP="00CE0D71">
            <w:pPr>
              <w:rPr>
                <w:sz w:val="22"/>
                <w:szCs w:val="22"/>
              </w:rPr>
            </w:pPr>
            <w:r w:rsidRPr="008E3727">
              <w:rPr>
                <w:sz w:val="22"/>
                <w:szCs w:val="22"/>
              </w:rPr>
              <w:t>Подпрограмма «Реализация мер социальной поддержки граждан Амурской области, признанных в установленном порядке пострадавшими в результате чрезвычайной ситуации, вызванной крупномасштабным наводнением в августе-сентябре 2013 года»</w:t>
            </w:r>
          </w:p>
        </w:tc>
        <w:tc>
          <w:tcPr>
            <w:tcW w:w="1418" w:type="dxa"/>
            <w:noWrap/>
            <w:hideMark/>
          </w:tcPr>
          <w:p w:rsidR="00BD5D4A" w:rsidRPr="008E3727" w:rsidRDefault="00BD5D4A" w:rsidP="00CE0D71">
            <w:pPr>
              <w:jc w:val="right"/>
              <w:rPr>
                <w:sz w:val="22"/>
                <w:szCs w:val="22"/>
              </w:rPr>
            </w:pPr>
            <w:r w:rsidRPr="008E3727">
              <w:rPr>
                <w:sz w:val="22"/>
                <w:szCs w:val="22"/>
              </w:rPr>
              <w:t>75 096,1</w:t>
            </w:r>
          </w:p>
        </w:tc>
        <w:tc>
          <w:tcPr>
            <w:tcW w:w="1463" w:type="dxa"/>
            <w:noWrap/>
            <w:hideMark/>
          </w:tcPr>
          <w:p w:rsidR="00BD5D4A" w:rsidRPr="008E3727" w:rsidRDefault="00BD5D4A" w:rsidP="00CE0D71">
            <w:pPr>
              <w:jc w:val="right"/>
              <w:rPr>
                <w:sz w:val="22"/>
                <w:szCs w:val="22"/>
              </w:rPr>
            </w:pPr>
            <w:r w:rsidRPr="008E3727">
              <w:rPr>
                <w:sz w:val="22"/>
                <w:szCs w:val="22"/>
              </w:rPr>
              <w:t>14 063,2</w:t>
            </w:r>
          </w:p>
        </w:tc>
        <w:tc>
          <w:tcPr>
            <w:tcW w:w="1058" w:type="dxa"/>
            <w:noWrap/>
            <w:hideMark/>
          </w:tcPr>
          <w:p w:rsidR="00BD5D4A" w:rsidRPr="008E3727" w:rsidRDefault="00BD5D4A" w:rsidP="00CE0D71">
            <w:pPr>
              <w:jc w:val="right"/>
              <w:rPr>
                <w:sz w:val="22"/>
                <w:szCs w:val="22"/>
              </w:rPr>
            </w:pPr>
            <w:r w:rsidRPr="008E3727">
              <w:rPr>
                <w:sz w:val="22"/>
                <w:szCs w:val="22"/>
              </w:rPr>
              <w:t>18,7</w:t>
            </w:r>
          </w:p>
        </w:tc>
        <w:tc>
          <w:tcPr>
            <w:tcW w:w="1418" w:type="dxa"/>
            <w:noWrap/>
            <w:hideMark/>
          </w:tcPr>
          <w:p w:rsidR="00BD5D4A" w:rsidRPr="008E3727" w:rsidRDefault="00BD5D4A" w:rsidP="00CE0D71">
            <w:pPr>
              <w:jc w:val="right"/>
              <w:rPr>
                <w:sz w:val="22"/>
                <w:szCs w:val="22"/>
              </w:rPr>
            </w:pPr>
            <w:r w:rsidRPr="008E3727">
              <w:rPr>
                <w:sz w:val="22"/>
                <w:szCs w:val="22"/>
              </w:rPr>
              <w:t>61 032,9</w:t>
            </w:r>
          </w:p>
        </w:tc>
      </w:tr>
    </w:tbl>
    <w:p w:rsidR="00BD5D4A" w:rsidRPr="00BD5D4A" w:rsidRDefault="00BD5D4A" w:rsidP="00F60552">
      <w:pPr>
        <w:pStyle w:val="afa"/>
        <w:numPr>
          <w:ilvl w:val="0"/>
          <w:numId w:val="7"/>
        </w:numPr>
        <w:ind w:left="0" w:firstLine="709"/>
        <w:jc w:val="both"/>
        <w:rPr>
          <w:i/>
          <w:sz w:val="24"/>
          <w:szCs w:val="24"/>
        </w:rPr>
      </w:pPr>
      <w:r w:rsidRPr="00BD5D4A">
        <w:rPr>
          <w:i/>
          <w:sz w:val="24"/>
          <w:szCs w:val="24"/>
        </w:rPr>
        <w:t>Подпрограмма «Повышение устойчивости жилых домов, основных объектов и систем жизнеобеспечения в сейсмических районах области»</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Бюджетные ассигнования по подпрограмме «Повышение устойчивости жилых домов, основных объектов и систем жизнеобеспечения в сейсмических районах области» утверждены в расходах областного бюджета по целевой статье расходов 0710000 в сумме 231268,0 тыс. рублей. В общем объеме расходов государственной программы доля расходов по данной подпрограмме составляет 5,4 процента.</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96,7 процента (объем неисполненных ассигнований составил </w:t>
      </w:r>
      <w:r w:rsidRPr="00BD5D4A">
        <w:rPr>
          <w:rFonts w:ascii="Times New Roman" w:hAnsi="Times New Roman" w:cs="Times New Roman"/>
          <w:sz w:val="24"/>
          <w:szCs w:val="24"/>
        </w:rPr>
        <w:br/>
        <w:t>7612,7 тыс. рублей).</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В 2015 году по данной подпрограмме финансировалось мероприятие «Строительство сейсмостойких жилых домов в Амурской области, в том числе:</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за счет областного бюджета при плане 107021,6 тыс. рублей исполнено 99408,9 тыс. рублей, или 92,9 процента;</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за счет федерального бюджета при плане 124246,4 тыс. рублей исполнение составило 100,0 процентов – в рамках реализации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2009-2018 годы».</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Мероприятия предусматривают строительство новых сейсмостойких объектов в г.Тында взамен объектов, сейсмоусиление или реконструкция которых экономически нецелесообразны, с учетом уточненного и научно обоснованного уровня сейсмической опасности территории.</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2015 год, показатель результативности, установленный в качестве строительства 11 тыс. кв.м площади построенных объектов, достигнут.</w:t>
      </w:r>
    </w:p>
    <w:p w:rsidR="00BD5D4A" w:rsidRPr="00BD5D4A" w:rsidRDefault="00BD5D4A" w:rsidP="00F60552">
      <w:pPr>
        <w:pStyle w:val="afa"/>
        <w:numPr>
          <w:ilvl w:val="0"/>
          <w:numId w:val="7"/>
        </w:numPr>
        <w:ind w:left="0" w:firstLine="709"/>
        <w:jc w:val="both"/>
        <w:rPr>
          <w:i/>
          <w:sz w:val="24"/>
          <w:szCs w:val="24"/>
        </w:rPr>
      </w:pPr>
      <w:r w:rsidRPr="00BD5D4A">
        <w:rPr>
          <w:i/>
          <w:sz w:val="24"/>
          <w:szCs w:val="24"/>
        </w:rPr>
        <w:t>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Амурской области»</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lastRenderedPageBreak/>
        <w:t>Бюджетные ассигнования по подпрограмме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Амурской области» утверждены в расходах областного бюджета по целевой статье расходов 0730000 в сумме 75000,0 тыс. рублей - средства федерального бюджета.</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 xml:space="preserve">Уровень исполнения расходов, предусмотренных на реализацию подпрограммы, составил 100,0 процентов. </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Подпрограммой предусмотрено приобретение жилых помещений экономического класса на первичном и (или) вторичном рынках жилья в целях переселения граждан из ветхого жилищного фонда.</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В качестве показателя результативности по данному мероприятию определено приобретение жилых помещений на первичном и (или) вторичном рынках жилья в количестве 1828,6 кв.м. Фактически приобретено 1403,4 кв.м, или 76,7 процента плана, что согласно пояснениям, представленным в сводном годовом докладе о ходе реализации и об оценке эффективности государственных программ области одновременно с годовым отчетом об исполнении областного бюджета за 2015 год, связано с ограниченностью рынка вторичного жилья в зоне БАМа, а также поздним поступлением средств из федерального бюджета в бюджет области.</w:t>
      </w:r>
    </w:p>
    <w:p w:rsidR="00BD5D4A" w:rsidRPr="00BD5D4A" w:rsidRDefault="00BD5D4A" w:rsidP="00F60552">
      <w:pPr>
        <w:pStyle w:val="afa"/>
        <w:numPr>
          <w:ilvl w:val="0"/>
          <w:numId w:val="7"/>
        </w:numPr>
        <w:ind w:left="0" w:firstLine="709"/>
        <w:jc w:val="both"/>
        <w:rPr>
          <w:i/>
          <w:sz w:val="24"/>
          <w:szCs w:val="24"/>
        </w:rPr>
      </w:pPr>
      <w:r w:rsidRPr="00BD5D4A">
        <w:rPr>
          <w:i/>
          <w:sz w:val="24"/>
          <w:szCs w:val="24"/>
        </w:rPr>
        <w:t>Подпрограмма «Обеспечение жильем молодых семей»</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 xml:space="preserve">Бюджетные ассигнования по подпрограмме «Обеспечение жильем молодых семей» утверждены в расходах областного бюджета по целевой статье расходов 0740000 в сумме 18929,8 тыс. рублей. </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Подпрограммой предусмотрено предоставление межбюджетных трансфертов муниципальным образованиям области на реализацию мероприятий по предоставлению социальных выплат молодым семьям на приобретение (строительство) жилья в сумме 18749,8 тыс. рублей (исполнение на уровне 100,0 процентов).</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Данное мероприятие финансировалось за счет средств федерального бюджета в сумме 8749,8 тыс. рублей и областного бюджета в сумме 10000,0 тыс. рублей.</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Кроме того, подпрограммой предусмотрено 180,0 тыс. рублей на предоставление социальных выплат молодым семьям при рождении (усыновлении) ребенка для компенсации расходов на приобретение (строительство) жилья – расходы профинансированы в полном объеме.</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2015 год, установленные показатели результативности – число молодых семей – участников подпрограммы в количестве 29 и 1, соответственно, достигнуты.</w:t>
      </w:r>
    </w:p>
    <w:p w:rsidR="00BD5D4A" w:rsidRPr="00BD5D4A" w:rsidRDefault="00BD5D4A" w:rsidP="00F60552">
      <w:pPr>
        <w:pStyle w:val="afa"/>
        <w:numPr>
          <w:ilvl w:val="0"/>
          <w:numId w:val="7"/>
        </w:numPr>
        <w:ind w:left="0" w:firstLine="709"/>
        <w:jc w:val="both"/>
        <w:rPr>
          <w:i/>
          <w:sz w:val="24"/>
          <w:szCs w:val="24"/>
        </w:rPr>
      </w:pPr>
      <w:r w:rsidRPr="00BD5D4A">
        <w:rPr>
          <w:i/>
          <w:sz w:val="24"/>
          <w:szCs w:val="24"/>
        </w:rPr>
        <w:t>Подпрограмма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 xml:space="preserve">Бюджетные ассигнования по подпрограмме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утверждены в расходах областного бюджета по целевой статье расходов 0750000 в сумме 3197023,3 тыс. рублей. В общем объеме расходов государственной программы доля расходов по данной подпрограмме составляет </w:t>
      </w:r>
      <w:r w:rsidRPr="00BD5D4A">
        <w:rPr>
          <w:rFonts w:ascii="Times New Roman" w:hAnsi="Times New Roman" w:cs="Times New Roman"/>
          <w:sz w:val="24"/>
          <w:szCs w:val="24"/>
        </w:rPr>
        <w:br/>
        <w:t>75,2 процента.</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 xml:space="preserve">Системой мероприятий по данной подпрограмме предусмотрено предоставление межбюджетных трансфертов муниципальным образованиям области на строительство жилых домов, в том числе малоэтажных, на территории Амурской области. </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31,7 процента (объем неисполненных ассигнований составил 2182973,8 тыс. рублей).</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lastRenderedPageBreak/>
        <w:t>Наиболее низкое исполнение сложилось по программному мероприятию «Обеспечение мероприятий по переселению граждан из аварийного жилищного фонда», финансируемого из средств фонда содействия реформированию жилищно-коммунального хозяйства: при плане 1957028,9 тыс. рублей, исполнение составило 375055,1 тыс. рублей, или 19,2 процента.</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b/>
          <w:i/>
          <w:sz w:val="24"/>
          <w:szCs w:val="24"/>
        </w:rPr>
        <w:t>Контрольно-счетная палата обращает внимание на недостоверность показателей, отраженных по данной подпрограмме в сводном годовом докладе о ходе реализации и об оценке эффективности государственных программ области, представленном одновременно с годовым отчетом об исполнении областного бюджета за 2015 год:</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 xml:space="preserve">1)Общий объем бюджетных ассигнований, утвержденных сводной бюджетной росписью расходов областного бюджета на 2015 год, по данной подпрограмме составляет 3197023,3 тыс. рублей. В сводном годовом докладе плановый объем бюджетных назначений отражен в сумме 3196713,6 тыс. рублей (занижение плановых показателей составило </w:t>
      </w:r>
      <w:r w:rsidRPr="00BD5D4A">
        <w:rPr>
          <w:rFonts w:ascii="Times New Roman" w:hAnsi="Times New Roman" w:cs="Times New Roman"/>
          <w:sz w:val="24"/>
          <w:szCs w:val="24"/>
        </w:rPr>
        <w:br/>
        <w:t>309,7 тыс. рублей).</w:t>
      </w:r>
    </w:p>
    <w:p w:rsidR="00BD5D4A" w:rsidRPr="00BD5D4A" w:rsidRDefault="001B5FEB" w:rsidP="00BD5D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D5D4A" w:rsidRPr="00BD5D4A">
        <w:rPr>
          <w:rFonts w:ascii="Times New Roman" w:hAnsi="Times New Roman" w:cs="Times New Roman"/>
          <w:sz w:val="24"/>
          <w:szCs w:val="24"/>
        </w:rPr>
        <w:t>Объем исполненных назначений по данной подпрограмме, согласно проекту закона об исполнении областного бюджета за 2015 год, составил 1014049,5 тыс. рублей. В сводном годовом докладе объем исполненных назначений отражен в сумме 611637,6 тыс. рублей (занижение отчетных данных об исполнении составило 402411,9 тыс. рублей).</w:t>
      </w:r>
    </w:p>
    <w:p w:rsidR="00BD5D4A" w:rsidRPr="00BD5D4A" w:rsidRDefault="00BD5D4A" w:rsidP="00F60552">
      <w:pPr>
        <w:pStyle w:val="afa"/>
        <w:numPr>
          <w:ilvl w:val="0"/>
          <w:numId w:val="7"/>
        </w:numPr>
        <w:ind w:left="0" w:firstLine="709"/>
        <w:jc w:val="both"/>
        <w:rPr>
          <w:i/>
          <w:sz w:val="24"/>
          <w:szCs w:val="24"/>
        </w:rPr>
      </w:pPr>
      <w:r w:rsidRPr="00BD5D4A">
        <w:rPr>
          <w:i/>
          <w:sz w:val="24"/>
          <w:szCs w:val="24"/>
        </w:rPr>
        <w:t>Подпрограмма «Улучшение жилищных условий отдельных категорий граждан, проживающих на территории области»</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Бюджетные ассигнования по подпрограмме «Улучшение жилищных условий отдельных категорий граждан, проживающих на территории области» утверждены в расходах областного бюджета по целевой статье расходов 0760000 в сумме 230130,9 тыс. рублей. В общем объеме расходов государственной программы доля расходов по данной подпрограмме составляет 5,4 процента.</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99,5 процента (объем неисполненных ассигнований составил </w:t>
      </w:r>
      <w:r w:rsidRPr="00BD5D4A">
        <w:rPr>
          <w:rFonts w:ascii="Times New Roman" w:hAnsi="Times New Roman" w:cs="Times New Roman"/>
          <w:sz w:val="24"/>
          <w:szCs w:val="24"/>
        </w:rPr>
        <w:br/>
        <w:t>1103,5 тыс. рублей).</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Система программных мероприятий по данной подпрограмме предусматривает следующие мероприятия:</w:t>
      </w:r>
    </w:p>
    <w:p w:rsidR="00BD5D4A" w:rsidRPr="001B5FEB" w:rsidRDefault="00BD5D4A" w:rsidP="0014690C">
      <w:pPr>
        <w:pStyle w:val="afa"/>
        <w:numPr>
          <w:ilvl w:val="0"/>
          <w:numId w:val="37"/>
        </w:numPr>
        <w:tabs>
          <w:tab w:val="left" w:pos="993"/>
        </w:tabs>
        <w:ind w:left="0" w:firstLine="709"/>
        <w:jc w:val="both"/>
        <w:rPr>
          <w:sz w:val="24"/>
          <w:szCs w:val="24"/>
        </w:rPr>
      </w:pPr>
      <w:r w:rsidRPr="001B5FEB">
        <w:rPr>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 при плане 50404,5 тыс. рублей исполнение составило 50002,8 тыс. рублей, или 99,2 процента;</w:t>
      </w:r>
    </w:p>
    <w:p w:rsidR="00BD5D4A" w:rsidRPr="001B5FEB" w:rsidRDefault="00BD5D4A" w:rsidP="0014690C">
      <w:pPr>
        <w:pStyle w:val="afa"/>
        <w:numPr>
          <w:ilvl w:val="0"/>
          <w:numId w:val="37"/>
        </w:numPr>
        <w:tabs>
          <w:tab w:val="left" w:pos="993"/>
        </w:tabs>
        <w:ind w:left="0" w:firstLine="709"/>
        <w:jc w:val="both"/>
        <w:rPr>
          <w:sz w:val="24"/>
          <w:szCs w:val="24"/>
        </w:rPr>
      </w:pPr>
      <w:r w:rsidRPr="001B5FEB">
        <w:rPr>
          <w:sz w:val="24"/>
          <w:szCs w:val="24"/>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 при плане 25031,3 исполнение составило 24335,7 тыс. рублей, или 97,2 процента;</w:t>
      </w:r>
    </w:p>
    <w:p w:rsidR="00BD5D4A" w:rsidRPr="001B5FEB" w:rsidRDefault="00BD5D4A" w:rsidP="0014690C">
      <w:pPr>
        <w:pStyle w:val="afa"/>
        <w:numPr>
          <w:ilvl w:val="0"/>
          <w:numId w:val="37"/>
        </w:numPr>
        <w:tabs>
          <w:tab w:val="left" w:pos="993"/>
        </w:tabs>
        <w:ind w:left="0" w:firstLine="709"/>
        <w:jc w:val="both"/>
        <w:rPr>
          <w:sz w:val="24"/>
          <w:szCs w:val="24"/>
        </w:rPr>
      </w:pPr>
      <w:r w:rsidRPr="001B5FEB">
        <w:rPr>
          <w:sz w:val="24"/>
          <w:szCs w:val="24"/>
        </w:rPr>
        <w:t>предоставление единовременной субсидии на приобретение жилого помещения государственным гражданским служащим области, поставленным на учет для получения субсидии по месту службы – при плане 6631,9 тыс. рублей исполнение составило 6625,7 тыс. рублей, или 99,9 процента;</w:t>
      </w:r>
    </w:p>
    <w:p w:rsidR="00BD5D4A" w:rsidRPr="001B5FEB" w:rsidRDefault="00BD5D4A" w:rsidP="0014690C">
      <w:pPr>
        <w:pStyle w:val="afa"/>
        <w:numPr>
          <w:ilvl w:val="0"/>
          <w:numId w:val="37"/>
        </w:numPr>
        <w:tabs>
          <w:tab w:val="left" w:pos="993"/>
        </w:tabs>
        <w:ind w:left="0" w:firstLine="709"/>
        <w:jc w:val="both"/>
        <w:rPr>
          <w:sz w:val="24"/>
          <w:szCs w:val="24"/>
        </w:rPr>
      </w:pPr>
      <w:r w:rsidRPr="001B5FEB">
        <w:rPr>
          <w:sz w:val="24"/>
          <w:szCs w:val="24"/>
        </w:rPr>
        <w:t>ремонт жилых помещений участников и инвалидов Великой Отечественной войны 1941-1945 годов, супругов погибших (умерших) участников Великой Отечественной войны 1941-1945 годов – плановые назначения в сумме 5000,0 тыс. рублей исполнены в полном объеме;</w:t>
      </w:r>
    </w:p>
    <w:p w:rsidR="00BD5D4A" w:rsidRPr="001B5FEB" w:rsidRDefault="00BD5D4A" w:rsidP="0014690C">
      <w:pPr>
        <w:pStyle w:val="afa"/>
        <w:numPr>
          <w:ilvl w:val="0"/>
          <w:numId w:val="37"/>
        </w:numPr>
        <w:tabs>
          <w:tab w:val="left" w:pos="993"/>
        </w:tabs>
        <w:ind w:left="0" w:firstLine="709"/>
        <w:jc w:val="both"/>
        <w:rPr>
          <w:sz w:val="24"/>
          <w:szCs w:val="24"/>
        </w:rPr>
      </w:pPr>
      <w:r w:rsidRPr="001B5FEB">
        <w:rPr>
          <w:sz w:val="24"/>
          <w:szCs w:val="24"/>
        </w:rPr>
        <w:t>обеспечение жильем отдельных категорий ветеранов и членов их семей - плановые назначения в сумме 2206,0 тыс. рублей исполнены в полном объеме;</w:t>
      </w:r>
    </w:p>
    <w:p w:rsidR="00BD5D4A" w:rsidRPr="001B5FEB" w:rsidRDefault="00BD5D4A" w:rsidP="0014690C">
      <w:pPr>
        <w:pStyle w:val="afa"/>
        <w:numPr>
          <w:ilvl w:val="0"/>
          <w:numId w:val="37"/>
        </w:numPr>
        <w:tabs>
          <w:tab w:val="left" w:pos="993"/>
        </w:tabs>
        <w:ind w:left="0" w:firstLine="709"/>
        <w:jc w:val="both"/>
        <w:rPr>
          <w:sz w:val="24"/>
          <w:szCs w:val="24"/>
        </w:rPr>
      </w:pPr>
      <w:r w:rsidRPr="001B5FEB">
        <w:rPr>
          <w:sz w:val="24"/>
          <w:szCs w:val="24"/>
        </w:rPr>
        <w:t xml:space="preserve">предоставление многодетным семьям социальной выплаты на улучшение </w:t>
      </w:r>
      <w:r w:rsidRPr="001B5FEB">
        <w:rPr>
          <w:sz w:val="24"/>
          <w:szCs w:val="24"/>
        </w:rPr>
        <w:lastRenderedPageBreak/>
        <w:t>жилищных условий - плановые назначения в сумме 5017,6 тыс. рублей исполнены в полном объеме;</w:t>
      </w:r>
    </w:p>
    <w:p w:rsidR="00BD5D4A" w:rsidRPr="001B5FEB" w:rsidRDefault="00BD5D4A" w:rsidP="0014690C">
      <w:pPr>
        <w:pStyle w:val="afa"/>
        <w:numPr>
          <w:ilvl w:val="0"/>
          <w:numId w:val="37"/>
        </w:numPr>
        <w:tabs>
          <w:tab w:val="left" w:pos="993"/>
        </w:tabs>
        <w:ind w:left="0" w:firstLine="709"/>
        <w:jc w:val="both"/>
        <w:rPr>
          <w:sz w:val="24"/>
          <w:szCs w:val="24"/>
        </w:rPr>
      </w:pPr>
      <w:r w:rsidRPr="001B5FEB">
        <w:rPr>
          <w:sz w:val="24"/>
          <w:szCs w:val="24"/>
        </w:rPr>
        <w:t>предоставление регионального материнского капитала на улучшение жилищных условий семьям, родившим (усыновившим) третьего или последующего ребенка - плановые назначения в сумме 135839,6 тыс. рублей исполнены в полном объеме.</w:t>
      </w:r>
    </w:p>
    <w:p w:rsidR="00BD5D4A" w:rsidRPr="00BD5D4A" w:rsidRDefault="00BD5D4A" w:rsidP="00F60552">
      <w:pPr>
        <w:pStyle w:val="afa"/>
        <w:numPr>
          <w:ilvl w:val="0"/>
          <w:numId w:val="7"/>
        </w:numPr>
        <w:ind w:left="0" w:firstLine="709"/>
        <w:jc w:val="both"/>
        <w:rPr>
          <w:i/>
          <w:sz w:val="24"/>
          <w:szCs w:val="24"/>
        </w:rPr>
      </w:pPr>
      <w:r w:rsidRPr="00BD5D4A">
        <w:rPr>
          <w:i/>
          <w:sz w:val="24"/>
          <w:szCs w:val="24"/>
        </w:rPr>
        <w:t>Подпрограмма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 xml:space="preserve">Бюджетные ассигнования по подпрограмме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утверждены в расходах областного бюджета по целевой статье расходов 0770000 в сумме 234971,8 тыс. рублей. В общем объеме расходов государственной программы доля расходов по данной подпрограмме составляет </w:t>
      </w:r>
      <w:r w:rsidRPr="00BD5D4A">
        <w:rPr>
          <w:rFonts w:ascii="Times New Roman" w:hAnsi="Times New Roman" w:cs="Times New Roman"/>
          <w:sz w:val="24"/>
          <w:szCs w:val="24"/>
        </w:rPr>
        <w:br/>
        <w:t>5,5 процента.</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99,8 процента (объем неисполненных ассигнований составил </w:t>
      </w:r>
      <w:r w:rsidRPr="00BD5D4A">
        <w:rPr>
          <w:rFonts w:ascii="Times New Roman" w:hAnsi="Times New Roman" w:cs="Times New Roman"/>
          <w:sz w:val="24"/>
          <w:szCs w:val="24"/>
        </w:rPr>
        <w:br/>
        <w:t>482,7 тыс. рублей).</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Финансирование мероприятий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r w:rsidR="006F3E9C">
        <w:rPr>
          <w:rFonts w:ascii="Times New Roman" w:hAnsi="Times New Roman" w:cs="Times New Roman"/>
          <w:sz w:val="24"/>
          <w:szCs w:val="24"/>
        </w:rPr>
        <w:t>,</w:t>
      </w:r>
      <w:r w:rsidRPr="00BD5D4A">
        <w:rPr>
          <w:rFonts w:ascii="Times New Roman" w:hAnsi="Times New Roman" w:cs="Times New Roman"/>
          <w:sz w:val="24"/>
          <w:szCs w:val="24"/>
        </w:rPr>
        <w:t xml:space="preserve"> осуществлялось на условиях софинансирования из федерального и областного бюджетов:</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за счет средств федерального бюджета при плане 141617,0 тыс. рублей исполнение составило 141240,5 тыс. рублей, или 99,7 процента;</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за счет средств областного бюджета при плане 93354,8 тыс. рублей исполнение составило 93248,6 тыс. рублей, или 99,9 процента.</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 xml:space="preserve">Следует отметить, что несмотря на неполный объем финансового обеспечения данных расходов (неисполнение плановых назначений составило 482,7 тыс. рублей) показатель результативности, согласно сводному годовому докладу о ходе реализации и об оценке эффективности государственных программ области, достигнут с уровнем 105,1 процента (плановое количество детей-сирот, обеспеченных жилыми помещениями – 215, фактическое 226). </w:t>
      </w:r>
    </w:p>
    <w:p w:rsidR="00BD5D4A" w:rsidRPr="00BD5D4A" w:rsidRDefault="00BD5D4A" w:rsidP="00F60552">
      <w:pPr>
        <w:pStyle w:val="afa"/>
        <w:numPr>
          <w:ilvl w:val="0"/>
          <w:numId w:val="7"/>
        </w:numPr>
        <w:ind w:left="0" w:firstLine="709"/>
        <w:jc w:val="both"/>
        <w:rPr>
          <w:i/>
          <w:sz w:val="24"/>
          <w:szCs w:val="24"/>
        </w:rPr>
      </w:pPr>
      <w:r w:rsidRPr="00BD5D4A">
        <w:rPr>
          <w:sz w:val="24"/>
          <w:szCs w:val="24"/>
        </w:rPr>
        <w:t xml:space="preserve"> </w:t>
      </w:r>
      <w:r w:rsidRPr="00BD5D4A">
        <w:rPr>
          <w:i/>
          <w:sz w:val="24"/>
          <w:szCs w:val="24"/>
        </w:rPr>
        <w:t>Подпрограмма «Развитие ипотечного жилищного кредитования в Амурской области»</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Бюджетные ассигнования по подпрограмме «Развитие ипотечного жилищного кредитования в Амурской области» утверждены в расходах областного бюджета по целевой статье расходов 0780000 в сумме 129832,3 тыс. рублей.</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99,4 процента (объем неисполненных ассигнований составил </w:t>
      </w:r>
      <w:r w:rsidRPr="00BD5D4A">
        <w:rPr>
          <w:rFonts w:ascii="Times New Roman" w:hAnsi="Times New Roman" w:cs="Times New Roman"/>
          <w:sz w:val="24"/>
          <w:szCs w:val="24"/>
        </w:rPr>
        <w:br/>
        <w:t>750,0 тыс. рублей).</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 xml:space="preserve">Не в полном объеме профинансировано программное мероприятие, предусматривающее возмещение части затрат на уплату процентов по кредитам, направленным на долевое строительство жилья на территории Амурской области, по цене </w:t>
      </w:r>
      <w:r w:rsidRPr="00BD5D4A">
        <w:rPr>
          <w:rFonts w:ascii="Times New Roman" w:hAnsi="Times New Roman" w:cs="Times New Roman"/>
          <w:sz w:val="24"/>
          <w:szCs w:val="24"/>
        </w:rPr>
        <w:br/>
        <w:t xml:space="preserve">1 кв. метра общей площади жилья не выше стоимости, устанавливаемой приказом Министерства строительства и жилищно-коммунального хозяйства Российской Федерации на территории Амурской области. При плановых назначениях 1650,0 тыс. рублей исполнение составило 900,0 тыс. рублей, или 54,5 процента. </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Остальные мероприятия подпрограммы исполнены в полном объеме:</w:t>
      </w:r>
    </w:p>
    <w:p w:rsidR="00BD5D4A" w:rsidRPr="001B5FEB" w:rsidRDefault="00BD5D4A" w:rsidP="0014690C">
      <w:pPr>
        <w:pStyle w:val="afa"/>
        <w:numPr>
          <w:ilvl w:val="0"/>
          <w:numId w:val="38"/>
        </w:numPr>
        <w:tabs>
          <w:tab w:val="left" w:pos="993"/>
        </w:tabs>
        <w:ind w:left="0" w:firstLine="709"/>
        <w:jc w:val="both"/>
        <w:rPr>
          <w:sz w:val="24"/>
          <w:szCs w:val="24"/>
        </w:rPr>
      </w:pPr>
      <w:r w:rsidRPr="001B5FEB">
        <w:rPr>
          <w:sz w:val="24"/>
          <w:szCs w:val="24"/>
        </w:rPr>
        <w:t>увеличение уставного капитала ОАО «Амурское ипотечное агентство» в сумме 40000,0 тыс. рублей;</w:t>
      </w:r>
    </w:p>
    <w:p w:rsidR="00BD5D4A" w:rsidRPr="001B5FEB" w:rsidRDefault="00BD5D4A" w:rsidP="0014690C">
      <w:pPr>
        <w:pStyle w:val="afa"/>
        <w:numPr>
          <w:ilvl w:val="0"/>
          <w:numId w:val="38"/>
        </w:numPr>
        <w:tabs>
          <w:tab w:val="left" w:pos="993"/>
        </w:tabs>
        <w:ind w:left="0" w:firstLine="709"/>
        <w:jc w:val="both"/>
        <w:rPr>
          <w:sz w:val="24"/>
          <w:szCs w:val="24"/>
        </w:rPr>
      </w:pPr>
      <w:r w:rsidRPr="001B5FEB">
        <w:rPr>
          <w:sz w:val="24"/>
          <w:szCs w:val="24"/>
        </w:rPr>
        <w:t xml:space="preserve">выплата компенсации части расходов по уплате процентов по ипотечным кредитам (займам), полученным гражданами на строительство или приобретение жилья на территории Амурской области, и расходов по уплате процентов по ипотечным кредитам (займам) гражданам, пострадавшим от действий (бездействия) застройщиков, по заявлениям которых </w:t>
      </w:r>
      <w:r w:rsidRPr="001B5FEB">
        <w:rPr>
          <w:sz w:val="24"/>
          <w:szCs w:val="24"/>
        </w:rPr>
        <w:lastRenderedPageBreak/>
        <w:t>приняты решения о принятии расходов к компенсации в сумме 69731,4 тыс. рублей. При этом установленный показатель результативности не достигнут – 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2015 год, из планируемого числа граждан в количестве 4800 человек, фактически государственную поддержку получили 454 человека, или 9,5 процента.</w:t>
      </w:r>
    </w:p>
    <w:p w:rsidR="00BD5D4A" w:rsidRPr="001B5FEB" w:rsidRDefault="00BD5D4A" w:rsidP="0014690C">
      <w:pPr>
        <w:pStyle w:val="afa"/>
        <w:numPr>
          <w:ilvl w:val="0"/>
          <w:numId w:val="38"/>
        </w:numPr>
        <w:tabs>
          <w:tab w:val="left" w:pos="993"/>
        </w:tabs>
        <w:ind w:left="0" w:firstLine="709"/>
        <w:jc w:val="both"/>
        <w:rPr>
          <w:sz w:val="24"/>
          <w:szCs w:val="24"/>
        </w:rPr>
      </w:pPr>
      <w:r w:rsidRPr="001B5FEB">
        <w:rPr>
          <w:sz w:val="24"/>
          <w:szCs w:val="24"/>
        </w:rPr>
        <w:t xml:space="preserve">выплата компенсации расходов по уплате процентов по ипотечным кредитам (займам), полученным на строительство или приобретение жилья молодыми семьями, один из членов которой работает в государственном или муниципальном учреждении, финансируемом за счет средств областного или местных бюджетов, по заявлениям которых приняты решения о предоставлении социальной выплаты, в сумме 18450,9 тыс. рублей. При этом установленный показатель результативности не достигнут – 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2015 год, плановое количество граждан на получение государственной поддержки составляет 142 человека, фактически государственную поддержку получили </w:t>
      </w:r>
      <w:r w:rsidRPr="001B5FEB">
        <w:rPr>
          <w:sz w:val="24"/>
          <w:szCs w:val="24"/>
        </w:rPr>
        <w:br/>
        <w:t>95 человек, или 66,9 процента.</w:t>
      </w:r>
    </w:p>
    <w:p w:rsidR="00BD5D4A" w:rsidRPr="00BD5D4A" w:rsidRDefault="00BD5D4A" w:rsidP="00F60552">
      <w:pPr>
        <w:pStyle w:val="afa"/>
        <w:numPr>
          <w:ilvl w:val="0"/>
          <w:numId w:val="7"/>
        </w:numPr>
        <w:ind w:left="0" w:firstLine="709"/>
        <w:jc w:val="both"/>
        <w:rPr>
          <w:i/>
          <w:sz w:val="24"/>
          <w:szCs w:val="24"/>
        </w:rPr>
      </w:pPr>
      <w:r w:rsidRPr="00BD5D4A">
        <w:rPr>
          <w:i/>
          <w:sz w:val="24"/>
          <w:szCs w:val="24"/>
        </w:rPr>
        <w:t>Подпрограмма «Обеспечение реализации основных направлений государственной политики в сфере реализации государственной программы»</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Бюджетные ассигнования по подпрограмме «Обеспечение реализации основных направлений государственной политики в сфере реализации государственной программы» утверждены в расходах областного бюджета по целевой статье расходов 0790000 в сумме 58546,6 тыс. рублей. В общем объеме расходов государственной программы доля расходов по данной подпрограмме составляет 1,4 процента.</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97,8 процента (объем неисполненных ассигнований составил </w:t>
      </w:r>
      <w:r w:rsidRPr="00BD5D4A">
        <w:rPr>
          <w:rFonts w:ascii="Times New Roman" w:hAnsi="Times New Roman" w:cs="Times New Roman"/>
          <w:sz w:val="24"/>
          <w:szCs w:val="24"/>
        </w:rPr>
        <w:br/>
        <w:t>1261,9 тыс. рублей).</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По данной подпрограмме осуществлялось финансирование министерства транспорта и строительства Амурской области и инспекции государственного строительного надзора Амурской области в сумме 15627,0 тыс. рублей, или 98,6 процента плана.</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 xml:space="preserve">Также по данной подпрограмме осуществлялось финансирование подведомственных министерству учреждений в сумме 41657,7 тыс. рублей, или 97,6 процента плана. </w:t>
      </w:r>
    </w:p>
    <w:p w:rsidR="00BD5D4A" w:rsidRPr="00BD5D4A" w:rsidRDefault="00BD5D4A" w:rsidP="00F60552">
      <w:pPr>
        <w:pStyle w:val="afa"/>
        <w:numPr>
          <w:ilvl w:val="0"/>
          <w:numId w:val="7"/>
        </w:numPr>
        <w:ind w:left="0" w:firstLine="709"/>
        <w:jc w:val="both"/>
        <w:rPr>
          <w:i/>
          <w:sz w:val="24"/>
          <w:szCs w:val="24"/>
        </w:rPr>
      </w:pPr>
      <w:r w:rsidRPr="00BD5D4A">
        <w:rPr>
          <w:i/>
          <w:sz w:val="24"/>
          <w:szCs w:val="24"/>
        </w:rPr>
        <w:t>Подпрограмма «Реализация мер социальной поддержки граждан Амурской области, признанных в установленном порядке пострадавшими в результате чрезвычайной ситуации, вызванной крупномасштабным наводнением в августе-сентябре 2013 года»</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Бюджетные ассигнования по подпрограмме «Реализация мер социальной поддержки граждан Амурской области, признанных в установленном порядке пострадавшими в результате чрезвычайной ситуации, вызванной крупномасштабным наводнением в августе-сентябре 2013 года» утверждены в расходах областного бюджета по целевой статье расходов 07Ж0000 в сумме 75096,1 тыс. рублей. В общем объеме расходов государственной программы доля расходов по данной подпрограмме составляет 1,8 процента.</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18,7 процента (объем неисполненных ассигнований составил 60424,1 тыс. рублей).</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 xml:space="preserve">Система основных мероприятий подпрограммы предусматривает обеспечение жилыми помещениями граждан, признанных в установленном порядке пострадавшими в результате чрезвычайной ситуации, вызванной крупномасштабным наводнением в августе - сентябре 2013 года, за счет средств, выделенных из федерального бюджета. </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Н</w:t>
      </w:r>
      <w:r w:rsidR="00BF1A71">
        <w:rPr>
          <w:rFonts w:ascii="Times New Roman" w:hAnsi="Times New Roman" w:cs="Times New Roman"/>
          <w:sz w:val="24"/>
          <w:szCs w:val="24"/>
        </w:rPr>
        <w:t>а</w:t>
      </w:r>
      <w:r w:rsidRPr="00BD5D4A">
        <w:rPr>
          <w:rFonts w:ascii="Times New Roman" w:hAnsi="Times New Roman" w:cs="Times New Roman"/>
          <w:sz w:val="24"/>
          <w:szCs w:val="24"/>
        </w:rPr>
        <w:t xml:space="preserve"> низкий уровень исполнения ассигнований подпрограммы, повлияло отсутствие исполнения по мероприятию «Реализация на основании судебных решений мер поддержки граждан, признанных пострадавшими в результате крупномасштабного наводнения в августе-сентябре 2013 года», на реализацию которого бюджетной росписью расходов предусмотрено 60421,1 тыс. рублей. </w:t>
      </w:r>
    </w:p>
    <w:p w:rsidR="00BD5D4A" w:rsidRPr="00BD5D4A" w:rsidRDefault="00BD5D4A" w:rsidP="00BD5D4A">
      <w:pPr>
        <w:spacing w:after="0" w:line="240" w:lineRule="auto"/>
        <w:ind w:firstLine="709"/>
        <w:jc w:val="both"/>
        <w:rPr>
          <w:rFonts w:ascii="Times New Roman" w:hAnsi="Times New Roman" w:cs="Times New Roman"/>
          <w:b/>
          <w:i/>
          <w:sz w:val="24"/>
          <w:szCs w:val="24"/>
        </w:rPr>
      </w:pPr>
      <w:r w:rsidRPr="00BD5D4A">
        <w:rPr>
          <w:rFonts w:ascii="Times New Roman" w:hAnsi="Times New Roman" w:cs="Times New Roman"/>
          <w:sz w:val="24"/>
          <w:szCs w:val="24"/>
        </w:rPr>
        <w:lastRenderedPageBreak/>
        <w:t xml:space="preserve">Следует отметить, </w:t>
      </w:r>
      <w:r w:rsidRPr="00BD5D4A">
        <w:rPr>
          <w:rFonts w:ascii="Times New Roman" w:hAnsi="Times New Roman" w:cs="Times New Roman"/>
          <w:b/>
          <w:i/>
          <w:sz w:val="24"/>
          <w:szCs w:val="24"/>
        </w:rPr>
        <w:t>что в государственной программе «Обеспечение доступным и качественным жильем населения Амурской области на 2014-2020 годы» данное мероприятие не предусмотрено.</w:t>
      </w:r>
    </w:p>
    <w:p w:rsidR="00BD5D4A" w:rsidRPr="00BD5D4A" w:rsidRDefault="00BD5D4A" w:rsidP="00BD5D4A">
      <w:pPr>
        <w:spacing w:after="0" w:line="240" w:lineRule="auto"/>
        <w:ind w:firstLine="709"/>
        <w:jc w:val="both"/>
        <w:rPr>
          <w:rFonts w:ascii="Times New Roman" w:hAnsi="Times New Roman" w:cs="Times New Roman"/>
          <w:sz w:val="24"/>
          <w:szCs w:val="24"/>
        </w:rPr>
      </w:pPr>
      <w:r w:rsidRPr="00BD5D4A">
        <w:rPr>
          <w:rFonts w:ascii="Times New Roman" w:hAnsi="Times New Roman" w:cs="Times New Roman"/>
          <w:sz w:val="24"/>
          <w:szCs w:val="24"/>
        </w:rPr>
        <w:t>Информация о расходах государственной программы «Обеспечение доступным и качественным жильем населения Амурской области на 2014–2020 годы» по основным направлениям деятельности представлена</w:t>
      </w:r>
      <w:r w:rsidR="00CE0D71">
        <w:rPr>
          <w:rFonts w:ascii="Times New Roman" w:hAnsi="Times New Roman" w:cs="Times New Roman"/>
          <w:sz w:val="24"/>
          <w:szCs w:val="24"/>
        </w:rPr>
        <w:t xml:space="preserve"> на рисунке 29.</w:t>
      </w:r>
    </w:p>
    <w:p w:rsidR="00BD5D4A" w:rsidRDefault="00BD5D4A" w:rsidP="00CE0D71">
      <w:pPr>
        <w:spacing w:after="0"/>
        <w:jc w:val="both"/>
        <w:rPr>
          <w:rFonts w:ascii="Times New Roman" w:eastAsia="Times New Roman" w:hAnsi="Times New Roman" w:cs="Times New Roman"/>
          <w:b/>
          <w:sz w:val="24"/>
          <w:szCs w:val="24"/>
          <w:lang w:eastAsia="ru-RU"/>
        </w:rPr>
      </w:pPr>
      <w:r>
        <w:rPr>
          <w:rFonts w:ascii="Times New Roman" w:hAnsi="Times New Roman" w:cs="Times New Roman"/>
          <w:noProof/>
          <w:sz w:val="24"/>
          <w:szCs w:val="24"/>
          <w:lang w:eastAsia="ru-RU"/>
        </w:rPr>
        <w:drawing>
          <wp:inline distT="0" distB="0" distL="0" distR="0" wp14:anchorId="5F4D89B3" wp14:editId="3CA8747D">
            <wp:extent cx="6209969" cy="3204375"/>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D5D4A" w:rsidRDefault="00BD5D4A" w:rsidP="00CE0D7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Рис</w:t>
      </w:r>
      <w:r w:rsidR="00CE0D71">
        <w:rPr>
          <w:rFonts w:ascii="Times New Roman" w:eastAsia="Times New Roman" w:hAnsi="Times New Roman" w:cs="Times New Roman"/>
          <w:b/>
          <w:sz w:val="24"/>
          <w:szCs w:val="24"/>
          <w:lang w:eastAsia="ru-RU"/>
        </w:rPr>
        <w:t>. 29 -</w:t>
      </w:r>
      <w:r>
        <w:rPr>
          <w:rFonts w:ascii="Times New Roman" w:eastAsia="Times New Roman" w:hAnsi="Times New Roman" w:cs="Times New Roman"/>
          <w:b/>
          <w:sz w:val="24"/>
          <w:szCs w:val="24"/>
          <w:lang w:eastAsia="ru-RU"/>
        </w:rPr>
        <w:t xml:space="preserve"> </w:t>
      </w:r>
      <w:r w:rsidRPr="00972D6B">
        <w:rPr>
          <w:rFonts w:ascii="Times New Roman" w:eastAsia="Times New Roman" w:hAnsi="Times New Roman" w:cs="Times New Roman"/>
          <w:b/>
          <w:sz w:val="24"/>
          <w:szCs w:val="24"/>
          <w:lang w:eastAsia="ru-RU"/>
        </w:rPr>
        <w:t>Основные направления расходов областного бюджета по государственной программе «Обеспечение доступным и качественным жильем населения Амурской области на 2014–2020 годы»</w:t>
      </w:r>
      <w:r w:rsidR="001B5FEB">
        <w:rPr>
          <w:rFonts w:ascii="Times New Roman" w:eastAsia="Times New Roman" w:hAnsi="Times New Roman" w:cs="Times New Roman"/>
          <w:b/>
          <w:sz w:val="24"/>
          <w:szCs w:val="24"/>
          <w:lang w:eastAsia="ru-RU"/>
        </w:rPr>
        <w:t>, млн. руб.</w:t>
      </w:r>
    </w:p>
    <w:p w:rsidR="001A299F" w:rsidRPr="001A299F" w:rsidRDefault="001A299F" w:rsidP="001A299F">
      <w:pPr>
        <w:spacing w:after="0" w:line="240" w:lineRule="auto"/>
        <w:ind w:firstLine="709"/>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5.8. Исполнение расходов областного бюджета за 2015 год в рамках государственной программы «Экономическое развитие и инновационная экономика Амурской области на 2014-2020 годы»</w:t>
      </w:r>
    </w:p>
    <w:p w:rsidR="00CE0D71" w:rsidRDefault="001A299F" w:rsidP="001A2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«Экономическое развитие и инновационная экономика Амурской области на 2014-2020 годы» утверждена постановлением Правительства Амурской области от 25.09.2013 № 445 (в редакции постановления Правительства Амурско</w:t>
      </w:r>
      <w:r w:rsidR="00CA2FC6">
        <w:rPr>
          <w:rFonts w:ascii="Times New Roman" w:eastAsia="Times New Roman" w:hAnsi="Times New Roman" w:cs="Times New Roman"/>
          <w:sz w:val="24"/>
          <w:szCs w:val="24"/>
          <w:lang w:eastAsia="ru-RU"/>
        </w:rPr>
        <w:t>й области от 24.12.2015 № 631).</w:t>
      </w:r>
    </w:p>
    <w:p w:rsidR="00CE0D71" w:rsidRDefault="001A299F" w:rsidP="001A2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Координатором государственной программы является министерство экономического развития Амурской области. </w:t>
      </w:r>
    </w:p>
    <w:p w:rsidR="001A299F" w:rsidRPr="001A299F" w:rsidRDefault="001A299F" w:rsidP="001A2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Участниками программы являются министерство экономического развития Амурской области, министерство транспорта и строительства Амурской области, министерство внешнеэкономических связей, туризма и предпринимательства Амурской области, управление занятости населения Амурской области.</w:t>
      </w:r>
    </w:p>
    <w:p w:rsidR="001A299F" w:rsidRPr="001A299F" w:rsidRDefault="001A299F" w:rsidP="001A299F">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Законом Амурской области «Об областном бюджете на 2015 год и плановый период 2016 и 2017 годов» (ред. от 25.12.2015) на реализацию государственной программы «Экономическое развитие и инновационная экономика Амурской области на </w:t>
      </w:r>
      <w:r w:rsidRPr="001A299F">
        <w:rPr>
          <w:rFonts w:ascii="Times New Roman" w:eastAsia="Times New Roman" w:hAnsi="Times New Roman" w:cs="Times New Roman"/>
          <w:sz w:val="24"/>
          <w:szCs w:val="24"/>
          <w:lang w:eastAsia="ru-RU"/>
        </w:rPr>
        <w:br/>
        <w:t>2014-2020 годы» утверждены бюджетные ассигнования в сумме 1192836,2 тыс. рублей.</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Сводной бюджетной росписью расходов областного бюджета на 2015 год на реализацию программы предусмотрено 1219666,3 тыс. рублей.</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Отклонение бюджетных ассигнований, утвержденных законом об областном бюджете, от бюджетных ассигнований, утвержденных сводной бюджетной росписью, составляет 26830,2 тыс. рублей - средства федерального бюджета, в том числе на подготовку управленческих кадров для организаций народного хозяйства Российской Федерации – </w:t>
      </w:r>
      <w:r w:rsidRPr="001A299F">
        <w:rPr>
          <w:rFonts w:ascii="Times New Roman" w:eastAsia="Times New Roman" w:hAnsi="Times New Roman" w:cs="Times New Roman"/>
          <w:sz w:val="24"/>
          <w:szCs w:val="24"/>
          <w:lang w:eastAsia="ru-RU"/>
        </w:rPr>
        <w:br/>
        <w:t xml:space="preserve">331,9 тыс. рублей,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w:t>
      </w:r>
      <w:r w:rsidRPr="001A299F">
        <w:rPr>
          <w:rFonts w:ascii="Times New Roman" w:eastAsia="Times New Roman" w:hAnsi="Times New Roman" w:cs="Times New Roman"/>
          <w:sz w:val="24"/>
          <w:szCs w:val="24"/>
          <w:lang w:eastAsia="ru-RU"/>
        </w:rPr>
        <w:lastRenderedPageBreak/>
        <w:t>рубежом – 1298,3 тыс. рублей, повышение мобильности трудовых ресурсов – 25200,0 тыс. рублей.</w:t>
      </w:r>
    </w:p>
    <w:p w:rsidR="00CE0D71"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Объем бюджетных ассигнований на реализацию государственной программы, утвержденный постановлением Правительства Амурской области от 25.09.2013 № 445 (в редакции постановления Правительства Амурской области от 24.12.2015 № 631), составляет 1194004,7 тыс. рублей. </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Отклонение от бюджетных ассигнований, утвержденных законом об областном бюджете, составило 1168,5 тыс. рублей – средства федерального бюджета в рамках реализации мероприятий подпрограммы «Оказание содействия добровольному переселению в Амурскую область соотечественников, проживающих за рубежом» на организацию и проведение мероприятий по реализации государственной подпрограммы  (данные средства сводной бюджетной росписью на 2015 год, законом об областном бюджете не предусмотрены, исполнение расходов по указанному мероприятию в 2015 году не осуществлялось). </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Исполнение бюджетных назначений, предусмотренных на реализацию программы сводной бюджетной росписью расходов, составило 1187401,9 тыс. рублей, или 97,4 процента плановых назначений.</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«Экономическое развитие и инновационная экономика Амурской области на 2014-2020 годы» включает 7 подпрограмм.</w:t>
      </w:r>
    </w:p>
    <w:p w:rsidR="001A299F" w:rsidRPr="00CE0D71"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D71">
        <w:rPr>
          <w:rFonts w:ascii="Times New Roman" w:eastAsia="Times New Roman" w:hAnsi="Times New Roman" w:cs="Times New Roman"/>
          <w:sz w:val="24"/>
          <w:szCs w:val="24"/>
          <w:lang w:eastAsia="ru-RU"/>
        </w:rPr>
        <w:t>В таблице 11 представлена информация об исполнении государственной программы «Экономическое развитие и инновационная экономика Амурской области на</w:t>
      </w:r>
      <w:r w:rsidRPr="00CE0D71">
        <w:rPr>
          <w:rFonts w:ascii="Times New Roman" w:eastAsia="Times New Roman" w:hAnsi="Times New Roman" w:cs="Times New Roman"/>
          <w:sz w:val="24"/>
          <w:szCs w:val="24"/>
          <w:lang w:eastAsia="ru-RU"/>
        </w:rPr>
        <w:br/>
        <w:t>2014-2020 годы» в разрезе подпрограмм.</w:t>
      </w:r>
    </w:p>
    <w:p w:rsid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299F" w:rsidRPr="00CE0D71" w:rsidRDefault="001A299F" w:rsidP="001A299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0D71">
        <w:rPr>
          <w:rFonts w:ascii="Times New Roman" w:eastAsia="Times New Roman" w:hAnsi="Times New Roman" w:cs="Times New Roman"/>
          <w:sz w:val="24"/>
          <w:szCs w:val="24"/>
          <w:lang w:eastAsia="ru-RU"/>
        </w:rPr>
        <w:t>Таблица 11</w:t>
      </w:r>
    </w:p>
    <w:p w:rsidR="001A299F" w:rsidRPr="001A299F" w:rsidRDefault="001A299F" w:rsidP="001A299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Анализ исполнения государственной программы «Экономическое развитие и инновационная экономика Амурской области на 2014-2020 годы» в разрезе подпрограмм</w:t>
      </w:r>
    </w:p>
    <w:p w:rsidR="001A299F" w:rsidRPr="001A299F" w:rsidRDefault="001A299F" w:rsidP="001A29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тыс. рублей</w:t>
      </w:r>
    </w:p>
    <w:tbl>
      <w:tblPr>
        <w:tblStyle w:val="a6"/>
        <w:tblW w:w="10031" w:type="dxa"/>
        <w:tblLayout w:type="fixed"/>
        <w:tblLook w:val="04A0" w:firstRow="1" w:lastRow="0" w:firstColumn="1" w:lastColumn="0" w:noHBand="0" w:noVBand="1"/>
      </w:tblPr>
      <w:tblGrid>
        <w:gridCol w:w="4077"/>
        <w:gridCol w:w="1418"/>
        <w:gridCol w:w="1559"/>
        <w:gridCol w:w="1220"/>
        <w:gridCol w:w="1757"/>
      </w:tblGrid>
      <w:tr w:rsidR="001A299F" w:rsidRPr="001A299F" w:rsidTr="001A299F">
        <w:trPr>
          <w:tblHeader/>
        </w:trPr>
        <w:tc>
          <w:tcPr>
            <w:tcW w:w="4077" w:type="dxa"/>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Наименование государственной программы/подпрограммы</w:t>
            </w:r>
          </w:p>
        </w:tc>
        <w:tc>
          <w:tcPr>
            <w:tcW w:w="1418" w:type="dxa"/>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План</w:t>
            </w:r>
          </w:p>
        </w:tc>
        <w:tc>
          <w:tcPr>
            <w:tcW w:w="1559" w:type="dxa"/>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Исполнение</w:t>
            </w:r>
          </w:p>
        </w:tc>
        <w:tc>
          <w:tcPr>
            <w:tcW w:w="1220" w:type="dxa"/>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Уровень исполне-ния,%</w:t>
            </w:r>
          </w:p>
        </w:tc>
        <w:tc>
          <w:tcPr>
            <w:tcW w:w="1757" w:type="dxa"/>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Не исполненные назначения</w:t>
            </w:r>
          </w:p>
        </w:tc>
      </w:tr>
      <w:tr w:rsidR="001A299F" w:rsidRPr="001A299F" w:rsidTr="001A299F">
        <w:tc>
          <w:tcPr>
            <w:tcW w:w="4077" w:type="dxa"/>
          </w:tcPr>
          <w:p w:rsidR="001A299F" w:rsidRPr="001A299F" w:rsidRDefault="001A299F" w:rsidP="001A299F">
            <w:pPr>
              <w:widowControl w:val="0"/>
              <w:autoSpaceDE w:val="0"/>
              <w:autoSpaceDN w:val="0"/>
              <w:adjustRightInd w:val="0"/>
              <w:rPr>
                <w:b/>
                <w:bCs/>
                <w:sz w:val="24"/>
                <w:szCs w:val="24"/>
              </w:rPr>
            </w:pPr>
            <w:r w:rsidRPr="001A299F">
              <w:rPr>
                <w:b/>
                <w:bCs/>
                <w:sz w:val="24"/>
                <w:szCs w:val="24"/>
              </w:rPr>
              <w:t xml:space="preserve">Государственная программа «Экономическое развитие и инновационная экономика Амурской области на </w:t>
            </w:r>
            <w:r w:rsidRPr="001A299F">
              <w:rPr>
                <w:b/>
                <w:bCs/>
                <w:sz w:val="24"/>
                <w:szCs w:val="24"/>
              </w:rPr>
              <w:br/>
              <w:t>2014-2020 годы</w:t>
            </w:r>
            <w:r w:rsidRPr="001A299F">
              <w:rPr>
                <w:b/>
                <w:sz w:val="24"/>
                <w:szCs w:val="24"/>
              </w:rPr>
              <w:t>»</w:t>
            </w:r>
            <w:r w:rsidRPr="001A299F">
              <w:rPr>
                <w:b/>
                <w:bCs/>
                <w:sz w:val="24"/>
                <w:szCs w:val="24"/>
              </w:rPr>
              <w:t xml:space="preserve">, </w:t>
            </w:r>
          </w:p>
        </w:tc>
        <w:tc>
          <w:tcPr>
            <w:tcW w:w="1418" w:type="dxa"/>
            <w:vAlign w:val="center"/>
          </w:tcPr>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1219666,3</w:t>
            </w:r>
          </w:p>
        </w:tc>
        <w:tc>
          <w:tcPr>
            <w:tcW w:w="1559" w:type="dxa"/>
            <w:vAlign w:val="center"/>
          </w:tcPr>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1187401,9</w:t>
            </w:r>
          </w:p>
        </w:tc>
        <w:tc>
          <w:tcPr>
            <w:tcW w:w="1220" w:type="dxa"/>
            <w:vAlign w:val="center"/>
          </w:tcPr>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97,4</w:t>
            </w:r>
          </w:p>
        </w:tc>
        <w:tc>
          <w:tcPr>
            <w:tcW w:w="1757" w:type="dxa"/>
            <w:vAlign w:val="center"/>
          </w:tcPr>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32264,4</w:t>
            </w:r>
          </w:p>
        </w:tc>
      </w:tr>
      <w:tr w:rsidR="001A299F" w:rsidRPr="001A299F" w:rsidTr="001A299F">
        <w:tc>
          <w:tcPr>
            <w:tcW w:w="4077" w:type="dxa"/>
          </w:tcPr>
          <w:p w:rsidR="001A299F" w:rsidRPr="001A299F" w:rsidRDefault="001A299F" w:rsidP="001A299F">
            <w:pPr>
              <w:widowControl w:val="0"/>
              <w:autoSpaceDE w:val="0"/>
              <w:autoSpaceDN w:val="0"/>
              <w:adjustRightInd w:val="0"/>
              <w:jc w:val="both"/>
              <w:rPr>
                <w:sz w:val="24"/>
                <w:szCs w:val="24"/>
              </w:rPr>
            </w:pPr>
            <w:r w:rsidRPr="001A299F">
              <w:rPr>
                <w:bCs/>
                <w:sz w:val="24"/>
                <w:szCs w:val="24"/>
              </w:rPr>
              <w:t>в том числе:</w:t>
            </w:r>
          </w:p>
        </w:tc>
        <w:tc>
          <w:tcPr>
            <w:tcW w:w="1418" w:type="dxa"/>
          </w:tcPr>
          <w:p w:rsidR="001A299F" w:rsidRPr="001A299F" w:rsidRDefault="001A299F" w:rsidP="001A299F">
            <w:pPr>
              <w:widowControl w:val="0"/>
              <w:autoSpaceDE w:val="0"/>
              <w:autoSpaceDN w:val="0"/>
              <w:adjustRightInd w:val="0"/>
              <w:jc w:val="right"/>
              <w:rPr>
                <w:sz w:val="24"/>
                <w:szCs w:val="24"/>
              </w:rPr>
            </w:pPr>
          </w:p>
        </w:tc>
        <w:tc>
          <w:tcPr>
            <w:tcW w:w="1559" w:type="dxa"/>
          </w:tcPr>
          <w:p w:rsidR="001A299F" w:rsidRPr="001A299F" w:rsidRDefault="001A299F" w:rsidP="001A299F">
            <w:pPr>
              <w:widowControl w:val="0"/>
              <w:autoSpaceDE w:val="0"/>
              <w:autoSpaceDN w:val="0"/>
              <w:adjustRightInd w:val="0"/>
              <w:jc w:val="right"/>
              <w:rPr>
                <w:sz w:val="24"/>
                <w:szCs w:val="24"/>
              </w:rPr>
            </w:pPr>
          </w:p>
        </w:tc>
        <w:tc>
          <w:tcPr>
            <w:tcW w:w="1220" w:type="dxa"/>
          </w:tcPr>
          <w:p w:rsidR="001A299F" w:rsidRPr="001A299F" w:rsidRDefault="001A299F" w:rsidP="001A299F">
            <w:pPr>
              <w:widowControl w:val="0"/>
              <w:autoSpaceDE w:val="0"/>
              <w:autoSpaceDN w:val="0"/>
              <w:adjustRightInd w:val="0"/>
              <w:jc w:val="right"/>
              <w:rPr>
                <w:sz w:val="24"/>
                <w:szCs w:val="24"/>
              </w:rPr>
            </w:pPr>
          </w:p>
        </w:tc>
        <w:tc>
          <w:tcPr>
            <w:tcW w:w="1757" w:type="dxa"/>
          </w:tcPr>
          <w:p w:rsidR="001A299F" w:rsidRPr="001A299F" w:rsidRDefault="001A299F" w:rsidP="001A299F">
            <w:pPr>
              <w:widowControl w:val="0"/>
              <w:autoSpaceDE w:val="0"/>
              <w:autoSpaceDN w:val="0"/>
              <w:adjustRightInd w:val="0"/>
              <w:jc w:val="right"/>
              <w:rPr>
                <w:sz w:val="24"/>
                <w:szCs w:val="24"/>
              </w:rPr>
            </w:pPr>
          </w:p>
        </w:tc>
      </w:tr>
      <w:tr w:rsidR="001A299F" w:rsidRPr="001A299F" w:rsidTr="001A299F">
        <w:tc>
          <w:tcPr>
            <w:tcW w:w="4077"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Подпрограмма «Развитие экономического потенциала и формирование благоприятного инвестиционного климата на территории Амурской области»</w:t>
            </w:r>
          </w:p>
        </w:tc>
        <w:tc>
          <w:tcPr>
            <w:tcW w:w="1418"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6894,5</w:t>
            </w:r>
          </w:p>
        </w:tc>
        <w:tc>
          <w:tcPr>
            <w:tcW w:w="155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6872,6</w:t>
            </w:r>
          </w:p>
        </w:tc>
        <w:tc>
          <w:tcPr>
            <w:tcW w:w="1220"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99,7</w:t>
            </w:r>
          </w:p>
        </w:tc>
        <w:tc>
          <w:tcPr>
            <w:tcW w:w="1757"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21,9</w:t>
            </w:r>
          </w:p>
        </w:tc>
      </w:tr>
      <w:tr w:rsidR="001A299F" w:rsidRPr="001A299F" w:rsidTr="001A299F">
        <w:tc>
          <w:tcPr>
            <w:tcW w:w="4077"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Подпрограмма «Развитие субъектов малого и среднего предпринимательства на территории Амурской области»</w:t>
            </w:r>
          </w:p>
        </w:tc>
        <w:tc>
          <w:tcPr>
            <w:tcW w:w="1418"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107723,7</w:t>
            </w:r>
          </w:p>
        </w:tc>
        <w:tc>
          <w:tcPr>
            <w:tcW w:w="155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105220,6</w:t>
            </w:r>
          </w:p>
        </w:tc>
        <w:tc>
          <w:tcPr>
            <w:tcW w:w="1220"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97,7</w:t>
            </w:r>
          </w:p>
        </w:tc>
        <w:tc>
          <w:tcPr>
            <w:tcW w:w="1757"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2503,1</w:t>
            </w:r>
          </w:p>
        </w:tc>
      </w:tr>
      <w:tr w:rsidR="001A299F" w:rsidRPr="001A299F" w:rsidTr="001A299F">
        <w:tc>
          <w:tcPr>
            <w:tcW w:w="4077"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Подпрограмма «Развитие внешнеэкономических и межрегиональных связей на территории Амурской области»</w:t>
            </w:r>
          </w:p>
        </w:tc>
        <w:tc>
          <w:tcPr>
            <w:tcW w:w="1418"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 xml:space="preserve"> 2302,2</w:t>
            </w:r>
          </w:p>
        </w:tc>
        <w:tc>
          <w:tcPr>
            <w:tcW w:w="155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2302,2</w:t>
            </w:r>
          </w:p>
        </w:tc>
        <w:tc>
          <w:tcPr>
            <w:tcW w:w="1220"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100,0</w:t>
            </w:r>
          </w:p>
        </w:tc>
        <w:tc>
          <w:tcPr>
            <w:tcW w:w="1757"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w:t>
            </w:r>
          </w:p>
        </w:tc>
      </w:tr>
      <w:tr w:rsidR="001A299F" w:rsidRPr="001A299F" w:rsidTr="001A299F">
        <w:tc>
          <w:tcPr>
            <w:tcW w:w="4077"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 xml:space="preserve">Подпрограмма «Оказание содействия добровольному переселению в Амурскую область </w:t>
            </w:r>
            <w:r w:rsidRPr="001A299F">
              <w:rPr>
                <w:sz w:val="24"/>
                <w:szCs w:val="24"/>
              </w:rPr>
              <w:lastRenderedPageBreak/>
              <w:t>соотечественников, проживающих за рубежом»</w:t>
            </w:r>
          </w:p>
        </w:tc>
        <w:tc>
          <w:tcPr>
            <w:tcW w:w="1418"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1366,8</w:t>
            </w:r>
          </w:p>
        </w:tc>
        <w:tc>
          <w:tcPr>
            <w:tcW w:w="155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1360,0</w:t>
            </w:r>
          </w:p>
        </w:tc>
        <w:tc>
          <w:tcPr>
            <w:tcW w:w="1220"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99,5</w:t>
            </w:r>
          </w:p>
        </w:tc>
        <w:tc>
          <w:tcPr>
            <w:tcW w:w="1757"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6,8</w:t>
            </w:r>
          </w:p>
        </w:tc>
      </w:tr>
      <w:tr w:rsidR="001A299F" w:rsidRPr="001A299F" w:rsidTr="001A299F">
        <w:tc>
          <w:tcPr>
            <w:tcW w:w="4077"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lastRenderedPageBreak/>
              <w:t xml:space="preserve">Подпрограмма «Развитие внутреннего и въездного туризма в Амурской области» </w:t>
            </w:r>
          </w:p>
        </w:tc>
        <w:tc>
          <w:tcPr>
            <w:tcW w:w="1418"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220531,0</w:t>
            </w:r>
          </w:p>
        </w:tc>
        <w:tc>
          <w:tcPr>
            <w:tcW w:w="155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220497,6</w:t>
            </w:r>
          </w:p>
        </w:tc>
        <w:tc>
          <w:tcPr>
            <w:tcW w:w="1220"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99,9</w:t>
            </w:r>
          </w:p>
        </w:tc>
        <w:tc>
          <w:tcPr>
            <w:tcW w:w="1757"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33,4</w:t>
            </w:r>
          </w:p>
        </w:tc>
      </w:tr>
      <w:tr w:rsidR="001A299F" w:rsidRPr="001A299F" w:rsidTr="001A299F">
        <w:tc>
          <w:tcPr>
            <w:tcW w:w="4077"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Подпрограмма «Содействие занятости населения Амурской области»</w:t>
            </w:r>
          </w:p>
        </w:tc>
        <w:tc>
          <w:tcPr>
            <w:tcW w:w="1418"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754963,6</w:t>
            </w:r>
          </w:p>
        </w:tc>
        <w:tc>
          <w:tcPr>
            <w:tcW w:w="155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727769,7</w:t>
            </w:r>
          </w:p>
        </w:tc>
        <w:tc>
          <w:tcPr>
            <w:tcW w:w="1220"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96,4</w:t>
            </w:r>
          </w:p>
        </w:tc>
        <w:tc>
          <w:tcPr>
            <w:tcW w:w="1757"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27193,9</w:t>
            </w:r>
          </w:p>
        </w:tc>
      </w:tr>
      <w:tr w:rsidR="001A299F" w:rsidRPr="001A299F" w:rsidTr="001A299F">
        <w:tc>
          <w:tcPr>
            <w:tcW w:w="4077" w:type="dxa"/>
          </w:tcPr>
          <w:p w:rsidR="001A299F" w:rsidRPr="001A299F" w:rsidRDefault="001A299F" w:rsidP="001A299F">
            <w:pPr>
              <w:widowControl w:val="0"/>
              <w:autoSpaceDE w:val="0"/>
              <w:autoSpaceDN w:val="0"/>
              <w:adjustRightInd w:val="0"/>
              <w:jc w:val="both"/>
              <w:rPr>
                <w:sz w:val="24"/>
                <w:szCs w:val="24"/>
              </w:rPr>
            </w:pPr>
            <w:r w:rsidRPr="001A299F">
              <w:rPr>
                <w:sz w:val="24"/>
                <w:szCs w:val="24"/>
              </w:rPr>
              <w:t xml:space="preserve">Подпрограмма «Обеспечение реализации основных направлений государственной политики Амурской области в отдельных сферах государственного управления» </w:t>
            </w:r>
          </w:p>
        </w:tc>
        <w:tc>
          <w:tcPr>
            <w:tcW w:w="1418"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125884,5</w:t>
            </w:r>
          </w:p>
        </w:tc>
        <w:tc>
          <w:tcPr>
            <w:tcW w:w="1559"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123379,2</w:t>
            </w:r>
          </w:p>
        </w:tc>
        <w:tc>
          <w:tcPr>
            <w:tcW w:w="1220"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98,0</w:t>
            </w:r>
          </w:p>
        </w:tc>
        <w:tc>
          <w:tcPr>
            <w:tcW w:w="1757" w:type="dxa"/>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2505,3</w:t>
            </w:r>
          </w:p>
        </w:tc>
      </w:tr>
    </w:tbl>
    <w:p w:rsidR="001A299F" w:rsidRPr="001A299F" w:rsidRDefault="001A299F" w:rsidP="001A299F">
      <w:pPr>
        <w:widowControl w:val="0"/>
        <w:autoSpaceDE w:val="0"/>
        <w:autoSpaceDN w:val="0"/>
        <w:adjustRightInd w:val="0"/>
        <w:spacing w:before="120" w:after="0" w:line="240" w:lineRule="auto"/>
        <w:ind w:left="360"/>
        <w:contextualSpacing/>
        <w:jc w:val="both"/>
        <w:rPr>
          <w:rFonts w:ascii="Times New Roman" w:eastAsia="Times New Roman" w:hAnsi="Times New Roman" w:cs="Times New Roman"/>
          <w:i/>
          <w:sz w:val="24"/>
          <w:szCs w:val="24"/>
          <w:lang w:eastAsia="ru-RU"/>
        </w:rPr>
      </w:pPr>
    </w:p>
    <w:p w:rsidR="001A299F" w:rsidRPr="001A299F" w:rsidRDefault="001A299F" w:rsidP="00F60552">
      <w:pPr>
        <w:widowControl w:val="0"/>
        <w:numPr>
          <w:ilvl w:val="0"/>
          <w:numId w:val="7"/>
        </w:numPr>
        <w:tabs>
          <w:tab w:val="left" w:pos="993"/>
        </w:tabs>
        <w:autoSpaceDE w:val="0"/>
        <w:autoSpaceDN w:val="0"/>
        <w:adjustRightInd w:val="0"/>
        <w:spacing w:before="120" w:after="0" w:line="240" w:lineRule="auto"/>
        <w:ind w:left="709" w:firstLine="0"/>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«Развитие экономичес</w:t>
      </w:r>
      <w:r w:rsidR="00CA2FC6">
        <w:rPr>
          <w:rFonts w:ascii="Times New Roman" w:eastAsia="Times New Roman" w:hAnsi="Times New Roman" w:cs="Times New Roman"/>
          <w:i/>
          <w:sz w:val="24"/>
          <w:szCs w:val="24"/>
          <w:lang w:eastAsia="ru-RU"/>
        </w:rPr>
        <w:t>кого потенциала и формирование</w:t>
      </w:r>
      <w:r w:rsidRPr="001A299F">
        <w:rPr>
          <w:rFonts w:ascii="Times New Roman" w:eastAsia="Times New Roman" w:hAnsi="Times New Roman" w:cs="Times New Roman"/>
          <w:i/>
          <w:sz w:val="24"/>
          <w:szCs w:val="24"/>
          <w:lang w:eastAsia="ru-RU"/>
        </w:rPr>
        <w:t xml:space="preserve"> благоприятного инвестиционного климата на территории Амурской области»</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«Развитие экономического потенциала и формирование благоприятного инвестиционного климата на территории Амурской области» утверждены в расходах областного бюджета по целевой статье расходов 0810000 в сумме 6894,5 тыс. рублей. В общем объеме расходов государственной программы доля расходов по данной подпрограмме составляет 0,6 процента.</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99,7 процента плановых назначений.</w:t>
      </w:r>
    </w:p>
    <w:p w:rsidR="001A299F" w:rsidRPr="001A299F" w:rsidRDefault="001A299F" w:rsidP="001A299F">
      <w:pPr>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Наибольший объем бюджетных ассигнований, предусмотренных на реализацию данной подпрограммы, приходится на мероприятие – поощрение достижения  наилучших значений показателей деятельности органов местного самоуправления муниципальных районов и городских округов – 5000,0 тыс. рублей, которое исполнено в полном объеме.</w:t>
      </w:r>
    </w:p>
    <w:p w:rsidR="001A299F" w:rsidRPr="001A299F" w:rsidRDefault="001A299F" w:rsidP="001A299F">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В полном объеме исполнены следующие мероприятия подпрограммы – организация и проведение мероприятий по реализации государственной подпрограммы – 1230,6 тыс. рублей, организация подготовки специалистов области в рамках Государственного плана подготовки управленчес</w:t>
      </w:r>
      <w:r w:rsidR="00CA2FC6">
        <w:rPr>
          <w:rFonts w:ascii="Times New Roman" w:eastAsia="Times New Roman" w:hAnsi="Times New Roman" w:cs="Times New Roman"/>
          <w:sz w:val="24"/>
          <w:szCs w:val="24"/>
          <w:lang w:eastAsia="ru-RU"/>
        </w:rPr>
        <w:t>ких кадров – 331,9 тыс. рублей.</w:t>
      </w:r>
    </w:p>
    <w:p w:rsidR="001A299F" w:rsidRPr="001A299F" w:rsidRDefault="001A299F" w:rsidP="001A299F">
      <w:pPr>
        <w:autoSpaceDE w:val="0"/>
        <w:autoSpaceDN w:val="0"/>
        <w:adjustRightInd w:val="0"/>
        <w:spacing w:after="0" w:line="240" w:lineRule="auto"/>
        <w:ind w:firstLine="540"/>
        <w:jc w:val="both"/>
        <w:rPr>
          <w:rFonts w:ascii="Times New Roman" w:hAnsi="Times New Roman" w:cs="Times New Roman"/>
          <w:i/>
          <w:sz w:val="24"/>
          <w:szCs w:val="24"/>
        </w:rPr>
      </w:pPr>
      <w:r w:rsidRPr="001A299F">
        <w:rPr>
          <w:rFonts w:ascii="Times New Roman" w:eastAsia="Times New Roman" w:hAnsi="Times New Roman" w:cs="Times New Roman"/>
          <w:sz w:val="24"/>
          <w:szCs w:val="24"/>
          <w:lang w:eastAsia="ru-RU"/>
        </w:rPr>
        <w:t>Исполнение по мероприятию - подготовка управленческих кадров для организаций народного хозяйства РФ составляет 310,1  тыс. рублей (средства федерального бюджета), при плановых  назначениях 331,9 тыс. рублей, уровень исполнения – 93,4 процента.</w:t>
      </w:r>
      <w:r w:rsidRPr="001A299F">
        <w:rPr>
          <w:rFonts w:ascii="Times New Roman" w:hAnsi="Times New Roman" w:cs="Times New Roman"/>
          <w:i/>
          <w:sz w:val="24"/>
          <w:szCs w:val="24"/>
        </w:rPr>
        <w:t xml:space="preserve"> Указанное мероприятие в государственной программе</w:t>
      </w:r>
      <w:r w:rsidRPr="001A299F">
        <w:rPr>
          <w:rFonts w:ascii="Times New Roman" w:eastAsia="Times New Roman" w:hAnsi="Times New Roman" w:cs="Times New Roman"/>
          <w:i/>
          <w:sz w:val="24"/>
          <w:szCs w:val="24"/>
          <w:lang w:eastAsia="ru-RU"/>
        </w:rPr>
        <w:t xml:space="preserve"> «Экономическое развитие и инновационная экономика Амурской области на 2014-2020 годы», утвержденной постановлением Правительства Амурской области от 25.09.2013 № 445 (в редакции постановления Правительства Амурской области от 24.12.2015 № 631), в законе области об областном бюджете, </w:t>
      </w:r>
      <w:r w:rsidRPr="001A299F">
        <w:rPr>
          <w:rFonts w:ascii="Times New Roman" w:hAnsi="Times New Roman" w:cs="Times New Roman"/>
          <w:i/>
          <w:sz w:val="24"/>
          <w:szCs w:val="24"/>
        </w:rPr>
        <w:t xml:space="preserve"> </w:t>
      </w:r>
      <w:r w:rsidRPr="001A299F">
        <w:rPr>
          <w:rFonts w:ascii="Times New Roman" w:eastAsia="Times New Roman" w:hAnsi="Times New Roman" w:cs="Times New Roman"/>
          <w:i/>
          <w:sz w:val="24"/>
          <w:szCs w:val="24"/>
          <w:lang w:eastAsia="ru-RU"/>
        </w:rPr>
        <w:t>не предусмотрено, финансирование мероприятия произведено в соответствии со сводной бюджетной росписью.</w:t>
      </w:r>
    </w:p>
    <w:p w:rsidR="001A299F" w:rsidRPr="001A299F" w:rsidRDefault="001A299F" w:rsidP="00F60552">
      <w:pPr>
        <w:widowControl w:val="0"/>
        <w:numPr>
          <w:ilvl w:val="0"/>
          <w:numId w:val="7"/>
        </w:numPr>
        <w:tabs>
          <w:tab w:val="left" w:pos="993"/>
        </w:tabs>
        <w:autoSpaceDE w:val="0"/>
        <w:autoSpaceDN w:val="0"/>
        <w:adjustRightInd w:val="0"/>
        <w:spacing w:after="0" w:line="240" w:lineRule="auto"/>
        <w:ind w:left="709" w:firstLine="0"/>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«Развитие субъектов малого и среднего предпринимательства на территории Амурской области»</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«Развитие субъектов малого и среднего предпринимательства на территории Амурской области» утверждены в расходах областного бюджета по целевой статье расходов 0820000 в сумме 107723,7 тыс. рублей. В общем объеме расходов государственной программы доля расходов по данной подпрограмме составляет </w:t>
      </w:r>
      <w:r w:rsidRPr="001A299F">
        <w:rPr>
          <w:rFonts w:ascii="Times New Roman" w:hAnsi="Times New Roman" w:cs="Times New Roman"/>
          <w:sz w:val="24"/>
          <w:szCs w:val="24"/>
        </w:rPr>
        <w:br/>
        <w:t>8,8 процента.</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97,7 процента плановых назначений.</w:t>
      </w:r>
    </w:p>
    <w:p w:rsidR="001A299F" w:rsidRPr="001A299F" w:rsidRDefault="001A299F" w:rsidP="001A299F">
      <w:pPr>
        <w:autoSpaceDE w:val="0"/>
        <w:autoSpaceDN w:val="0"/>
        <w:adjustRightInd w:val="0"/>
        <w:spacing w:after="0" w:line="240" w:lineRule="auto"/>
        <w:ind w:firstLine="540"/>
        <w:jc w:val="both"/>
        <w:rPr>
          <w:rFonts w:ascii="Times New Roman" w:hAnsi="Times New Roman" w:cs="Times New Roman"/>
          <w:sz w:val="24"/>
          <w:szCs w:val="24"/>
        </w:rPr>
      </w:pPr>
      <w:r w:rsidRPr="001A299F">
        <w:rPr>
          <w:rFonts w:ascii="Times New Roman" w:hAnsi="Times New Roman" w:cs="Times New Roman"/>
          <w:sz w:val="24"/>
          <w:szCs w:val="24"/>
        </w:rPr>
        <w:lastRenderedPageBreak/>
        <w:t>Основной объем бюджетных ассигнований подпрограммы приходится на реализацию следующих мероприятий:</w:t>
      </w:r>
    </w:p>
    <w:p w:rsidR="001A299F" w:rsidRPr="001A299F" w:rsidRDefault="001A299F" w:rsidP="001A299F">
      <w:pPr>
        <w:autoSpaceDE w:val="0"/>
        <w:autoSpaceDN w:val="0"/>
        <w:adjustRightInd w:val="0"/>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-государственная поддержка малого и среднего предпринимательства, включая крестьянские (фермерские) хозяйства – 102747,2 тыс. рублей, исполнение за 2015 год составляет 100244,1 тыс. рублей, или 97,6 процента, в том числе объем предоставленных бюджетам муниципальных образований области межбюджетных трансфертов на указанное мероприятие составляет 73302,7 тыс. рублей, или 100,0 процентов плановых назначений. </w:t>
      </w:r>
    </w:p>
    <w:p w:rsidR="001A299F" w:rsidRPr="001A299F" w:rsidRDefault="001A299F" w:rsidP="001A299F">
      <w:pPr>
        <w:autoSpaceDE w:val="0"/>
        <w:autoSpaceDN w:val="0"/>
        <w:adjustRightInd w:val="0"/>
        <w:spacing w:after="0" w:line="240" w:lineRule="auto"/>
        <w:ind w:firstLine="540"/>
        <w:jc w:val="both"/>
        <w:rPr>
          <w:rFonts w:ascii="Times New Roman" w:hAnsi="Times New Roman" w:cs="Times New Roman"/>
          <w:sz w:val="24"/>
          <w:szCs w:val="24"/>
        </w:rPr>
      </w:pPr>
      <w:r w:rsidRPr="001A299F">
        <w:rPr>
          <w:rFonts w:ascii="Times New Roman" w:hAnsi="Times New Roman" w:cs="Times New Roman"/>
          <w:sz w:val="24"/>
          <w:szCs w:val="24"/>
        </w:rPr>
        <w:t>-субсидии местным бюджетам на поддержку и развитие субъектов малого и среднего предпринимательства, включая крестьянские (фермерские) хозяйства – 3858,0 тыс. рублей, исполнение – 3858,0 тыс. рублей, или 100,0 процентов.</w:t>
      </w:r>
    </w:p>
    <w:p w:rsidR="001A299F" w:rsidRPr="001A299F" w:rsidRDefault="001A299F" w:rsidP="00F60552">
      <w:pPr>
        <w:widowControl w:val="0"/>
        <w:numPr>
          <w:ilvl w:val="0"/>
          <w:numId w:val="7"/>
        </w:numPr>
        <w:tabs>
          <w:tab w:val="left" w:pos="709"/>
          <w:tab w:val="left" w:pos="993"/>
        </w:tabs>
        <w:autoSpaceDE w:val="0"/>
        <w:autoSpaceDN w:val="0"/>
        <w:adjustRightInd w:val="0"/>
        <w:spacing w:before="120" w:after="0" w:line="240" w:lineRule="auto"/>
        <w:ind w:left="709" w:firstLine="0"/>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«Развитие внешнеэкономических и межрегиональных связей на территории  Амурской области»</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«Развитие внешнеэкономических и межрегиональных связей на территории Амурской области» утверждены в расходах областного бюджета по целевой статье расходов 0830000 в сумме 2302,2 тыс. рублей. В общем объеме расходов государственной программы доля расходов по данной подпрограмме составляет 0,2 процента.</w:t>
      </w:r>
    </w:p>
    <w:p w:rsidR="001A299F" w:rsidRPr="001A299F" w:rsidRDefault="001A299F" w:rsidP="001A2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По подпрограмме «Развитие внешнеэкономических и межрегиональных связей на территории Амурской области» предусмотрено основное мероприятие - организация и проведение мероприятий по реализации государственной подпрограммы, которое </w:t>
      </w:r>
      <w:r w:rsidR="00CA2FC6">
        <w:rPr>
          <w:rFonts w:ascii="Times New Roman" w:eastAsia="Times New Roman" w:hAnsi="Times New Roman" w:cs="Times New Roman"/>
          <w:sz w:val="24"/>
          <w:szCs w:val="24"/>
          <w:lang w:eastAsia="ru-RU"/>
        </w:rPr>
        <w:t>включает:</w:t>
      </w:r>
    </w:p>
    <w:p w:rsidR="001A299F" w:rsidRPr="00CA2FC6" w:rsidRDefault="001A299F" w:rsidP="0014690C">
      <w:pPr>
        <w:pStyle w:val="afa"/>
        <w:numPr>
          <w:ilvl w:val="0"/>
          <w:numId w:val="39"/>
        </w:numPr>
        <w:tabs>
          <w:tab w:val="left" w:pos="993"/>
        </w:tabs>
        <w:ind w:left="0" w:firstLine="709"/>
        <w:jc w:val="both"/>
        <w:rPr>
          <w:sz w:val="24"/>
          <w:szCs w:val="24"/>
        </w:rPr>
      </w:pPr>
      <w:r w:rsidRPr="00CA2FC6">
        <w:rPr>
          <w:sz w:val="24"/>
          <w:szCs w:val="24"/>
        </w:rPr>
        <w:t>организацию экспозиций амурских производителей товаров (продукции) на региональных и межрегиональных выставках-ярмарках;</w:t>
      </w:r>
    </w:p>
    <w:p w:rsidR="001A299F" w:rsidRPr="00CA2FC6" w:rsidRDefault="001A299F" w:rsidP="0014690C">
      <w:pPr>
        <w:pStyle w:val="afa"/>
        <w:numPr>
          <w:ilvl w:val="0"/>
          <w:numId w:val="39"/>
        </w:numPr>
        <w:tabs>
          <w:tab w:val="left" w:pos="993"/>
        </w:tabs>
        <w:ind w:left="0" w:firstLine="709"/>
        <w:jc w:val="both"/>
        <w:rPr>
          <w:sz w:val="24"/>
          <w:szCs w:val="24"/>
        </w:rPr>
      </w:pPr>
      <w:r w:rsidRPr="00CA2FC6">
        <w:rPr>
          <w:sz w:val="24"/>
          <w:szCs w:val="24"/>
        </w:rPr>
        <w:t>информационно-техническую поддержку внешнеэкономической деятельности;</w:t>
      </w:r>
    </w:p>
    <w:p w:rsidR="001A299F" w:rsidRPr="00CA2FC6" w:rsidRDefault="001A299F" w:rsidP="0014690C">
      <w:pPr>
        <w:pStyle w:val="afa"/>
        <w:numPr>
          <w:ilvl w:val="0"/>
          <w:numId w:val="39"/>
        </w:numPr>
        <w:tabs>
          <w:tab w:val="left" w:pos="993"/>
        </w:tabs>
        <w:ind w:left="0" w:firstLine="709"/>
        <w:jc w:val="both"/>
        <w:rPr>
          <w:sz w:val="24"/>
          <w:szCs w:val="24"/>
        </w:rPr>
      </w:pPr>
      <w:r w:rsidRPr="00CA2FC6">
        <w:rPr>
          <w:sz w:val="24"/>
          <w:szCs w:val="24"/>
        </w:rPr>
        <w:t>организацию и проведение промоутерских мероприятий в субъектах Российской Федерации;</w:t>
      </w:r>
    </w:p>
    <w:p w:rsidR="001A299F" w:rsidRPr="00CA2FC6" w:rsidRDefault="001A299F" w:rsidP="0014690C">
      <w:pPr>
        <w:pStyle w:val="afa"/>
        <w:numPr>
          <w:ilvl w:val="0"/>
          <w:numId w:val="39"/>
        </w:numPr>
        <w:tabs>
          <w:tab w:val="left" w:pos="993"/>
        </w:tabs>
        <w:ind w:left="0" w:firstLine="709"/>
        <w:jc w:val="both"/>
        <w:rPr>
          <w:sz w:val="24"/>
          <w:szCs w:val="24"/>
        </w:rPr>
      </w:pPr>
      <w:r w:rsidRPr="00CA2FC6">
        <w:rPr>
          <w:sz w:val="24"/>
          <w:szCs w:val="24"/>
        </w:rPr>
        <w:t>организацию участия Амурской области в крупных международных выставочно-ярмарочных и иных мероприятиях;</w:t>
      </w:r>
    </w:p>
    <w:p w:rsidR="001A299F" w:rsidRPr="00CA2FC6" w:rsidRDefault="001A299F" w:rsidP="0014690C">
      <w:pPr>
        <w:pStyle w:val="afa"/>
        <w:numPr>
          <w:ilvl w:val="0"/>
          <w:numId w:val="39"/>
        </w:numPr>
        <w:tabs>
          <w:tab w:val="left" w:pos="993"/>
        </w:tabs>
        <w:ind w:left="0" w:firstLine="709"/>
        <w:jc w:val="both"/>
        <w:rPr>
          <w:sz w:val="24"/>
          <w:szCs w:val="24"/>
        </w:rPr>
      </w:pPr>
      <w:r w:rsidRPr="00CA2FC6">
        <w:rPr>
          <w:sz w:val="24"/>
          <w:szCs w:val="24"/>
        </w:rPr>
        <w:t>проведение семинаров, конференций, «круглых столов» и совещаний по вопросам внешнеэкономической деятельности;</w:t>
      </w:r>
    </w:p>
    <w:p w:rsidR="001A299F" w:rsidRPr="00CA2FC6" w:rsidRDefault="001A299F" w:rsidP="0014690C">
      <w:pPr>
        <w:pStyle w:val="afa"/>
        <w:numPr>
          <w:ilvl w:val="0"/>
          <w:numId w:val="39"/>
        </w:numPr>
        <w:tabs>
          <w:tab w:val="left" w:pos="993"/>
        </w:tabs>
        <w:ind w:left="0" w:firstLine="709"/>
        <w:jc w:val="both"/>
        <w:rPr>
          <w:sz w:val="24"/>
          <w:szCs w:val="24"/>
        </w:rPr>
      </w:pPr>
      <w:r w:rsidRPr="00CA2FC6">
        <w:rPr>
          <w:sz w:val="24"/>
          <w:szCs w:val="24"/>
        </w:rPr>
        <w:t>изготовление имиджевой продукции, организацию и проведение иных мероприятий в сфере внешнеэкономических и межрегиональных связей.</w:t>
      </w:r>
    </w:p>
    <w:p w:rsidR="001A299F" w:rsidRPr="001A299F" w:rsidRDefault="001A299F" w:rsidP="001A299F">
      <w:pPr>
        <w:autoSpaceDE w:val="0"/>
        <w:autoSpaceDN w:val="0"/>
        <w:adjustRightInd w:val="0"/>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В 2015 году на организацию и проведение мероприятий по реализации государственной подпрограммы направлено 2302,2 тыс. рублей, или 100,0</w:t>
      </w:r>
      <w:r w:rsidR="00CA2FC6">
        <w:rPr>
          <w:rFonts w:ascii="Times New Roman" w:hAnsi="Times New Roman" w:cs="Times New Roman"/>
          <w:sz w:val="24"/>
          <w:szCs w:val="24"/>
        </w:rPr>
        <w:t xml:space="preserve"> процентов плановых назначений.</w:t>
      </w:r>
    </w:p>
    <w:p w:rsidR="001A299F" w:rsidRPr="001A299F" w:rsidRDefault="001A299F" w:rsidP="00F60552">
      <w:pPr>
        <w:widowControl w:val="0"/>
        <w:numPr>
          <w:ilvl w:val="0"/>
          <w:numId w:val="7"/>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«Оказание содействия добровольному переселению в Амурскую область соотечественников, проживающих за рубежом»</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«Оказание содействия добровольному переселению в Амурскую область соотечественников, проживающих за рубежом» утверждены в расходах областного бюджета по целевой статье расходов 0840000 в сумме 1366,8 тыс. рублей. В общем объеме расходов государственной программы доля расходов по данной подпрограмме составляет 0,1 процента.</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99,5 процента плановых назначений.</w:t>
      </w:r>
    </w:p>
    <w:p w:rsidR="001A299F" w:rsidRPr="001A299F" w:rsidRDefault="001A299F" w:rsidP="001A299F">
      <w:pPr>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В полном объеме исполнены расходы на организацию и проведение мероприятий по реализации государственной подпрограммы - 68,5 тыс. рублей (социальное обеспечение и иные выплаты населению).</w:t>
      </w:r>
    </w:p>
    <w:p w:rsidR="001A299F" w:rsidRPr="001A299F" w:rsidRDefault="001A299F" w:rsidP="00CA2FC6">
      <w:pPr>
        <w:autoSpaceDE w:val="0"/>
        <w:autoSpaceDN w:val="0"/>
        <w:adjustRightInd w:val="0"/>
        <w:spacing w:after="0" w:line="240" w:lineRule="auto"/>
        <w:ind w:firstLine="709"/>
        <w:jc w:val="both"/>
        <w:rPr>
          <w:rFonts w:ascii="Times New Roman" w:hAnsi="Times New Roman" w:cs="Times New Roman"/>
          <w:i/>
          <w:sz w:val="24"/>
          <w:szCs w:val="24"/>
        </w:rPr>
      </w:pPr>
      <w:r w:rsidRPr="001A299F">
        <w:rPr>
          <w:rFonts w:ascii="Times New Roman" w:hAnsi="Times New Roman" w:cs="Times New Roman"/>
          <w:sz w:val="24"/>
          <w:szCs w:val="24"/>
        </w:rPr>
        <w:t xml:space="preserve">Исполнение за 2015 год по расходам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составляет 1291,5 тыс. рублей (социальное обеспечение и иные выплаты населению – средства федерального бюджета), или </w:t>
      </w:r>
      <w:r w:rsidRPr="001A299F">
        <w:rPr>
          <w:rFonts w:ascii="Times New Roman" w:hAnsi="Times New Roman" w:cs="Times New Roman"/>
          <w:sz w:val="24"/>
          <w:szCs w:val="24"/>
        </w:rPr>
        <w:br/>
        <w:t>99,5 процента плановых назначений.</w:t>
      </w:r>
      <w:r w:rsidRPr="001A299F">
        <w:rPr>
          <w:rFonts w:ascii="Times New Roman" w:hAnsi="Times New Roman" w:cs="Times New Roman"/>
          <w:i/>
          <w:sz w:val="24"/>
          <w:szCs w:val="24"/>
        </w:rPr>
        <w:t xml:space="preserve"> Указанное мероприятие в государственной программе</w:t>
      </w:r>
      <w:r w:rsidRPr="001A299F">
        <w:rPr>
          <w:rFonts w:ascii="Times New Roman" w:eastAsia="Times New Roman" w:hAnsi="Times New Roman" w:cs="Times New Roman"/>
          <w:i/>
          <w:sz w:val="24"/>
          <w:szCs w:val="24"/>
          <w:lang w:eastAsia="ru-RU"/>
        </w:rPr>
        <w:t xml:space="preserve"> «Экономическое развитие и инновационная экономика Амурской области на 2014-2020 </w:t>
      </w:r>
      <w:r w:rsidRPr="001A299F">
        <w:rPr>
          <w:rFonts w:ascii="Times New Roman" w:eastAsia="Times New Roman" w:hAnsi="Times New Roman" w:cs="Times New Roman"/>
          <w:i/>
          <w:sz w:val="24"/>
          <w:szCs w:val="24"/>
          <w:lang w:eastAsia="ru-RU"/>
        </w:rPr>
        <w:lastRenderedPageBreak/>
        <w:t xml:space="preserve">годы», утвержденной постановлением Правительства Амурской области от 25.09.2013 </w:t>
      </w:r>
      <w:r w:rsidRPr="001A299F">
        <w:rPr>
          <w:rFonts w:ascii="Times New Roman" w:eastAsia="Times New Roman" w:hAnsi="Times New Roman" w:cs="Times New Roman"/>
          <w:i/>
          <w:sz w:val="24"/>
          <w:szCs w:val="24"/>
          <w:lang w:eastAsia="ru-RU"/>
        </w:rPr>
        <w:br/>
        <w:t>№ 445 (в редакции постановления Правительства Амурской области от 24.12.2015 № 631), в законе области об областном бюджете, не предусмотрено, финансирование мероприятия произведено в соответствии со сводной бюджетной росписью.</w:t>
      </w:r>
    </w:p>
    <w:p w:rsidR="001A299F" w:rsidRPr="001A299F" w:rsidRDefault="001A299F" w:rsidP="00F60552">
      <w:pPr>
        <w:widowControl w:val="0"/>
        <w:numPr>
          <w:ilvl w:val="0"/>
          <w:numId w:val="7"/>
        </w:numPr>
        <w:tabs>
          <w:tab w:val="left" w:pos="993"/>
        </w:tabs>
        <w:autoSpaceDE w:val="0"/>
        <w:autoSpaceDN w:val="0"/>
        <w:adjustRightInd w:val="0"/>
        <w:spacing w:before="120" w:after="0" w:line="240" w:lineRule="auto"/>
        <w:ind w:left="709" w:firstLine="0"/>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«Развитие внутреннего и въездного туризма в Амурской области»</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«Развитие внутреннего и въездного туризма в Амурской области» утверждены в расходах областного бюджета по целевой статье расходов 0850000 в сумме 220531,0 тыс. рублей. В общем объеме расходов государственной программы доля расходов по данной подпрограмме составляет 18,1 процента.</w:t>
      </w:r>
    </w:p>
    <w:p w:rsidR="001A299F" w:rsidRPr="001A299F" w:rsidRDefault="001A299F" w:rsidP="00CE0D71">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99,9 процента плановых назначений.</w:t>
      </w:r>
      <w:r w:rsidR="00CE0D71">
        <w:rPr>
          <w:rFonts w:ascii="Times New Roman" w:hAnsi="Times New Roman" w:cs="Times New Roman"/>
          <w:sz w:val="24"/>
          <w:szCs w:val="24"/>
        </w:rPr>
        <w:t xml:space="preserve"> </w:t>
      </w:r>
      <w:r w:rsidRPr="001A299F">
        <w:rPr>
          <w:rFonts w:ascii="Times New Roman" w:eastAsia="Times New Roman" w:hAnsi="Times New Roman" w:cs="Times New Roman"/>
          <w:sz w:val="24"/>
          <w:szCs w:val="24"/>
          <w:lang w:eastAsia="ru-RU"/>
        </w:rPr>
        <w:t xml:space="preserve">Наибольший объем бюджетных ассигнований, предусмотренных на реализацию данной подпрограммы, приходится на реализацию мероприятий федеральной целевой программы «Развитие внутреннего и въездного туризма в Российской Федерации (2011-2018 годы)» – 204138,5 тыс. рублей (межбюджетные трансферты муниципальным образованиям области), которые исполнены в полном объеме. В полном объеме исполнены расходы на </w:t>
      </w:r>
      <w:r w:rsidRPr="001A299F">
        <w:rPr>
          <w:rFonts w:ascii="Times New Roman" w:hAnsi="Times New Roman" w:cs="Times New Roman"/>
          <w:sz w:val="24"/>
          <w:szCs w:val="24"/>
        </w:rPr>
        <w:t>обеспечение деятельности (оказание услуг) государственных учреждений – 3200,0 тыс. рублей, капитальные вложения в объекты муниципальной собственности – 12902,0 тыс. рублей.</w:t>
      </w:r>
    </w:p>
    <w:p w:rsidR="001A299F" w:rsidRPr="001A299F" w:rsidRDefault="001A299F" w:rsidP="00F60552">
      <w:pPr>
        <w:widowControl w:val="0"/>
        <w:numPr>
          <w:ilvl w:val="0"/>
          <w:numId w:val="7"/>
        </w:numPr>
        <w:tabs>
          <w:tab w:val="left" w:pos="993"/>
        </w:tabs>
        <w:autoSpaceDE w:val="0"/>
        <w:autoSpaceDN w:val="0"/>
        <w:adjustRightInd w:val="0"/>
        <w:spacing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«Содействие занятости населения Амурской области»</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«Содействие занятости населения Амурской области» утверждены в расходах областного бюджета по целевой статье расходов 0860000 в сумме 754963,6 тыс. рублей. В общем объеме расходов государственной программы доля расходов по данной подпрограмме составляет 61,9 процента.</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96,4 процента плановых назначений.</w:t>
      </w:r>
    </w:p>
    <w:p w:rsidR="001A299F" w:rsidRPr="001A299F" w:rsidRDefault="001A299F" w:rsidP="00CE0D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Основной объем бюджетных ассигнований подпрограммы, приходится на реализацию следующих мероприятий:</w:t>
      </w:r>
      <w:r w:rsidRPr="001A299F">
        <w:rPr>
          <w:rFonts w:ascii="Times New Roman" w:eastAsia="Times New Roman" w:hAnsi="Times New Roman" w:cs="Times New Roman"/>
          <w:sz w:val="24"/>
          <w:szCs w:val="24"/>
          <w:lang w:eastAsia="ru-RU"/>
        </w:rPr>
        <w:t>-социальные выплаты безработным гражданам (средства федерального бюджета) – 521890,7 тыс. рублей, исполнение составляет – 521824,8 тыс. рублей, или 99,9 процента плановых назначений;</w:t>
      </w:r>
      <w:r w:rsidR="00CE0D71">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sz w:val="24"/>
          <w:szCs w:val="24"/>
          <w:lang w:eastAsia="ru-RU"/>
        </w:rPr>
        <w:t>-расходы на обеспечение деятельности (оказание услуг) государственных учреждений – 191995,1 тыс. рублей, исполнение – 190071,4 тыс. рублей, или 99,0 процентов.</w:t>
      </w:r>
    </w:p>
    <w:p w:rsidR="001A299F" w:rsidRPr="001A299F" w:rsidRDefault="001A299F" w:rsidP="00F60552">
      <w:pPr>
        <w:widowControl w:val="0"/>
        <w:numPr>
          <w:ilvl w:val="0"/>
          <w:numId w:val="7"/>
        </w:numPr>
        <w:tabs>
          <w:tab w:val="left" w:pos="993"/>
        </w:tabs>
        <w:autoSpaceDE w:val="0"/>
        <w:autoSpaceDN w:val="0"/>
        <w:adjustRightInd w:val="0"/>
        <w:spacing w:before="120" w:after="0" w:line="240" w:lineRule="auto"/>
        <w:ind w:left="709" w:firstLine="0"/>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Амурской области в отдельных сферах государственного управления»</w:t>
      </w:r>
    </w:p>
    <w:p w:rsidR="001A299F" w:rsidRPr="001A299F" w:rsidRDefault="001A299F" w:rsidP="00CE0D71">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«Обеспечение реализации основных направлений государственной политики Амурской области в отдельных сферах государственного управления» утверждены в расходах областного бюджета по целевой статье расходов 0870000 в сумме 125884,5 тыс. рублей. В общем объеме расходов государственной программы доля расходов по данной подпрограмме составляет </w:t>
      </w:r>
      <w:r w:rsidRPr="001A299F">
        <w:rPr>
          <w:rFonts w:ascii="Times New Roman" w:hAnsi="Times New Roman" w:cs="Times New Roman"/>
          <w:sz w:val="24"/>
          <w:szCs w:val="24"/>
        </w:rPr>
        <w:br/>
        <w:t>10,3 процента.</w:t>
      </w:r>
      <w:r w:rsidR="00CE0D71">
        <w:rPr>
          <w:rFonts w:ascii="Times New Roman" w:hAnsi="Times New Roman" w:cs="Times New Roman"/>
          <w:sz w:val="24"/>
          <w:szCs w:val="24"/>
        </w:rPr>
        <w:t xml:space="preserve"> </w:t>
      </w: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98,0 процентов плановых назначений (исполнение - 123379,2 тыс. рублей).</w:t>
      </w:r>
      <w:r w:rsidR="00CE0D71">
        <w:rPr>
          <w:rFonts w:ascii="Times New Roman" w:hAnsi="Times New Roman" w:cs="Times New Roman"/>
          <w:sz w:val="24"/>
          <w:szCs w:val="24"/>
        </w:rPr>
        <w:t xml:space="preserve"> </w:t>
      </w:r>
      <w:r w:rsidRPr="001A299F">
        <w:rPr>
          <w:rFonts w:ascii="Times New Roman" w:hAnsi="Times New Roman" w:cs="Times New Roman"/>
          <w:sz w:val="24"/>
          <w:szCs w:val="24"/>
        </w:rPr>
        <w:t>По данной подпрограмме осуществлялось финансирование расходов на обеспечение функций исполнительных органов государственной власти.</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В сводном годовом докладе о ходе реализации и об оценке эффективности реализации государственных программ области (приложение № 1 к сводному докладу), представленном одновременно с проектом закона Амурской области «Об исполнении областного бюджета за 2015 год» бюджетные ассигнования по государственной программе «</w:t>
      </w:r>
      <w:r w:rsidRPr="001A299F">
        <w:rPr>
          <w:rFonts w:ascii="Times New Roman" w:eastAsia="Times New Roman" w:hAnsi="Times New Roman" w:cs="Times New Roman"/>
          <w:sz w:val="24"/>
          <w:szCs w:val="24"/>
          <w:lang w:eastAsia="ru-RU"/>
        </w:rPr>
        <w:t xml:space="preserve">Экономическое развитие и инновационная экономика Амурской области на 2014-2020 годы» </w:t>
      </w:r>
      <w:r w:rsidRPr="001A299F">
        <w:rPr>
          <w:rFonts w:ascii="Times New Roman" w:hAnsi="Times New Roman" w:cs="Times New Roman"/>
          <w:sz w:val="24"/>
          <w:szCs w:val="24"/>
        </w:rPr>
        <w:t>отражены в разрезе подпрограмм и мероприятий в объемах, утвержденных сводной бюджетной росписью на 2015 год. Результаты исполнения за 2015 год по государственной программе, отраженные в сводном годовом докладе, соответствуют результатам исполнения областного бюджета по государственной программе, отраженным в законопроекте.</w:t>
      </w:r>
    </w:p>
    <w:p w:rsidR="001A299F" w:rsidRPr="00CE0D71"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lastRenderedPageBreak/>
        <w:t>Основные направления исполнения расходов областного бюджета за 2015 год по государственной программе «</w:t>
      </w:r>
      <w:r w:rsidRPr="001A299F">
        <w:rPr>
          <w:rFonts w:ascii="Times New Roman" w:eastAsia="Times New Roman" w:hAnsi="Times New Roman" w:cs="Times New Roman"/>
          <w:sz w:val="24"/>
          <w:szCs w:val="24"/>
          <w:lang w:eastAsia="ru-RU"/>
        </w:rPr>
        <w:t xml:space="preserve">Экономическое развитие и инновационная экономика Амурской области на 2014-2020 годы» представлены на </w:t>
      </w:r>
      <w:r w:rsidRPr="00CE0D71">
        <w:rPr>
          <w:rFonts w:ascii="Times New Roman" w:eastAsia="Times New Roman" w:hAnsi="Times New Roman" w:cs="Times New Roman"/>
          <w:sz w:val="24"/>
          <w:szCs w:val="24"/>
          <w:lang w:eastAsia="ru-RU"/>
        </w:rPr>
        <w:t>рисунке</w:t>
      </w:r>
      <w:r w:rsidR="00CE0D71" w:rsidRPr="00CE0D71">
        <w:rPr>
          <w:rFonts w:ascii="Times New Roman" w:eastAsia="Times New Roman" w:hAnsi="Times New Roman" w:cs="Times New Roman"/>
          <w:sz w:val="24"/>
          <w:szCs w:val="24"/>
          <w:lang w:eastAsia="ru-RU"/>
        </w:rPr>
        <w:t xml:space="preserve"> 30</w:t>
      </w:r>
      <w:r w:rsidRPr="00CE0D71">
        <w:rPr>
          <w:rFonts w:ascii="Times New Roman" w:eastAsia="Times New Roman" w:hAnsi="Times New Roman" w:cs="Times New Roman"/>
          <w:sz w:val="24"/>
          <w:szCs w:val="24"/>
          <w:lang w:eastAsia="ru-RU"/>
        </w:rPr>
        <w:t>.</w:t>
      </w:r>
    </w:p>
    <w:p w:rsidR="001A299F" w:rsidRPr="001A299F" w:rsidRDefault="001A299F" w:rsidP="001A299F">
      <w:pPr>
        <w:spacing w:after="0" w:line="240" w:lineRule="auto"/>
        <w:ind w:firstLine="709"/>
        <w:jc w:val="both"/>
        <w:rPr>
          <w:rFonts w:ascii="Times New Roman" w:hAnsi="Times New Roman" w:cs="Times New Roman"/>
          <w:sz w:val="24"/>
          <w:szCs w:val="24"/>
        </w:rPr>
      </w:pPr>
    </w:p>
    <w:p w:rsidR="001A299F" w:rsidRPr="001A299F" w:rsidRDefault="001A299F" w:rsidP="00CA2FC6">
      <w:pPr>
        <w:spacing w:after="0" w:line="240" w:lineRule="auto"/>
        <w:jc w:val="both"/>
        <w:rPr>
          <w:rFonts w:ascii="Times New Roman" w:hAnsi="Times New Roman" w:cs="Times New Roman"/>
          <w:sz w:val="24"/>
          <w:szCs w:val="24"/>
        </w:rPr>
      </w:pPr>
      <w:r w:rsidRPr="001A299F">
        <w:rPr>
          <w:rFonts w:ascii="Times New Roman" w:hAnsi="Times New Roman" w:cs="Times New Roman"/>
          <w:noProof/>
          <w:sz w:val="24"/>
          <w:szCs w:val="24"/>
          <w:lang w:eastAsia="ru-RU"/>
        </w:rPr>
        <w:drawing>
          <wp:inline distT="0" distB="0" distL="0" distR="0" wp14:anchorId="42290DC4" wp14:editId="3C01FC4F">
            <wp:extent cx="6181725" cy="391477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A299F" w:rsidRPr="001A299F" w:rsidRDefault="001A299F" w:rsidP="001A299F">
      <w:pPr>
        <w:spacing w:after="0" w:line="240" w:lineRule="auto"/>
        <w:ind w:firstLine="709"/>
        <w:jc w:val="center"/>
        <w:rPr>
          <w:rFonts w:ascii="Times New Roman" w:hAnsi="Times New Roman" w:cs="Times New Roman"/>
          <w:b/>
          <w:sz w:val="24"/>
          <w:szCs w:val="24"/>
        </w:rPr>
      </w:pPr>
      <w:r w:rsidRPr="00CE0D71">
        <w:rPr>
          <w:rFonts w:ascii="Times New Roman" w:hAnsi="Times New Roman" w:cs="Times New Roman"/>
          <w:b/>
          <w:sz w:val="24"/>
          <w:szCs w:val="24"/>
        </w:rPr>
        <w:t xml:space="preserve">Рис. </w:t>
      </w:r>
      <w:r w:rsidR="00CE0D71" w:rsidRPr="00CE0D71">
        <w:rPr>
          <w:rFonts w:ascii="Times New Roman" w:hAnsi="Times New Roman" w:cs="Times New Roman"/>
          <w:b/>
          <w:sz w:val="24"/>
          <w:szCs w:val="24"/>
        </w:rPr>
        <w:t xml:space="preserve">30 - </w:t>
      </w:r>
      <w:r w:rsidRPr="00CE0D71">
        <w:rPr>
          <w:rFonts w:ascii="Times New Roman" w:hAnsi="Times New Roman" w:cs="Times New Roman"/>
          <w:b/>
          <w:sz w:val="24"/>
          <w:szCs w:val="24"/>
        </w:rPr>
        <w:t xml:space="preserve">Основные </w:t>
      </w:r>
      <w:r w:rsidRPr="001A299F">
        <w:rPr>
          <w:rFonts w:ascii="Times New Roman" w:hAnsi="Times New Roman" w:cs="Times New Roman"/>
          <w:b/>
          <w:sz w:val="24"/>
          <w:szCs w:val="24"/>
        </w:rPr>
        <w:t xml:space="preserve">направления исполнения </w:t>
      </w:r>
      <w:r w:rsidR="00CE0D71">
        <w:rPr>
          <w:rFonts w:ascii="Times New Roman" w:hAnsi="Times New Roman" w:cs="Times New Roman"/>
          <w:b/>
          <w:sz w:val="24"/>
          <w:szCs w:val="24"/>
        </w:rPr>
        <w:t>расходов областного бюджета за</w:t>
      </w:r>
      <w:r w:rsidR="00CE0D71">
        <w:rPr>
          <w:rFonts w:ascii="Times New Roman" w:hAnsi="Times New Roman" w:cs="Times New Roman"/>
          <w:b/>
          <w:sz w:val="24"/>
          <w:szCs w:val="24"/>
        </w:rPr>
        <w:br/>
      </w:r>
      <w:r w:rsidRPr="001A299F">
        <w:rPr>
          <w:rFonts w:ascii="Times New Roman" w:hAnsi="Times New Roman" w:cs="Times New Roman"/>
          <w:b/>
          <w:sz w:val="24"/>
          <w:szCs w:val="24"/>
        </w:rPr>
        <w:t>2015 год по государственной программе «</w:t>
      </w:r>
      <w:r w:rsidRPr="001A299F">
        <w:rPr>
          <w:rFonts w:ascii="Times New Roman" w:eastAsia="Times New Roman" w:hAnsi="Times New Roman" w:cs="Times New Roman"/>
          <w:b/>
          <w:sz w:val="24"/>
          <w:szCs w:val="24"/>
          <w:lang w:eastAsia="ru-RU"/>
        </w:rPr>
        <w:t>Экономическое развитие и инновационная экономика Амурской области на 2014-2020 годы», млн. руб.</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5.9. Исполнение расходов областного бюджета за 2015 год в рамках государственной программы «Развитие физической культуры и спорта на территории Амурской области на 2014-2020 годы»</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«Развитие физической культуры и спорта на территории Амурской области на 2014-2020 годы» утверждена постановлением Правительства Амурской области от 25.09.2013 № 451 (в редакции постановления Правительства Амурской области от 23.12.2015 № 629). Координатором и участником государственной программы является министерство по физической куль</w:t>
      </w:r>
      <w:r w:rsidR="0046709F">
        <w:rPr>
          <w:rFonts w:ascii="Times New Roman" w:eastAsia="Times New Roman" w:hAnsi="Times New Roman" w:cs="Times New Roman"/>
          <w:sz w:val="24"/>
          <w:szCs w:val="24"/>
          <w:lang w:eastAsia="ru-RU"/>
        </w:rPr>
        <w:t>туре и спорту Амурской области.</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«Развитие физической культуры и спорта на территории Амурской области на 2014-2020 годы» включает 2 подпрограммы.</w:t>
      </w:r>
    </w:p>
    <w:p w:rsidR="001A299F" w:rsidRPr="001A299F" w:rsidRDefault="001A299F" w:rsidP="001A2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Законом Амурской области «Об областном бюджете на 2015 год и плановый период 2016 и 2017 годов» (ред. от 25.12.2015) на реализацию государственной программы «Развитие физической культуры и спорта на территории Амурской области на </w:t>
      </w:r>
      <w:r w:rsidRPr="001A299F">
        <w:rPr>
          <w:rFonts w:ascii="Times New Roman" w:eastAsia="Times New Roman" w:hAnsi="Times New Roman" w:cs="Times New Roman"/>
          <w:sz w:val="24"/>
          <w:szCs w:val="24"/>
          <w:lang w:eastAsia="ru-RU"/>
        </w:rPr>
        <w:br/>
        <w:t>2014-2020 годы» утверждены бюджетные ассигнования в сумме 140965,8 тыс. рублей.</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Сводной бюджетной росписью расходов областного бюджета на 2015 год на реализацию программы предусмотрено 267671,4 тыс. рублей. Отклонение бюджетных ассигнований, утвержденных законом об областном бюджете от бюджетных ассигнований, утвержденных сводной бюджетной росписью составляет 126705,6 тыс. рублей – средства федерального бюджета в рамках реализации подпрограммы </w:t>
      </w:r>
      <w:r w:rsidRPr="001A299F">
        <w:rPr>
          <w:sz w:val="24"/>
          <w:szCs w:val="24"/>
        </w:rPr>
        <w:t>«</w:t>
      </w:r>
      <w:r w:rsidRPr="001A299F">
        <w:rPr>
          <w:rFonts w:ascii="Times New Roman" w:hAnsi="Times New Roman" w:cs="Times New Roman"/>
          <w:sz w:val="24"/>
          <w:szCs w:val="24"/>
        </w:rPr>
        <w:t xml:space="preserve">Развитие инфраструктуры физической культуры, массового спорта и поддержка спорта высших достижений» </w:t>
      </w:r>
      <w:r w:rsidRPr="001A299F">
        <w:rPr>
          <w:rFonts w:ascii="Times New Roman" w:eastAsia="Times New Roman" w:hAnsi="Times New Roman" w:cs="Times New Roman"/>
          <w:sz w:val="24"/>
          <w:szCs w:val="24"/>
          <w:lang w:eastAsia="ru-RU"/>
        </w:rPr>
        <w:t xml:space="preserve">на финансовое обеспечение расходов общепрограммного характера по федеральной целевой программе «Развитие физической культуры и спорта в Российской Федерации на </w:t>
      </w:r>
      <w:r w:rsidRPr="001A299F">
        <w:rPr>
          <w:rFonts w:ascii="Times New Roman" w:eastAsia="Times New Roman" w:hAnsi="Times New Roman" w:cs="Times New Roman"/>
          <w:sz w:val="24"/>
          <w:szCs w:val="24"/>
          <w:lang w:eastAsia="ru-RU"/>
        </w:rPr>
        <w:br/>
        <w:t xml:space="preserve">2006-2015 годы» - 120000,0 тыс. рублей, на адресную финансовую поддержку спортивных организаций, осуществляющих подготовку спортивного резерва для сборных команд </w:t>
      </w:r>
      <w:r w:rsidRPr="001A299F">
        <w:rPr>
          <w:rFonts w:ascii="Times New Roman" w:eastAsia="Times New Roman" w:hAnsi="Times New Roman" w:cs="Times New Roman"/>
          <w:sz w:val="24"/>
          <w:szCs w:val="24"/>
          <w:lang w:eastAsia="ru-RU"/>
        </w:rPr>
        <w:lastRenderedPageBreak/>
        <w:t>Российской Федерации – 6705,6 тыс. рублей.</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Объем бюджетных ассигнований на реализацию государственной программы, утвержденный постановлением Правительства Амурской области от 25.09.2013 № 451 (в редакции постановления Правительства Амурской области от 23.12.2015 № 629), составляет 260965,8 тыс. рублей. Отклонение от бюджетных ассигнований, утвержденных законом об областном бюджете – 120000,0 тыс. рубле -</w:t>
      </w:r>
      <w:r w:rsidR="0046709F">
        <w:rPr>
          <w:rFonts w:ascii="Times New Roman" w:eastAsia="Times New Roman" w:hAnsi="Times New Roman" w:cs="Times New Roman"/>
          <w:sz w:val="24"/>
          <w:szCs w:val="24"/>
          <w:lang w:eastAsia="ru-RU"/>
        </w:rPr>
        <w:t xml:space="preserve"> средства федерального бюджета.</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Исполнение бюджетных назначений, предусмотренных на реализацию программы сводной бюджетной росписью расходов, составило 265496,1 тыс. рублей, или 99,2 процента плановых назначений.</w:t>
      </w:r>
    </w:p>
    <w:p w:rsidR="001A299F" w:rsidRPr="00CE0D71"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D71">
        <w:rPr>
          <w:rFonts w:ascii="Times New Roman" w:eastAsia="Times New Roman" w:hAnsi="Times New Roman" w:cs="Times New Roman"/>
          <w:sz w:val="24"/>
          <w:szCs w:val="24"/>
          <w:lang w:eastAsia="ru-RU"/>
        </w:rPr>
        <w:t>В таблице 12 представлена информация об исполнении государственной программы «Развитие физической культуры и спорта на территории Амурской области на</w:t>
      </w:r>
      <w:r w:rsidRPr="00CE0D71">
        <w:rPr>
          <w:rFonts w:ascii="Times New Roman" w:eastAsia="Times New Roman" w:hAnsi="Times New Roman" w:cs="Times New Roman"/>
          <w:sz w:val="24"/>
          <w:szCs w:val="24"/>
          <w:lang w:eastAsia="ru-RU"/>
        </w:rPr>
        <w:br/>
        <w:t>2014-2020 годы» в разрезе подпрограмм.</w:t>
      </w:r>
    </w:p>
    <w:p w:rsidR="001A299F" w:rsidRPr="00CE0D71" w:rsidRDefault="001A299F" w:rsidP="001A299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0D71">
        <w:rPr>
          <w:rFonts w:ascii="Times New Roman" w:eastAsia="Times New Roman" w:hAnsi="Times New Roman" w:cs="Times New Roman"/>
          <w:sz w:val="24"/>
          <w:szCs w:val="24"/>
          <w:lang w:eastAsia="ru-RU"/>
        </w:rPr>
        <w:t>Таблица 12</w:t>
      </w:r>
    </w:p>
    <w:p w:rsidR="001A299F" w:rsidRPr="001A299F" w:rsidRDefault="001A299F" w:rsidP="001A299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Анализ исполнения государственной программы «Развитие физической культуры и спорта на территории Амурской области на 2014-2020 годы» в разрезе подпрограмм</w:t>
      </w:r>
    </w:p>
    <w:p w:rsidR="001A299F" w:rsidRPr="001A299F" w:rsidRDefault="001A299F" w:rsidP="001A29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тыс. рублей</w:t>
      </w:r>
    </w:p>
    <w:tbl>
      <w:tblPr>
        <w:tblStyle w:val="a6"/>
        <w:tblW w:w="0" w:type="auto"/>
        <w:tblLook w:val="04A0" w:firstRow="1" w:lastRow="0" w:firstColumn="1" w:lastColumn="0" w:noHBand="0" w:noVBand="1"/>
      </w:tblPr>
      <w:tblGrid>
        <w:gridCol w:w="3453"/>
        <w:gridCol w:w="1116"/>
        <w:gridCol w:w="1531"/>
        <w:gridCol w:w="1805"/>
        <w:gridCol w:w="1948"/>
      </w:tblGrid>
      <w:tr w:rsidR="001A299F" w:rsidRPr="001A299F" w:rsidTr="001A299F">
        <w:trPr>
          <w:trHeight w:val="687"/>
          <w:tblHeader/>
        </w:trPr>
        <w:tc>
          <w:tcPr>
            <w:tcW w:w="3453" w:type="dxa"/>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Наименование государственной программы/подпрограммы</w:t>
            </w:r>
          </w:p>
        </w:tc>
        <w:tc>
          <w:tcPr>
            <w:tcW w:w="1116" w:type="dxa"/>
            <w:noWrap/>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План</w:t>
            </w:r>
          </w:p>
        </w:tc>
        <w:tc>
          <w:tcPr>
            <w:tcW w:w="1531" w:type="dxa"/>
            <w:noWrap/>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Исполнение</w:t>
            </w:r>
          </w:p>
        </w:tc>
        <w:tc>
          <w:tcPr>
            <w:tcW w:w="1805" w:type="dxa"/>
            <w:noWrap/>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Уровень исполнения,%</w:t>
            </w:r>
          </w:p>
        </w:tc>
        <w:tc>
          <w:tcPr>
            <w:tcW w:w="1948" w:type="dxa"/>
            <w:noWrap/>
          </w:tcPr>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Не исполненные назначения</w:t>
            </w:r>
          </w:p>
        </w:tc>
      </w:tr>
      <w:tr w:rsidR="001A299F" w:rsidRPr="001A299F" w:rsidTr="001A299F">
        <w:trPr>
          <w:trHeight w:val="1575"/>
        </w:trPr>
        <w:tc>
          <w:tcPr>
            <w:tcW w:w="3453" w:type="dxa"/>
            <w:hideMark/>
          </w:tcPr>
          <w:p w:rsidR="001A299F" w:rsidRPr="001A299F" w:rsidRDefault="001A299F" w:rsidP="001A299F">
            <w:pPr>
              <w:widowControl w:val="0"/>
              <w:autoSpaceDE w:val="0"/>
              <w:autoSpaceDN w:val="0"/>
              <w:adjustRightInd w:val="0"/>
              <w:rPr>
                <w:b/>
                <w:bCs/>
                <w:sz w:val="24"/>
                <w:szCs w:val="24"/>
              </w:rPr>
            </w:pPr>
            <w:r w:rsidRPr="001A299F">
              <w:rPr>
                <w:b/>
                <w:bCs/>
                <w:sz w:val="24"/>
                <w:szCs w:val="24"/>
              </w:rPr>
              <w:t>Государственная программа «</w:t>
            </w:r>
            <w:r w:rsidRPr="001A299F">
              <w:rPr>
                <w:b/>
                <w:sz w:val="24"/>
                <w:szCs w:val="24"/>
              </w:rPr>
              <w:t>Развитие физической культуры и спорта на территории Амурской области на 2014-2020 годы»</w:t>
            </w:r>
            <w:r w:rsidRPr="001A299F">
              <w:rPr>
                <w:b/>
                <w:bCs/>
                <w:sz w:val="24"/>
                <w:szCs w:val="24"/>
              </w:rPr>
              <w:t xml:space="preserve">, </w:t>
            </w:r>
          </w:p>
          <w:p w:rsidR="001A299F" w:rsidRPr="001A299F" w:rsidRDefault="001A299F" w:rsidP="001A299F">
            <w:pPr>
              <w:widowControl w:val="0"/>
              <w:autoSpaceDE w:val="0"/>
              <w:autoSpaceDN w:val="0"/>
              <w:adjustRightInd w:val="0"/>
              <w:rPr>
                <w:b/>
                <w:bCs/>
                <w:sz w:val="24"/>
                <w:szCs w:val="24"/>
              </w:rPr>
            </w:pPr>
            <w:r w:rsidRPr="001A299F">
              <w:rPr>
                <w:bCs/>
                <w:sz w:val="24"/>
                <w:szCs w:val="24"/>
              </w:rPr>
              <w:t>в том числе:</w:t>
            </w:r>
          </w:p>
        </w:tc>
        <w:tc>
          <w:tcPr>
            <w:tcW w:w="1116" w:type="dxa"/>
            <w:noWrap/>
            <w:vAlign w:val="center"/>
          </w:tcPr>
          <w:p w:rsidR="001A299F" w:rsidRPr="001A299F" w:rsidRDefault="001A299F" w:rsidP="001A299F">
            <w:pPr>
              <w:widowControl w:val="0"/>
              <w:autoSpaceDE w:val="0"/>
              <w:autoSpaceDN w:val="0"/>
              <w:adjustRightInd w:val="0"/>
              <w:ind w:left="-164"/>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267671,4</w:t>
            </w:r>
          </w:p>
        </w:tc>
        <w:tc>
          <w:tcPr>
            <w:tcW w:w="1531" w:type="dxa"/>
            <w:noWrap/>
            <w:vAlign w:val="center"/>
          </w:tcPr>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265496,1</w:t>
            </w:r>
          </w:p>
        </w:tc>
        <w:tc>
          <w:tcPr>
            <w:tcW w:w="1805" w:type="dxa"/>
            <w:noWrap/>
            <w:vAlign w:val="center"/>
          </w:tcPr>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99,2</w:t>
            </w:r>
          </w:p>
        </w:tc>
        <w:tc>
          <w:tcPr>
            <w:tcW w:w="1948" w:type="dxa"/>
            <w:noWrap/>
            <w:vAlign w:val="center"/>
          </w:tcPr>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p>
          <w:p w:rsidR="001A299F" w:rsidRPr="001A299F" w:rsidRDefault="001A299F" w:rsidP="001A299F">
            <w:pPr>
              <w:widowControl w:val="0"/>
              <w:autoSpaceDE w:val="0"/>
              <w:autoSpaceDN w:val="0"/>
              <w:adjustRightInd w:val="0"/>
              <w:jc w:val="center"/>
              <w:rPr>
                <w:b/>
                <w:bCs/>
                <w:sz w:val="24"/>
                <w:szCs w:val="24"/>
              </w:rPr>
            </w:pPr>
            <w:r w:rsidRPr="001A299F">
              <w:rPr>
                <w:b/>
                <w:bCs/>
                <w:sz w:val="24"/>
                <w:szCs w:val="24"/>
              </w:rPr>
              <w:t>2175,3</w:t>
            </w:r>
          </w:p>
        </w:tc>
      </w:tr>
      <w:tr w:rsidR="001A299F" w:rsidRPr="001A299F" w:rsidTr="001A299F">
        <w:trPr>
          <w:trHeight w:val="1260"/>
        </w:trPr>
        <w:tc>
          <w:tcPr>
            <w:tcW w:w="3453" w:type="dxa"/>
            <w:hideMark/>
          </w:tcPr>
          <w:p w:rsidR="001A299F" w:rsidRPr="001A299F" w:rsidRDefault="001A299F" w:rsidP="001A299F">
            <w:pPr>
              <w:widowControl w:val="0"/>
              <w:autoSpaceDE w:val="0"/>
              <w:autoSpaceDN w:val="0"/>
              <w:adjustRightInd w:val="0"/>
              <w:rPr>
                <w:sz w:val="24"/>
                <w:szCs w:val="24"/>
              </w:rPr>
            </w:pPr>
            <w:r w:rsidRPr="001A299F">
              <w:rPr>
                <w:sz w:val="24"/>
                <w:szCs w:val="24"/>
              </w:rPr>
              <w:t>Подпрограмма «Развитие инфраструктуры физической культуры, массового спорта и поддержка спорта высших достижений»</w:t>
            </w:r>
          </w:p>
        </w:tc>
        <w:tc>
          <w:tcPr>
            <w:tcW w:w="1116" w:type="dxa"/>
            <w:noWrap/>
            <w:vAlign w:val="center"/>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257291,6</w:t>
            </w:r>
          </w:p>
        </w:tc>
        <w:tc>
          <w:tcPr>
            <w:tcW w:w="1531" w:type="dxa"/>
            <w:noWrap/>
            <w:vAlign w:val="center"/>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255232,7</w:t>
            </w:r>
          </w:p>
        </w:tc>
        <w:tc>
          <w:tcPr>
            <w:tcW w:w="1805" w:type="dxa"/>
            <w:noWrap/>
            <w:vAlign w:val="center"/>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99,2</w:t>
            </w:r>
          </w:p>
        </w:tc>
        <w:tc>
          <w:tcPr>
            <w:tcW w:w="1948" w:type="dxa"/>
            <w:noWrap/>
            <w:vAlign w:val="center"/>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2058,9</w:t>
            </w:r>
          </w:p>
        </w:tc>
      </w:tr>
      <w:tr w:rsidR="001A299F" w:rsidRPr="001A299F" w:rsidTr="001A299F">
        <w:trPr>
          <w:trHeight w:val="945"/>
        </w:trPr>
        <w:tc>
          <w:tcPr>
            <w:tcW w:w="3453" w:type="dxa"/>
            <w:hideMark/>
          </w:tcPr>
          <w:p w:rsidR="001A299F" w:rsidRPr="001A299F" w:rsidRDefault="001A299F" w:rsidP="001A299F">
            <w:pPr>
              <w:widowControl w:val="0"/>
              <w:autoSpaceDE w:val="0"/>
              <w:autoSpaceDN w:val="0"/>
              <w:adjustRightInd w:val="0"/>
              <w:rPr>
                <w:sz w:val="24"/>
                <w:szCs w:val="24"/>
              </w:rPr>
            </w:pPr>
            <w:r w:rsidRPr="001A299F">
              <w:rPr>
                <w:sz w:val="24"/>
                <w:szCs w:val="24"/>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116" w:type="dxa"/>
            <w:noWrap/>
            <w:vAlign w:val="center"/>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10379,8</w:t>
            </w:r>
          </w:p>
        </w:tc>
        <w:tc>
          <w:tcPr>
            <w:tcW w:w="1531" w:type="dxa"/>
            <w:noWrap/>
            <w:vAlign w:val="center"/>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10263,4</w:t>
            </w:r>
          </w:p>
        </w:tc>
        <w:tc>
          <w:tcPr>
            <w:tcW w:w="1805" w:type="dxa"/>
            <w:noWrap/>
            <w:vAlign w:val="center"/>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98,9</w:t>
            </w:r>
          </w:p>
        </w:tc>
        <w:tc>
          <w:tcPr>
            <w:tcW w:w="1948" w:type="dxa"/>
            <w:noWrap/>
            <w:vAlign w:val="center"/>
          </w:tcPr>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p>
          <w:p w:rsidR="001A299F" w:rsidRPr="001A299F" w:rsidRDefault="001A299F" w:rsidP="001A299F">
            <w:pPr>
              <w:widowControl w:val="0"/>
              <w:autoSpaceDE w:val="0"/>
              <w:autoSpaceDN w:val="0"/>
              <w:adjustRightInd w:val="0"/>
              <w:jc w:val="center"/>
              <w:rPr>
                <w:sz w:val="24"/>
                <w:szCs w:val="24"/>
              </w:rPr>
            </w:pPr>
            <w:r w:rsidRPr="001A299F">
              <w:rPr>
                <w:sz w:val="24"/>
                <w:szCs w:val="24"/>
              </w:rPr>
              <w:t>116,4</w:t>
            </w:r>
          </w:p>
        </w:tc>
      </w:tr>
    </w:tbl>
    <w:p w:rsidR="00CE0D71" w:rsidRDefault="00CE0D71" w:rsidP="00CE0D71">
      <w:pPr>
        <w:widowControl w:val="0"/>
        <w:autoSpaceDE w:val="0"/>
        <w:autoSpaceDN w:val="0"/>
        <w:adjustRightInd w:val="0"/>
        <w:spacing w:after="0" w:line="240" w:lineRule="auto"/>
        <w:ind w:left="709"/>
        <w:contextualSpacing/>
        <w:jc w:val="both"/>
        <w:rPr>
          <w:rFonts w:ascii="Times New Roman" w:eastAsia="Times New Roman" w:hAnsi="Times New Roman" w:cs="Times New Roman"/>
          <w:i/>
          <w:sz w:val="24"/>
          <w:szCs w:val="24"/>
          <w:lang w:eastAsia="ru-RU"/>
        </w:rPr>
      </w:pPr>
    </w:p>
    <w:p w:rsidR="001A299F" w:rsidRPr="001A299F" w:rsidRDefault="001A299F"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«Развитие инфраструктуры физической культуры, массового спорта и поддержка спорта высших достижений»</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«Развитие инфраструктуры физической культуры, массового спорта и поддержка спорта высших достижений» утверждены в расходах областного бюджета по целевой статье расходов 0910000 в сумме 257291,6 тыс. рублей. В общем объеме расходов государственной программы доля расходов по данной подпрограмме составляет 96,1 процента.</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99,2 процента.</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В структуре расходов подпрограммы доля межбюджетных трансфертов бюджетам муниципальных образований области составляет 59,7 процента, исполнение по которым составило 100,0 процентов плановых назначений, в том числе:</w:t>
      </w:r>
    </w:p>
    <w:p w:rsidR="001A299F" w:rsidRPr="00335AEF" w:rsidRDefault="001A299F" w:rsidP="0014690C">
      <w:pPr>
        <w:pStyle w:val="afa"/>
        <w:numPr>
          <w:ilvl w:val="0"/>
          <w:numId w:val="40"/>
        </w:numPr>
        <w:tabs>
          <w:tab w:val="left" w:pos="993"/>
        </w:tabs>
        <w:ind w:left="0" w:firstLine="709"/>
        <w:jc w:val="both"/>
        <w:rPr>
          <w:i/>
          <w:sz w:val="24"/>
          <w:szCs w:val="24"/>
        </w:rPr>
      </w:pPr>
      <w:r w:rsidRPr="00335AEF">
        <w:rPr>
          <w:sz w:val="24"/>
          <w:szCs w:val="24"/>
        </w:rPr>
        <w:t xml:space="preserve">на финансовое обеспечение расходов общепрограммного характера по федеральной целевой программе «Развитие физической культуры и спорта в Российской Федерации на 2006-2015 годы» - 120000,0 тыс. рублей (средства федерального бюджета на строительство спортивного корпуса с плавательным бассейном 25х11 и детской ванной 10х6 </w:t>
      </w:r>
      <w:r w:rsidRPr="00335AEF">
        <w:rPr>
          <w:sz w:val="24"/>
          <w:szCs w:val="24"/>
        </w:rPr>
        <w:lastRenderedPageBreak/>
        <w:t xml:space="preserve">в кв. 367 города Свободного). </w:t>
      </w:r>
      <w:r w:rsidRPr="00335AEF">
        <w:rPr>
          <w:i/>
          <w:sz w:val="24"/>
          <w:szCs w:val="24"/>
        </w:rPr>
        <w:t>Указанное  мероприятие в законе области об областном бюджете не предусмотрено, финансирование расходов произведено в соответствии со сводной бюджетной росписью;</w:t>
      </w:r>
    </w:p>
    <w:p w:rsidR="001A299F" w:rsidRPr="00335AEF" w:rsidRDefault="001A299F" w:rsidP="0014690C">
      <w:pPr>
        <w:pStyle w:val="afa"/>
        <w:numPr>
          <w:ilvl w:val="0"/>
          <w:numId w:val="40"/>
        </w:numPr>
        <w:tabs>
          <w:tab w:val="left" w:pos="993"/>
        </w:tabs>
        <w:ind w:left="0" w:firstLine="709"/>
        <w:jc w:val="both"/>
        <w:rPr>
          <w:sz w:val="24"/>
          <w:szCs w:val="24"/>
        </w:rPr>
      </w:pPr>
      <w:r w:rsidRPr="00335AEF">
        <w:rPr>
          <w:sz w:val="24"/>
          <w:szCs w:val="24"/>
        </w:rPr>
        <w:t xml:space="preserve">на капитальные вложения в объекты муниципальной собственности – 33672,7 тыс. рублей, в том числе наибольший объем составляют расходы на  строительство спортивного корпуса с плавательным бассейном 25х11 и детской ванной 10х6 в кв. 367 города Свободного - 20000,0 тыс. рублей (софинансирование </w:t>
      </w:r>
      <w:r w:rsidRPr="00335AEF">
        <w:rPr>
          <w:bCs/>
          <w:iCs/>
          <w:sz w:val="24"/>
          <w:szCs w:val="24"/>
        </w:rPr>
        <w:t>строительства указанного объекта  муниципальной собственности за сче</w:t>
      </w:r>
      <w:r w:rsidR="00335AEF" w:rsidRPr="00335AEF">
        <w:rPr>
          <w:bCs/>
          <w:iCs/>
          <w:sz w:val="24"/>
          <w:szCs w:val="24"/>
        </w:rPr>
        <w:t>т средств областного бюджета).</w:t>
      </w:r>
    </w:p>
    <w:p w:rsidR="001A299F" w:rsidRPr="001A299F" w:rsidRDefault="001A299F" w:rsidP="001A299F">
      <w:pPr>
        <w:widowControl w:val="0"/>
        <w:tabs>
          <w:tab w:val="left" w:pos="540"/>
        </w:tabs>
        <w:spacing w:after="0" w:line="240" w:lineRule="auto"/>
        <w:ind w:firstLine="709"/>
        <w:jc w:val="both"/>
        <w:rPr>
          <w:rFonts w:ascii="Times New Roman" w:hAnsi="Times New Roman"/>
          <w:bCs/>
          <w:iCs/>
          <w:sz w:val="24"/>
          <w:szCs w:val="24"/>
        </w:rPr>
      </w:pPr>
      <w:r w:rsidRPr="001A299F">
        <w:rPr>
          <w:rFonts w:ascii="Times New Roman" w:hAnsi="Times New Roman"/>
          <w:bCs/>
          <w:iCs/>
          <w:sz w:val="24"/>
          <w:szCs w:val="24"/>
        </w:rPr>
        <w:t>В соответствии с условиями Соглашения от 07.05.2015, заключенного между Министерством спорта Российской Федерации и Правительством Амурской области, в качестве условия предоставления субсидии из федерального бюджета в целях софинансирования в 2015 году строительства объектов муниципальной собственности в объеме 120000,0 тыс. рублей (спортивный корпус с плавательным бассейном г</w:t>
      </w:r>
      <w:r w:rsidR="003E5087" w:rsidRPr="001A299F">
        <w:rPr>
          <w:rFonts w:ascii="Times New Roman" w:hAnsi="Times New Roman"/>
          <w:bCs/>
          <w:iCs/>
          <w:sz w:val="24"/>
          <w:szCs w:val="24"/>
        </w:rPr>
        <w:t>. С</w:t>
      </w:r>
      <w:r w:rsidRPr="001A299F">
        <w:rPr>
          <w:rFonts w:ascii="Times New Roman" w:hAnsi="Times New Roman"/>
          <w:bCs/>
          <w:iCs/>
          <w:sz w:val="24"/>
          <w:szCs w:val="24"/>
        </w:rPr>
        <w:t>вободный)  предусмотрено софинансирование строительства указанного объекта капитального строительства муниципальной собственности за счет средств областного бюджета в объеме 77600,0 тыс. рублей. В 2015 году</w:t>
      </w:r>
      <w:r w:rsidRPr="001A299F">
        <w:rPr>
          <w:sz w:val="28"/>
          <w:szCs w:val="28"/>
        </w:rPr>
        <w:t xml:space="preserve"> </w:t>
      </w:r>
      <w:r w:rsidRPr="001A299F">
        <w:rPr>
          <w:rFonts w:ascii="Times New Roman" w:hAnsi="Times New Roman" w:cs="Times New Roman"/>
          <w:sz w:val="24"/>
          <w:szCs w:val="24"/>
        </w:rPr>
        <w:t>при выделении за счет средств федерального бюджета ассигнований в объеме, предусмотренном условиями Соглашения – 120000,0 тыс. рублей,</w:t>
      </w:r>
      <w:r w:rsidRPr="001A299F">
        <w:rPr>
          <w:rFonts w:ascii="Times New Roman" w:hAnsi="Times New Roman"/>
          <w:bCs/>
          <w:iCs/>
          <w:sz w:val="24"/>
          <w:szCs w:val="24"/>
        </w:rPr>
        <w:t xml:space="preserve"> </w:t>
      </w:r>
      <w:r w:rsidRPr="001A299F">
        <w:rPr>
          <w:rFonts w:ascii="Times New Roman" w:hAnsi="Times New Roman" w:cs="Times New Roman"/>
          <w:sz w:val="24"/>
          <w:szCs w:val="24"/>
        </w:rPr>
        <w:t>областным бюджетом из предусмотренного объема обязательств – 77600,0 тыс. рублей, фактически выделено – 20000,0 тыс. рублей, или 25,8 процента</w:t>
      </w:r>
      <w:r w:rsidRPr="001A299F">
        <w:rPr>
          <w:rFonts w:ascii="Times New Roman" w:hAnsi="Times New Roman"/>
          <w:bCs/>
          <w:iCs/>
          <w:sz w:val="24"/>
          <w:szCs w:val="24"/>
        </w:rPr>
        <w:t xml:space="preserve"> от предусмотренных соглашением обязательств.</w:t>
      </w:r>
    </w:p>
    <w:p w:rsidR="001A299F" w:rsidRPr="001A299F" w:rsidRDefault="001A299F" w:rsidP="001A299F">
      <w:pPr>
        <w:autoSpaceDE w:val="0"/>
        <w:autoSpaceDN w:val="0"/>
        <w:adjustRightInd w:val="0"/>
        <w:spacing w:after="0" w:line="240" w:lineRule="auto"/>
        <w:ind w:firstLine="709"/>
        <w:jc w:val="both"/>
        <w:outlineLvl w:val="0"/>
        <w:rPr>
          <w:rFonts w:ascii="Times New Roman" w:hAnsi="Times New Roman"/>
          <w:b/>
          <w:i/>
          <w:sz w:val="24"/>
          <w:szCs w:val="24"/>
        </w:rPr>
      </w:pPr>
      <w:r w:rsidRPr="001A299F">
        <w:rPr>
          <w:rFonts w:ascii="Times New Roman" w:hAnsi="Times New Roman"/>
          <w:b/>
          <w:bCs/>
          <w:i/>
          <w:iCs/>
          <w:sz w:val="24"/>
          <w:szCs w:val="24"/>
        </w:rPr>
        <w:t>Необеспечение уровня софинансирования строительства указанного объекта за счет средств областного бюджета в 2015 году влечет невозможность завершения строительства, рост числа объектов незавершенного строительства, а также возможность применения к субъекту мер ответственности, в том числе применения бюджетной меры принуждения в</w:t>
      </w:r>
      <w:r w:rsidRPr="001A299F">
        <w:rPr>
          <w:rFonts w:ascii="Times New Roman" w:hAnsi="Times New Roman"/>
          <w:b/>
          <w:i/>
          <w:sz w:val="24"/>
          <w:szCs w:val="24"/>
        </w:rPr>
        <w:t xml:space="preserve"> соответствии со статьей 306.8. Бюджетного кодекса Российской Федерации, предусматривающей бесспорное взыскание суммы межбюджетного трансферта и (или) приостановление (сокращение) предоставления межбюджетных трансфертов в случае нарушения условий предоставления межбюджетных трансфертов.</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 данной подпрограмме в полном объеме исполнены ассигнования, предусмотренные на реализацию следующих программных мероприятий:</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-проведение всероссийских массовых спортивных соревнований с объемом ассигнований 99,0 тыс. рублей;</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 реализация мероприятий подпрограммы «Развитие футбола в Российской Федерации на 2008-2015 годы» с объемом бюджетных ассигнований – 16842,0 тыс. рублей (средства федерального бюджета). </w:t>
      </w:r>
    </w:p>
    <w:p w:rsidR="001A299F" w:rsidRPr="001A299F" w:rsidRDefault="001A299F" w:rsidP="001A299F">
      <w:pPr>
        <w:autoSpaceDE w:val="0"/>
        <w:autoSpaceDN w:val="0"/>
        <w:adjustRightInd w:val="0"/>
        <w:spacing w:after="0" w:line="240" w:lineRule="auto"/>
        <w:ind w:firstLine="709"/>
        <w:jc w:val="both"/>
        <w:rPr>
          <w:rFonts w:ascii="Times New Roman" w:hAnsi="Times New Roman" w:cs="Times New Roman"/>
          <w:i/>
          <w:sz w:val="24"/>
          <w:szCs w:val="24"/>
        </w:rPr>
      </w:pPr>
      <w:r w:rsidRPr="001A299F">
        <w:rPr>
          <w:rFonts w:ascii="Times New Roman" w:hAnsi="Times New Roman" w:cs="Times New Roman"/>
          <w:sz w:val="24"/>
          <w:szCs w:val="24"/>
        </w:rPr>
        <w:t xml:space="preserve">-адресная финансовая поддержка спортивных организаций, осуществляющих подготовку спортивного резерва для сборных команд Российской Федерации с объемом ассигнований 6705,6 тыс. рублей (средства федерального бюджета). </w:t>
      </w:r>
      <w:r w:rsidRPr="001A299F">
        <w:rPr>
          <w:rFonts w:ascii="Times New Roman" w:hAnsi="Times New Roman" w:cs="Times New Roman"/>
          <w:i/>
          <w:sz w:val="24"/>
          <w:szCs w:val="24"/>
        </w:rPr>
        <w:t>Указанное мероприятие в государственной программе</w:t>
      </w:r>
      <w:r w:rsidRPr="001A299F">
        <w:rPr>
          <w:rFonts w:ascii="Times New Roman" w:eastAsia="Times New Roman" w:hAnsi="Times New Roman" w:cs="Times New Roman"/>
          <w:i/>
          <w:sz w:val="24"/>
          <w:szCs w:val="24"/>
          <w:lang w:eastAsia="ru-RU"/>
        </w:rPr>
        <w:t xml:space="preserve"> «Развитие физической культуры и спорта на территории Амурской области на 2014-2020 годы», утвержденной постановлением Правительства Амурской области от 25.09.2013 № 451 (в редакции постановления Правительства Амурской области от 23.12.2015 № 629), в законе области об областном бюджете, не предусмотрено, финансирование мероприятия произведено в соответствии со сводной бюджетной росписью.</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Недовыполнение плановых показателей наблюдается по расходам на обеспечение деятельности (оказание услуг) государственных учреждений – 99,0 процентов плановых назначений (плановые назначения – 78693,8 тыс. рублей, исполнение – 77913,4 тыс. рублей). </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Расходы по мероприятию подпрограммы капитальные вложения в объекты государственной собственности при плановых назначениях в объеме 1278,5 тыс. руб</w:t>
      </w:r>
      <w:r w:rsidR="00335AEF">
        <w:rPr>
          <w:rFonts w:ascii="Times New Roman" w:hAnsi="Times New Roman" w:cs="Times New Roman"/>
          <w:sz w:val="24"/>
          <w:szCs w:val="24"/>
        </w:rPr>
        <w:t>лей, в 2015 году не исполнены.</w:t>
      </w:r>
    </w:p>
    <w:p w:rsidR="001A299F" w:rsidRPr="001A299F" w:rsidRDefault="001A299F" w:rsidP="00F6055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lastRenderedPageBreak/>
        <w:t>Бюджетные ассигнования по подпрограмме «Обеспечение реализации основных направлений государственной политики в сфере реализации государственной программы»</w:t>
      </w:r>
      <w:r w:rsidRPr="001A299F">
        <w:rPr>
          <w:i/>
          <w:sz w:val="24"/>
          <w:szCs w:val="24"/>
        </w:rPr>
        <w:t xml:space="preserve"> </w:t>
      </w:r>
      <w:r w:rsidRPr="001A299F">
        <w:rPr>
          <w:rFonts w:ascii="Times New Roman" w:hAnsi="Times New Roman" w:cs="Times New Roman"/>
          <w:sz w:val="24"/>
          <w:szCs w:val="24"/>
        </w:rPr>
        <w:t>утверждены в расходах областного бюджета по целевой статье расходов 0920000 в сумме 10379,8 тыс. рублей. В общем объеме расходов государственной программы доля расходов по данной подпрограмме составляет 3,9 процента.</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98,9 процента плановых назначений (исполнение - 10263,4 тыс. рублей).</w:t>
      </w:r>
      <w:r w:rsidR="00CE0D71">
        <w:rPr>
          <w:rFonts w:ascii="Times New Roman" w:hAnsi="Times New Roman" w:cs="Times New Roman"/>
          <w:sz w:val="24"/>
          <w:szCs w:val="24"/>
        </w:rPr>
        <w:t xml:space="preserve"> </w:t>
      </w:r>
      <w:r w:rsidRPr="001A299F">
        <w:rPr>
          <w:rFonts w:ascii="Times New Roman" w:hAnsi="Times New Roman" w:cs="Times New Roman"/>
          <w:sz w:val="24"/>
          <w:szCs w:val="24"/>
        </w:rPr>
        <w:t>По данной подпрограмме осуществлялось финансирование расходов на обеспечение функций исполнительных органов государственной власти.</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В сводном годовом докладе о ходе реализации и об оценке эффективности реализации государственных программ области (приложение № 1 к сводному докладу), представленном одновременно с проектом закона Амурской области «Об исполнении областного бюджета за 2015 год» бюджетные ассигнования по государственной программе «</w:t>
      </w:r>
      <w:r w:rsidRPr="001A299F">
        <w:rPr>
          <w:rFonts w:ascii="Times New Roman" w:eastAsia="Times New Roman" w:hAnsi="Times New Roman" w:cs="Times New Roman"/>
          <w:sz w:val="24"/>
          <w:szCs w:val="24"/>
          <w:lang w:eastAsia="ru-RU"/>
        </w:rPr>
        <w:t xml:space="preserve">Развитие физической культуры и спорта на территории Амурской области на 2014-2020 годы» </w:t>
      </w:r>
      <w:r w:rsidRPr="001A299F">
        <w:rPr>
          <w:rFonts w:ascii="Times New Roman" w:hAnsi="Times New Roman" w:cs="Times New Roman"/>
          <w:sz w:val="24"/>
          <w:szCs w:val="24"/>
        </w:rPr>
        <w:t>отражены в разрезе подпрограмм и мероприятий в объемах, утвержденных сводной бюджетной росписью на 2015 год. Результаты исполнения за 2015 год по государственной программе, отраженные в сводном годовом докладе, соответствуют результатам исполнения областного бюджета по государственной программе, отраженным в законопроекте.</w:t>
      </w:r>
    </w:p>
    <w:p w:rsidR="001A299F" w:rsidRDefault="001A299F" w:rsidP="001A299F">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Основные направления исполнения расходов областного бюджета за 2015 год по государственной программе «</w:t>
      </w:r>
      <w:r w:rsidRPr="001A299F">
        <w:rPr>
          <w:rFonts w:ascii="Times New Roman" w:eastAsia="Times New Roman" w:hAnsi="Times New Roman" w:cs="Times New Roman"/>
          <w:sz w:val="24"/>
          <w:szCs w:val="24"/>
          <w:lang w:eastAsia="ru-RU"/>
        </w:rPr>
        <w:t xml:space="preserve">Развитие физической культуры и спорта на территории Амурской области на 2014-2020 годы» представлены на </w:t>
      </w:r>
      <w:r w:rsidRPr="00CE0D71">
        <w:rPr>
          <w:rFonts w:ascii="Times New Roman" w:eastAsia="Times New Roman" w:hAnsi="Times New Roman" w:cs="Times New Roman"/>
          <w:sz w:val="24"/>
          <w:szCs w:val="24"/>
          <w:lang w:eastAsia="ru-RU"/>
        </w:rPr>
        <w:t>рисунке</w:t>
      </w:r>
      <w:r w:rsidR="00CE0D71" w:rsidRPr="00CE0D71">
        <w:rPr>
          <w:rFonts w:ascii="Times New Roman" w:eastAsia="Times New Roman" w:hAnsi="Times New Roman" w:cs="Times New Roman"/>
          <w:sz w:val="24"/>
          <w:szCs w:val="24"/>
          <w:lang w:eastAsia="ru-RU"/>
        </w:rPr>
        <w:t xml:space="preserve"> 31</w:t>
      </w:r>
      <w:r w:rsidRPr="00CE0D71">
        <w:rPr>
          <w:rFonts w:ascii="Times New Roman" w:eastAsia="Times New Roman" w:hAnsi="Times New Roman" w:cs="Times New Roman"/>
          <w:sz w:val="24"/>
          <w:szCs w:val="24"/>
          <w:lang w:eastAsia="ru-RU"/>
        </w:rPr>
        <w:t>.</w:t>
      </w:r>
    </w:p>
    <w:p w:rsidR="00335AEF" w:rsidRPr="00CE0D71" w:rsidRDefault="00335AEF" w:rsidP="001A299F">
      <w:pPr>
        <w:spacing w:after="0" w:line="240" w:lineRule="auto"/>
        <w:ind w:firstLine="709"/>
        <w:jc w:val="both"/>
        <w:rPr>
          <w:rFonts w:ascii="Times New Roman" w:eastAsia="Times New Roman" w:hAnsi="Times New Roman" w:cs="Times New Roman"/>
          <w:sz w:val="24"/>
          <w:szCs w:val="24"/>
          <w:lang w:eastAsia="ru-RU"/>
        </w:rPr>
      </w:pPr>
    </w:p>
    <w:p w:rsidR="001A299F" w:rsidRPr="001A299F" w:rsidRDefault="001A299F" w:rsidP="001A299F">
      <w:pPr>
        <w:spacing w:after="0" w:line="240" w:lineRule="auto"/>
        <w:ind w:firstLine="709"/>
        <w:jc w:val="both"/>
        <w:rPr>
          <w:rFonts w:ascii="Times New Roman" w:hAnsi="Times New Roman" w:cs="Times New Roman"/>
          <w:sz w:val="24"/>
          <w:szCs w:val="24"/>
        </w:rPr>
      </w:pPr>
    </w:p>
    <w:p w:rsidR="001A299F" w:rsidRPr="001A299F" w:rsidRDefault="001A299F" w:rsidP="00335AEF">
      <w:pPr>
        <w:spacing w:after="0" w:line="240" w:lineRule="auto"/>
        <w:jc w:val="both"/>
        <w:rPr>
          <w:rFonts w:ascii="Times New Roman" w:hAnsi="Times New Roman" w:cs="Times New Roman"/>
          <w:sz w:val="24"/>
          <w:szCs w:val="24"/>
        </w:rPr>
      </w:pPr>
      <w:r w:rsidRPr="001A299F">
        <w:rPr>
          <w:rFonts w:ascii="Times New Roman" w:hAnsi="Times New Roman" w:cs="Times New Roman"/>
          <w:noProof/>
          <w:sz w:val="24"/>
          <w:szCs w:val="24"/>
          <w:lang w:eastAsia="ru-RU"/>
        </w:rPr>
        <w:drawing>
          <wp:inline distT="0" distB="0" distL="0" distR="0" wp14:anchorId="0213B091" wp14:editId="48695A1B">
            <wp:extent cx="6172200" cy="44386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35AEF" w:rsidRDefault="00335AEF" w:rsidP="001A299F">
      <w:pPr>
        <w:spacing w:after="0" w:line="240" w:lineRule="auto"/>
        <w:ind w:firstLine="709"/>
        <w:jc w:val="center"/>
        <w:rPr>
          <w:rFonts w:ascii="Times New Roman" w:hAnsi="Times New Roman" w:cs="Times New Roman"/>
          <w:b/>
          <w:sz w:val="24"/>
          <w:szCs w:val="24"/>
        </w:rPr>
      </w:pPr>
    </w:p>
    <w:p w:rsidR="001A299F" w:rsidRDefault="001A299F" w:rsidP="001A299F">
      <w:pPr>
        <w:spacing w:after="0" w:line="240" w:lineRule="auto"/>
        <w:ind w:firstLine="709"/>
        <w:jc w:val="center"/>
        <w:rPr>
          <w:rFonts w:ascii="Times New Roman" w:eastAsia="Times New Roman" w:hAnsi="Times New Roman" w:cs="Times New Roman"/>
          <w:b/>
          <w:sz w:val="24"/>
          <w:szCs w:val="24"/>
          <w:lang w:eastAsia="ru-RU"/>
        </w:rPr>
      </w:pPr>
      <w:r w:rsidRPr="00CE0D71">
        <w:rPr>
          <w:rFonts w:ascii="Times New Roman" w:hAnsi="Times New Roman" w:cs="Times New Roman"/>
          <w:b/>
          <w:sz w:val="24"/>
          <w:szCs w:val="24"/>
        </w:rPr>
        <w:t xml:space="preserve">Рис. </w:t>
      </w:r>
      <w:r w:rsidR="00CE0D71" w:rsidRPr="00CE0D71">
        <w:rPr>
          <w:rFonts w:ascii="Times New Roman" w:hAnsi="Times New Roman" w:cs="Times New Roman"/>
          <w:b/>
          <w:sz w:val="24"/>
          <w:szCs w:val="24"/>
        </w:rPr>
        <w:t xml:space="preserve">31 - </w:t>
      </w:r>
      <w:r w:rsidRPr="00CE0D71">
        <w:rPr>
          <w:rFonts w:ascii="Times New Roman" w:hAnsi="Times New Roman" w:cs="Times New Roman"/>
          <w:b/>
          <w:sz w:val="24"/>
          <w:szCs w:val="24"/>
        </w:rPr>
        <w:t xml:space="preserve">Основные </w:t>
      </w:r>
      <w:r w:rsidRPr="001A299F">
        <w:rPr>
          <w:rFonts w:ascii="Times New Roman" w:hAnsi="Times New Roman" w:cs="Times New Roman"/>
          <w:b/>
          <w:sz w:val="24"/>
          <w:szCs w:val="24"/>
        </w:rPr>
        <w:t>направления исполнения расходов областного бюджета за</w:t>
      </w:r>
      <w:r w:rsidRPr="001A299F">
        <w:rPr>
          <w:rFonts w:ascii="Times New Roman" w:hAnsi="Times New Roman" w:cs="Times New Roman"/>
          <w:b/>
          <w:sz w:val="24"/>
          <w:szCs w:val="24"/>
        </w:rPr>
        <w:br/>
        <w:t xml:space="preserve"> 2015 год по государственной программе «</w:t>
      </w:r>
      <w:r w:rsidRPr="001A299F">
        <w:rPr>
          <w:rFonts w:ascii="Times New Roman" w:eastAsia="Times New Roman" w:hAnsi="Times New Roman" w:cs="Times New Roman"/>
          <w:b/>
          <w:sz w:val="24"/>
          <w:szCs w:val="24"/>
          <w:lang w:eastAsia="ru-RU"/>
        </w:rPr>
        <w:t>Развитие физической культуры и спорта на территории Амурской области на 2014-2020 годы», млн. руб.</w:t>
      </w:r>
    </w:p>
    <w:p w:rsidR="00CE0D71" w:rsidRPr="001A299F" w:rsidRDefault="00CE0D71" w:rsidP="001A299F">
      <w:pPr>
        <w:spacing w:after="0" w:line="240" w:lineRule="auto"/>
        <w:ind w:firstLine="709"/>
        <w:jc w:val="center"/>
        <w:rPr>
          <w:rFonts w:ascii="Times New Roman" w:hAnsi="Times New Roman" w:cs="Times New Roman"/>
          <w:b/>
          <w:sz w:val="24"/>
          <w:szCs w:val="24"/>
        </w:rPr>
      </w:pPr>
    </w:p>
    <w:p w:rsidR="00CE0D71" w:rsidRPr="00BF2884" w:rsidRDefault="00CE0D71" w:rsidP="00CE0D7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F2884">
        <w:rPr>
          <w:rFonts w:ascii="Times New Roman" w:eastAsia="Times New Roman" w:hAnsi="Times New Roman" w:cs="Times New Roman"/>
          <w:b/>
          <w:sz w:val="24"/>
          <w:szCs w:val="24"/>
          <w:lang w:eastAsia="ru-RU"/>
        </w:rPr>
        <w:lastRenderedPageBreak/>
        <w:t xml:space="preserve">5.10. </w:t>
      </w:r>
      <w:r w:rsidRPr="001A299F">
        <w:rPr>
          <w:rFonts w:ascii="Times New Roman" w:eastAsia="Times New Roman" w:hAnsi="Times New Roman" w:cs="Times New Roman"/>
          <w:b/>
          <w:sz w:val="24"/>
          <w:szCs w:val="24"/>
          <w:lang w:eastAsia="ru-RU"/>
        </w:rPr>
        <w:t xml:space="preserve">Исполнение расходов областного бюджета за 2015 год в рамках государственной программы </w:t>
      </w:r>
      <w:r w:rsidRPr="00BF2884">
        <w:rPr>
          <w:rFonts w:ascii="Times New Roman" w:eastAsia="Times New Roman" w:hAnsi="Times New Roman" w:cs="Times New Roman"/>
          <w:b/>
          <w:sz w:val="24"/>
          <w:szCs w:val="24"/>
          <w:lang w:eastAsia="ru-RU"/>
        </w:rPr>
        <w:t>«Повышение эффективности деятельности органов государственной власти и управления Амурской области на 2014-2020 годы»</w:t>
      </w:r>
    </w:p>
    <w:p w:rsidR="00CE0D71" w:rsidRPr="00BF2884" w:rsidRDefault="00CE0D71" w:rsidP="00E6476E">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BF2884">
        <w:rPr>
          <w:rFonts w:ascii="Times New Roman" w:eastAsia="Times New Roman" w:hAnsi="Times New Roman" w:cs="Times New Roman"/>
          <w:sz w:val="24"/>
          <w:szCs w:val="24"/>
          <w:lang w:eastAsia="ru-RU"/>
        </w:rPr>
        <w:t>Государственная программа «Повышение эффективности деятельности органов государственной власти и управления Амурской области на 2014-2020 годы» утверждена постановлением Правительства Амурской области от 25.09.2013 № 442 с объемом ассигнований на 2015 год в сумме 6499058,0</w:t>
      </w:r>
      <w:r>
        <w:rPr>
          <w:rFonts w:ascii="Times New Roman" w:eastAsia="Times New Roman" w:hAnsi="Times New Roman" w:cs="Times New Roman"/>
          <w:sz w:val="24"/>
          <w:szCs w:val="24"/>
          <w:lang w:eastAsia="ru-RU"/>
        </w:rPr>
        <w:t xml:space="preserve"> тыс. рублей, в том числе </w:t>
      </w:r>
      <w:r w:rsidRPr="00BF2884">
        <w:rPr>
          <w:rFonts w:ascii="Times New Roman" w:eastAsia="Times New Roman" w:hAnsi="Times New Roman" w:cs="Times New Roman"/>
          <w:sz w:val="24"/>
          <w:szCs w:val="24"/>
          <w:lang w:eastAsia="ru-RU"/>
        </w:rPr>
        <w:t xml:space="preserve">за счет средств областного бюджета в сумме 6326144,5 </w:t>
      </w:r>
      <w:r>
        <w:rPr>
          <w:rFonts w:ascii="Times New Roman" w:eastAsia="Times New Roman" w:hAnsi="Times New Roman" w:cs="Times New Roman"/>
          <w:sz w:val="24"/>
          <w:szCs w:val="24"/>
          <w:lang w:eastAsia="ru-RU"/>
        </w:rPr>
        <w:t xml:space="preserve">тыс. рублей, </w:t>
      </w:r>
      <w:r w:rsidRPr="00BF2884">
        <w:rPr>
          <w:rFonts w:ascii="Times New Roman" w:eastAsia="Times New Roman" w:hAnsi="Times New Roman" w:cs="Times New Roman"/>
          <w:sz w:val="24"/>
          <w:szCs w:val="24"/>
          <w:lang w:eastAsia="ru-RU"/>
        </w:rPr>
        <w:t>за счет средств федерального бюджета в сумме 172913,5 тыс. рублей.</w:t>
      </w:r>
    </w:p>
    <w:p w:rsidR="00E6476E" w:rsidRDefault="00E6476E" w:rsidP="00E6476E">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p>
    <w:p w:rsidR="00CE0D71" w:rsidRPr="00BF2884" w:rsidRDefault="00CE0D71" w:rsidP="00E6476E">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BF2884">
        <w:rPr>
          <w:rFonts w:ascii="Times New Roman" w:eastAsia="Times New Roman" w:hAnsi="Times New Roman" w:cs="Times New Roman"/>
          <w:sz w:val="24"/>
          <w:szCs w:val="24"/>
          <w:lang w:eastAsia="ru-RU"/>
        </w:rPr>
        <w:t>Координатором государственной программы является министерство финансов Амурской области.</w:t>
      </w:r>
    </w:p>
    <w:p w:rsidR="00CE0D71" w:rsidRPr="00BF2884" w:rsidRDefault="00CE0D71" w:rsidP="00E6476E">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BF2884">
        <w:rPr>
          <w:rFonts w:ascii="Times New Roman" w:eastAsia="Times New Roman" w:hAnsi="Times New Roman" w:cs="Times New Roman"/>
          <w:sz w:val="24"/>
          <w:szCs w:val="24"/>
          <w:lang w:eastAsia="ru-RU"/>
        </w:rPr>
        <w:t xml:space="preserve">Законом Амурской области «Об областном бюджете на 2015 год и плановый период 2016 и 2017 годов» на реализацию государственной программы «Повышение эффективности деятельности органов государственной власти и управления Амурской области на </w:t>
      </w:r>
      <w:r>
        <w:rPr>
          <w:rFonts w:ascii="Times New Roman" w:eastAsia="Times New Roman" w:hAnsi="Times New Roman" w:cs="Times New Roman"/>
          <w:sz w:val="24"/>
          <w:szCs w:val="24"/>
          <w:lang w:eastAsia="ru-RU"/>
        </w:rPr>
        <w:br/>
      </w:r>
      <w:r w:rsidRPr="00BF2884">
        <w:rPr>
          <w:rFonts w:ascii="Times New Roman" w:eastAsia="Times New Roman" w:hAnsi="Times New Roman" w:cs="Times New Roman"/>
          <w:sz w:val="24"/>
          <w:szCs w:val="24"/>
          <w:lang w:eastAsia="ru-RU"/>
        </w:rPr>
        <w:t>2014-2020 годы» утверждены бюджетные ассигнования в сумме 6499058,5 тыс. рублей.</w:t>
      </w:r>
    </w:p>
    <w:p w:rsidR="00CE0D71" w:rsidRPr="00BF2884" w:rsidRDefault="00CE0D71" w:rsidP="00E6476E">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BF2884">
        <w:rPr>
          <w:rFonts w:ascii="Times New Roman" w:eastAsia="Times New Roman" w:hAnsi="Times New Roman" w:cs="Times New Roman"/>
          <w:sz w:val="24"/>
          <w:szCs w:val="24"/>
          <w:lang w:eastAsia="ru-RU"/>
        </w:rPr>
        <w:t>Сводной бюджетной росписью расходов областного бюджета на 201</w:t>
      </w:r>
      <w:r>
        <w:rPr>
          <w:rFonts w:ascii="Times New Roman" w:eastAsia="Times New Roman" w:hAnsi="Times New Roman" w:cs="Times New Roman"/>
          <w:sz w:val="24"/>
          <w:szCs w:val="24"/>
          <w:lang w:eastAsia="ru-RU"/>
        </w:rPr>
        <w:t>5</w:t>
      </w:r>
      <w:r w:rsidRPr="00BF2884">
        <w:rPr>
          <w:rFonts w:ascii="Times New Roman" w:eastAsia="Times New Roman" w:hAnsi="Times New Roman" w:cs="Times New Roman"/>
          <w:sz w:val="24"/>
          <w:szCs w:val="24"/>
          <w:lang w:eastAsia="ru-RU"/>
        </w:rPr>
        <w:t xml:space="preserve"> год на реализацию программы предусмотрено 6492694,1 тыс. рублей.</w:t>
      </w:r>
    </w:p>
    <w:p w:rsidR="00E6476E" w:rsidRDefault="00E6476E" w:rsidP="00E6476E">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p>
    <w:p w:rsidR="00CE0D71" w:rsidRPr="00CE0D71" w:rsidRDefault="00CE0D71" w:rsidP="00E6476E">
      <w:pPr>
        <w:widowControl w:val="0"/>
        <w:autoSpaceDE w:val="0"/>
        <w:autoSpaceDN w:val="0"/>
        <w:adjustRightInd w:val="0"/>
        <w:spacing w:after="0" w:line="288" w:lineRule="auto"/>
        <w:ind w:firstLine="709"/>
        <w:jc w:val="both"/>
        <w:rPr>
          <w:rFonts w:ascii="Times New Roman" w:hAnsi="Times New Roman" w:cs="Times New Roman"/>
          <w:sz w:val="24"/>
          <w:szCs w:val="24"/>
        </w:rPr>
      </w:pPr>
      <w:r w:rsidRPr="00BF2884">
        <w:rPr>
          <w:rFonts w:ascii="Times New Roman" w:eastAsia="Times New Roman" w:hAnsi="Times New Roman" w:cs="Times New Roman"/>
          <w:sz w:val="24"/>
          <w:szCs w:val="24"/>
          <w:lang w:eastAsia="ru-RU"/>
        </w:rPr>
        <w:t>Отклонение показателей сводной бюджетной росписи расходов от плановых показателей, утвержденных законом области об областном бюджете и государственной программой, в сторону уменьшения на 6364,4 тыс. рублей связано с</w:t>
      </w:r>
      <w:r w:rsidR="00A75FEF">
        <w:rPr>
          <w:rFonts w:ascii="Times New Roman" w:eastAsia="Times New Roman" w:hAnsi="Times New Roman" w:cs="Times New Roman"/>
          <w:sz w:val="24"/>
          <w:szCs w:val="24"/>
          <w:lang w:eastAsia="ru-RU"/>
        </w:rPr>
        <w:t xml:space="preserve"> тем, что </w:t>
      </w:r>
      <w:r w:rsidRPr="00CE0D71">
        <w:rPr>
          <w:rFonts w:ascii="Times New Roman" w:hAnsi="Times New Roman" w:cs="Times New Roman"/>
          <w:sz w:val="24"/>
          <w:szCs w:val="24"/>
        </w:rPr>
        <w:t xml:space="preserve">на основании статьи 9 Закона Амурской области от 10.12.2014 № 458-ОЗ «Об областном бюджете на </w:t>
      </w:r>
      <w:r w:rsidR="00A75FEF">
        <w:rPr>
          <w:rFonts w:ascii="Times New Roman" w:hAnsi="Times New Roman" w:cs="Times New Roman"/>
          <w:sz w:val="24"/>
          <w:szCs w:val="24"/>
        </w:rPr>
        <w:br/>
      </w:r>
      <w:r w:rsidRPr="00CE0D71">
        <w:rPr>
          <w:rFonts w:ascii="Times New Roman" w:hAnsi="Times New Roman" w:cs="Times New Roman"/>
          <w:sz w:val="24"/>
          <w:szCs w:val="24"/>
        </w:rPr>
        <w:t>2015 год и плановый период 2016 и 2017 годов» сокращен объем межбюджетных трансфертов местным бюджетам в связи с несоблюдением органами местного самоуправления муниципальных образований области условий предоставления межбюджетных трансфертов из областного бюджета, определенных бюджетным законодательством Российской Федерации, а также при нарушении предельных значений, установленных пунктами 3 статьи 92.1 и статьи 107 Бюджетного кодекса Российской Федерации на 6364,4 тыс. рублей, в том числе:</w:t>
      </w:r>
    </w:p>
    <w:p w:rsidR="00CE0D71" w:rsidRPr="00CE0D71" w:rsidRDefault="00CE0D71" w:rsidP="00E6476E">
      <w:pPr>
        <w:spacing w:after="0" w:line="288"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 xml:space="preserve">-дотации на выравнивание бюджетной обеспеченности поселений в сумме </w:t>
      </w:r>
      <w:r w:rsidRPr="00CE0D71">
        <w:rPr>
          <w:rFonts w:ascii="Times New Roman" w:hAnsi="Times New Roman" w:cs="Times New Roman"/>
          <w:sz w:val="24"/>
          <w:szCs w:val="24"/>
        </w:rPr>
        <w:br/>
        <w:t>1944,7 тыс. рублей (дотация сокращена девятнадцати сельским поселениям);</w:t>
      </w:r>
    </w:p>
    <w:p w:rsidR="00CE0D71" w:rsidRPr="00F300BA" w:rsidRDefault="00CE0D71" w:rsidP="00E6476E">
      <w:pPr>
        <w:spacing w:after="0" w:line="288"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-дотации на поддержку мер по обеспечению сбалансированности муниципальных районов (городских округов)</w:t>
      </w:r>
      <w:r w:rsidRPr="00F300BA">
        <w:rPr>
          <w:rFonts w:ascii="Times New Roman" w:hAnsi="Times New Roman" w:cs="Times New Roman"/>
          <w:sz w:val="24"/>
          <w:szCs w:val="24"/>
        </w:rPr>
        <w:t xml:space="preserve"> в сумме 4419,</w:t>
      </w:r>
      <w:r w:rsidR="00047382">
        <w:rPr>
          <w:rFonts w:ascii="Times New Roman" w:hAnsi="Times New Roman" w:cs="Times New Roman"/>
          <w:sz w:val="24"/>
          <w:szCs w:val="24"/>
        </w:rPr>
        <w:t>9</w:t>
      </w:r>
      <w:r w:rsidRPr="00F300BA">
        <w:rPr>
          <w:rFonts w:ascii="Times New Roman" w:hAnsi="Times New Roman" w:cs="Times New Roman"/>
          <w:sz w:val="24"/>
          <w:szCs w:val="24"/>
        </w:rPr>
        <w:t xml:space="preserve"> тыс. рублей (дотация сокращена семи муниципальным </w:t>
      </w:r>
      <w:r>
        <w:rPr>
          <w:rFonts w:ascii="Times New Roman" w:hAnsi="Times New Roman" w:cs="Times New Roman"/>
          <w:sz w:val="24"/>
          <w:szCs w:val="24"/>
        </w:rPr>
        <w:t>районам и городским округам</w:t>
      </w:r>
      <w:r w:rsidRPr="00F300BA">
        <w:rPr>
          <w:rFonts w:ascii="Times New Roman" w:hAnsi="Times New Roman" w:cs="Times New Roman"/>
          <w:sz w:val="24"/>
          <w:szCs w:val="24"/>
        </w:rPr>
        <w:t>).</w:t>
      </w:r>
    </w:p>
    <w:p w:rsidR="00CE0D71" w:rsidRPr="00556D92" w:rsidRDefault="00CE0D71" w:rsidP="00E6476E">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56D92">
        <w:rPr>
          <w:rFonts w:ascii="Times New Roman" w:eastAsia="Times New Roman" w:hAnsi="Times New Roman" w:cs="Times New Roman"/>
          <w:sz w:val="24"/>
          <w:szCs w:val="24"/>
          <w:lang w:eastAsia="ru-RU"/>
        </w:rPr>
        <w:t>Исполнение плановых назначений, предусмотренных на реализацию программы сводной бюджетной росписью расходов, составило 6448512,0 тыс. рублей, или 99,3 процента (объем неисполненных ассигнований составил 44082,1 тыс. рублей).</w:t>
      </w:r>
    </w:p>
    <w:p w:rsidR="00CE0D71" w:rsidRPr="00556D92" w:rsidRDefault="00CE0D71" w:rsidP="00E6476E">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56D92">
        <w:rPr>
          <w:rFonts w:ascii="Times New Roman" w:eastAsia="Times New Roman" w:hAnsi="Times New Roman" w:cs="Times New Roman"/>
          <w:sz w:val="24"/>
          <w:szCs w:val="24"/>
          <w:lang w:eastAsia="ru-RU"/>
        </w:rPr>
        <w:t xml:space="preserve">Государственная программа «Повышение эффективности деятельности органов государственной власти и управления Амурской области на 2014-2020 годы» включает </w:t>
      </w:r>
      <w:r>
        <w:rPr>
          <w:rFonts w:ascii="Times New Roman" w:eastAsia="Times New Roman" w:hAnsi="Times New Roman" w:cs="Times New Roman"/>
          <w:sz w:val="24"/>
          <w:szCs w:val="24"/>
          <w:lang w:eastAsia="ru-RU"/>
        </w:rPr>
        <w:br/>
      </w:r>
      <w:r w:rsidRPr="00556D92">
        <w:rPr>
          <w:rFonts w:ascii="Times New Roman" w:eastAsia="Times New Roman" w:hAnsi="Times New Roman" w:cs="Times New Roman"/>
          <w:sz w:val="24"/>
          <w:szCs w:val="24"/>
          <w:lang w:eastAsia="ru-RU"/>
        </w:rPr>
        <w:t>6 подпрограмм.</w:t>
      </w:r>
    </w:p>
    <w:p w:rsidR="00E6476E" w:rsidRDefault="00E6476E" w:rsidP="00E6476E">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p>
    <w:p w:rsidR="00CE0D71" w:rsidRPr="00556D92" w:rsidRDefault="00CE0D71" w:rsidP="00E6476E">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56D92">
        <w:rPr>
          <w:rFonts w:ascii="Times New Roman" w:eastAsia="Times New Roman" w:hAnsi="Times New Roman" w:cs="Times New Roman"/>
          <w:sz w:val="24"/>
          <w:szCs w:val="24"/>
          <w:lang w:eastAsia="ru-RU"/>
        </w:rPr>
        <w:t>В таблице</w:t>
      </w:r>
      <w:r w:rsidR="00A75FEF">
        <w:rPr>
          <w:rFonts w:ascii="Times New Roman" w:eastAsia="Times New Roman" w:hAnsi="Times New Roman" w:cs="Times New Roman"/>
          <w:sz w:val="24"/>
          <w:szCs w:val="24"/>
          <w:lang w:eastAsia="ru-RU"/>
        </w:rPr>
        <w:t xml:space="preserve"> 13</w:t>
      </w:r>
      <w:r w:rsidRPr="00556D92">
        <w:rPr>
          <w:rFonts w:ascii="Times New Roman" w:eastAsia="Times New Roman" w:hAnsi="Times New Roman" w:cs="Times New Roman"/>
          <w:sz w:val="24"/>
          <w:szCs w:val="24"/>
          <w:lang w:eastAsia="ru-RU"/>
        </w:rPr>
        <w:t xml:space="preserve"> представлена информация об исполнении государственной программы «Повышение эффективности деятельности органов государственной власти и управления Амурской области на 2014-2020 годы» в разрезе подпрограмм.</w:t>
      </w:r>
    </w:p>
    <w:p w:rsidR="00CE0D71" w:rsidRDefault="00CE0D71" w:rsidP="00CE0D71">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56D92">
        <w:rPr>
          <w:rFonts w:ascii="Times New Roman" w:eastAsia="Times New Roman" w:hAnsi="Times New Roman" w:cs="Times New Roman"/>
          <w:sz w:val="24"/>
          <w:szCs w:val="24"/>
          <w:lang w:eastAsia="ru-RU"/>
        </w:rPr>
        <w:lastRenderedPageBreak/>
        <w:t>Таблица</w:t>
      </w:r>
      <w:r w:rsidR="00A75FEF">
        <w:rPr>
          <w:rFonts w:ascii="Times New Roman" w:eastAsia="Times New Roman" w:hAnsi="Times New Roman" w:cs="Times New Roman"/>
          <w:sz w:val="24"/>
          <w:szCs w:val="24"/>
          <w:lang w:eastAsia="ru-RU"/>
        </w:rPr>
        <w:t xml:space="preserve"> 13</w:t>
      </w:r>
    </w:p>
    <w:p w:rsidR="00CE0D71" w:rsidRDefault="00CE0D71" w:rsidP="00CE0D71">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E0D71" w:rsidRPr="00A75FEF" w:rsidRDefault="00CE0D71" w:rsidP="00CE0D7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75FEF">
        <w:rPr>
          <w:rFonts w:ascii="Times New Roman" w:eastAsia="Times New Roman" w:hAnsi="Times New Roman" w:cs="Times New Roman"/>
          <w:b/>
          <w:sz w:val="24"/>
          <w:szCs w:val="24"/>
          <w:lang w:eastAsia="ru-RU"/>
        </w:rPr>
        <w:t>Информация об исполнении государственной программы «Повышение эффективности деятельности органов государственной власти и управления Амурской области на 2014-2020 годы»</w:t>
      </w:r>
    </w:p>
    <w:p w:rsidR="00CE0D71" w:rsidRDefault="00CE0D71" w:rsidP="00CE0D71">
      <w:pPr>
        <w:spacing w:after="0" w:line="240" w:lineRule="auto"/>
        <w:ind w:firstLine="709"/>
        <w:jc w:val="right"/>
        <w:rPr>
          <w:rFonts w:ascii="Times New Roman" w:eastAsia="Times New Roman" w:hAnsi="Times New Roman" w:cs="Times New Roman"/>
          <w:sz w:val="24"/>
          <w:szCs w:val="24"/>
          <w:lang w:eastAsia="ru-RU"/>
        </w:rPr>
      </w:pPr>
      <w:r w:rsidRPr="00556D92">
        <w:rPr>
          <w:rFonts w:ascii="Times New Roman" w:eastAsia="Times New Roman" w:hAnsi="Times New Roman" w:cs="Times New Roman"/>
          <w:sz w:val="24"/>
          <w:szCs w:val="24"/>
          <w:lang w:eastAsia="ru-RU"/>
        </w:rPr>
        <w:t>тыс. рублей</w:t>
      </w:r>
    </w:p>
    <w:tbl>
      <w:tblPr>
        <w:tblStyle w:val="a6"/>
        <w:tblW w:w="9731" w:type="dxa"/>
        <w:tblLook w:val="04A0" w:firstRow="1" w:lastRow="0" w:firstColumn="1" w:lastColumn="0" w:noHBand="0" w:noVBand="1"/>
      </w:tblPr>
      <w:tblGrid>
        <w:gridCol w:w="4595"/>
        <w:gridCol w:w="1276"/>
        <w:gridCol w:w="1463"/>
        <w:gridCol w:w="1135"/>
        <w:gridCol w:w="1262"/>
      </w:tblGrid>
      <w:tr w:rsidR="00CE0D71" w:rsidRPr="00E6476E" w:rsidTr="00CE0D71">
        <w:trPr>
          <w:trHeight w:val="892"/>
          <w:tblHeader/>
        </w:trPr>
        <w:tc>
          <w:tcPr>
            <w:tcW w:w="4644" w:type="dxa"/>
          </w:tcPr>
          <w:p w:rsidR="00CE0D71" w:rsidRPr="00E6476E" w:rsidRDefault="00CE0D71" w:rsidP="00CE0D71">
            <w:pPr>
              <w:widowControl w:val="0"/>
              <w:autoSpaceDE w:val="0"/>
              <w:autoSpaceDN w:val="0"/>
              <w:adjustRightInd w:val="0"/>
              <w:jc w:val="center"/>
              <w:rPr>
                <w:b/>
                <w:bCs/>
                <w:sz w:val="22"/>
                <w:szCs w:val="22"/>
              </w:rPr>
            </w:pPr>
            <w:r w:rsidRPr="00E6476E">
              <w:rPr>
                <w:b/>
                <w:bCs/>
                <w:sz w:val="22"/>
                <w:szCs w:val="22"/>
              </w:rPr>
              <w:t>Наименование государственной программы/подпрограммы</w:t>
            </w:r>
          </w:p>
        </w:tc>
        <w:tc>
          <w:tcPr>
            <w:tcW w:w="1276" w:type="dxa"/>
            <w:noWrap/>
          </w:tcPr>
          <w:p w:rsidR="00CE0D71" w:rsidRPr="00E6476E" w:rsidRDefault="00CE0D71" w:rsidP="00CE0D71">
            <w:pPr>
              <w:widowControl w:val="0"/>
              <w:autoSpaceDE w:val="0"/>
              <w:autoSpaceDN w:val="0"/>
              <w:adjustRightInd w:val="0"/>
              <w:jc w:val="center"/>
              <w:rPr>
                <w:b/>
                <w:bCs/>
                <w:sz w:val="22"/>
                <w:szCs w:val="22"/>
              </w:rPr>
            </w:pPr>
            <w:r w:rsidRPr="00E6476E">
              <w:rPr>
                <w:b/>
                <w:bCs/>
                <w:sz w:val="22"/>
                <w:szCs w:val="22"/>
              </w:rPr>
              <w:t>План</w:t>
            </w:r>
          </w:p>
        </w:tc>
        <w:tc>
          <w:tcPr>
            <w:tcW w:w="1463" w:type="dxa"/>
            <w:noWrap/>
          </w:tcPr>
          <w:p w:rsidR="00CE0D71" w:rsidRPr="00E6476E" w:rsidRDefault="00CE0D71" w:rsidP="00CE0D71">
            <w:pPr>
              <w:widowControl w:val="0"/>
              <w:autoSpaceDE w:val="0"/>
              <w:autoSpaceDN w:val="0"/>
              <w:adjustRightInd w:val="0"/>
              <w:jc w:val="center"/>
              <w:rPr>
                <w:b/>
                <w:bCs/>
                <w:sz w:val="22"/>
                <w:szCs w:val="22"/>
              </w:rPr>
            </w:pPr>
            <w:r w:rsidRPr="00E6476E">
              <w:rPr>
                <w:b/>
                <w:bCs/>
                <w:sz w:val="22"/>
                <w:szCs w:val="22"/>
              </w:rPr>
              <w:t>Исполнение</w:t>
            </w:r>
          </w:p>
        </w:tc>
        <w:tc>
          <w:tcPr>
            <w:tcW w:w="1135" w:type="dxa"/>
            <w:noWrap/>
          </w:tcPr>
          <w:p w:rsidR="00CE0D71" w:rsidRPr="00E6476E" w:rsidRDefault="00CE0D71" w:rsidP="00CE0D71">
            <w:pPr>
              <w:widowControl w:val="0"/>
              <w:autoSpaceDE w:val="0"/>
              <w:autoSpaceDN w:val="0"/>
              <w:adjustRightInd w:val="0"/>
              <w:jc w:val="center"/>
              <w:rPr>
                <w:b/>
                <w:bCs/>
                <w:sz w:val="22"/>
                <w:szCs w:val="22"/>
              </w:rPr>
            </w:pPr>
            <w:r w:rsidRPr="00E6476E">
              <w:rPr>
                <w:b/>
                <w:bCs/>
                <w:sz w:val="22"/>
                <w:szCs w:val="22"/>
              </w:rPr>
              <w:t>Уровень исполне-ния</w:t>
            </w:r>
          </w:p>
        </w:tc>
        <w:tc>
          <w:tcPr>
            <w:tcW w:w="1213" w:type="dxa"/>
            <w:noWrap/>
          </w:tcPr>
          <w:p w:rsidR="00CE0D71" w:rsidRPr="00E6476E" w:rsidRDefault="00CE0D71" w:rsidP="00CE0D71">
            <w:pPr>
              <w:widowControl w:val="0"/>
              <w:autoSpaceDE w:val="0"/>
              <w:autoSpaceDN w:val="0"/>
              <w:adjustRightInd w:val="0"/>
              <w:jc w:val="center"/>
              <w:rPr>
                <w:b/>
                <w:bCs/>
                <w:sz w:val="22"/>
                <w:szCs w:val="22"/>
              </w:rPr>
            </w:pPr>
            <w:r w:rsidRPr="00E6476E">
              <w:rPr>
                <w:b/>
                <w:bCs/>
                <w:sz w:val="22"/>
                <w:szCs w:val="22"/>
              </w:rPr>
              <w:t>Не исполнено</w:t>
            </w:r>
          </w:p>
        </w:tc>
      </w:tr>
      <w:tr w:rsidR="00CE0D71" w:rsidRPr="001F35D0" w:rsidTr="00CE0D71">
        <w:trPr>
          <w:trHeight w:val="880"/>
        </w:trPr>
        <w:tc>
          <w:tcPr>
            <w:tcW w:w="4644" w:type="dxa"/>
            <w:hideMark/>
          </w:tcPr>
          <w:p w:rsidR="00CE0D71" w:rsidRPr="007D463A" w:rsidRDefault="00CE0D71" w:rsidP="00CE0D71">
            <w:pPr>
              <w:rPr>
                <w:b/>
                <w:sz w:val="22"/>
                <w:szCs w:val="22"/>
              </w:rPr>
            </w:pPr>
            <w:r w:rsidRPr="007D463A">
              <w:rPr>
                <w:b/>
                <w:sz w:val="22"/>
                <w:szCs w:val="22"/>
              </w:rPr>
              <w:t xml:space="preserve">Государственная программа «Повышение эффективности деятельности органов государственной власти и управления Амурской области на 2014 – 2020 годы» </w:t>
            </w:r>
          </w:p>
        </w:tc>
        <w:tc>
          <w:tcPr>
            <w:tcW w:w="1276" w:type="dxa"/>
            <w:noWrap/>
            <w:hideMark/>
          </w:tcPr>
          <w:p w:rsidR="00CE0D71" w:rsidRPr="007D463A" w:rsidRDefault="00CE0D71" w:rsidP="00CE0D71">
            <w:pPr>
              <w:jc w:val="right"/>
              <w:rPr>
                <w:b/>
                <w:sz w:val="22"/>
                <w:szCs w:val="22"/>
              </w:rPr>
            </w:pPr>
            <w:r w:rsidRPr="007D463A">
              <w:rPr>
                <w:b/>
                <w:sz w:val="22"/>
                <w:szCs w:val="22"/>
              </w:rPr>
              <w:t>6 492 694,1</w:t>
            </w:r>
          </w:p>
        </w:tc>
        <w:tc>
          <w:tcPr>
            <w:tcW w:w="1463" w:type="dxa"/>
            <w:noWrap/>
            <w:hideMark/>
          </w:tcPr>
          <w:p w:rsidR="00CE0D71" w:rsidRPr="007D463A" w:rsidRDefault="00CE0D71" w:rsidP="00CE0D71">
            <w:pPr>
              <w:jc w:val="right"/>
              <w:rPr>
                <w:b/>
                <w:sz w:val="22"/>
                <w:szCs w:val="22"/>
              </w:rPr>
            </w:pPr>
            <w:r w:rsidRPr="007D463A">
              <w:rPr>
                <w:b/>
                <w:sz w:val="22"/>
                <w:szCs w:val="22"/>
              </w:rPr>
              <w:t>6 448 612,0</w:t>
            </w:r>
          </w:p>
        </w:tc>
        <w:tc>
          <w:tcPr>
            <w:tcW w:w="1135" w:type="dxa"/>
            <w:noWrap/>
            <w:hideMark/>
          </w:tcPr>
          <w:p w:rsidR="00CE0D71" w:rsidRPr="007D463A" w:rsidRDefault="00CE0D71" w:rsidP="00CE0D71">
            <w:pPr>
              <w:jc w:val="right"/>
              <w:rPr>
                <w:b/>
                <w:sz w:val="22"/>
                <w:szCs w:val="22"/>
              </w:rPr>
            </w:pPr>
            <w:r w:rsidRPr="007D463A">
              <w:rPr>
                <w:b/>
                <w:sz w:val="22"/>
                <w:szCs w:val="22"/>
              </w:rPr>
              <w:t>99,3</w:t>
            </w:r>
          </w:p>
        </w:tc>
        <w:tc>
          <w:tcPr>
            <w:tcW w:w="1213" w:type="dxa"/>
            <w:noWrap/>
            <w:hideMark/>
          </w:tcPr>
          <w:p w:rsidR="00CE0D71" w:rsidRPr="007D463A" w:rsidRDefault="00CE0D71" w:rsidP="00CE0D71">
            <w:pPr>
              <w:jc w:val="right"/>
              <w:rPr>
                <w:b/>
                <w:sz w:val="22"/>
                <w:szCs w:val="22"/>
              </w:rPr>
            </w:pPr>
            <w:r w:rsidRPr="007D463A">
              <w:rPr>
                <w:b/>
                <w:sz w:val="22"/>
                <w:szCs w:val="22"/>
              </w:rPr>
              <w:t>44 082,1</w:t>
            </w:r>
          </w:p>
        </w:tc>
      </w:tr>
      <w:tr w:rsidR="00CE0D71" w:rsidRPr="001F35D0" w:rsidTr="00CE0D71">
        <w:trPr>
          <w:trHeight w:val="697"/>
        </w:trPr>
        <w:tc>
          <w:tcPr>
            <w:tcW w:w="4644" w:type="dxa"/>
            <w:hideMark/>
          </w:tcPr>
          <w:p w:rsidR="00CE0D71" w:rsidRPr="007D463A" w:rsidRDefault="00CE0D71" w:rsidP="00CE0D71">
            <w:pPr>
              <w:rPr>
                <w:sz w:val="22"/>
                <w:szCs w:val="22"/>
              </w:rPr>
            </w:pPr>
            <w:r w:rsidRPr="007D463A">
              <w:rPr>
                <w:sz w:val="22"/>
                <w:szCs w:val="22"/>
              </w:rPr>
              <w:t>Подпрограмма «Повышение эффективности управления государственными финансами и государственным долгом Амурской области»</w:t>
            </w:r>
          </w:p>
        </w:tc>
        <w:tc>
          <w:tcPr>
            <w:tcW w:w="1276" w:type="dxa"/>
            <w:noWrap/>
            <w:hideMark/>
          </w:tcPr>
          <w:p w:rsidR="00CE0D71" w:rsidRPr="007D463A" w:rsidRDefault="00CE0D71" w:rsidP="00CE0D71">
            <w:pPr>
              <w:jc w:val="right"/>
              <w:rPr>
                <w:sz w:val="22"/>
                <w:szCs w:val="22"/>
              </w:rPr>
            </w:pPr>
            <w:r w:rsidRPr="007D463A">
              <w:rPr>
                <w:sz w:val="22"/>
                <w:szCs w:val="22"/>
              </w:rPr>
              <w:t>5 915 893,9</w:t>
            </w:r>
          </w:p>
        </w:tc>
        <w:tc>
          <w:tcPr>
            <w:tcW w:w="1463" w:type="dxa"/>
            <w:noWrap/>
            <w:hideMark/>
          </w:tcPr>
          <w:p w:rsidR="00CE0D71" w:rsidRPr="007D463A" w:rsidRDefault="00CE0D71" w:rsidP="00CE0D71">
            <w:pPr>
              <w:jc w:val="right"/>
              <w:rPr>
                <w:sz w:val="22"/>
                <w:szCs w:val="22"/>
              </w:rPr>
            </w:pPr>
            <w:r w:rsidRPr="007D463A">
              <w:rPr>
                <w:sz w:val="22"/>
                <w:szCs w:val="22"/>
              </w:rPr>
              <w:t>5 893 907,1</w:t>
            </w:r>
          </w:p>
        </w:tc>
        <w:tc>
          <w:tcPr>
            <w:tcW w:w="1135" w:type="dxa"/>
            <w:noWrap/>
            <w:hideMark/>
          </w:tcPr>
          <w:p w:rsidR="00CE0D71" w:rsidRPr="007D463A" w:rsidRDefault="00CE0D71" w:rsidP="00CE0D71">
            <w:pPr>
              <w:jc w:val="right"/>
              <w:rPr>
                <w:sz w:val="22"/>
                <w:szCs w:val="22"/>
              </w:rPr>
            </w:pPr>
            <w:r w:rsidRPr="007D463A">
              <w:rPr>
                <w:sz w:val="22"/>
                <w:szCs w:val="22"/>
              </w:rPr>
              <w:t>99,6</w:t>
            </w:r>
          </w:p>
        </w:tc>
        <w:tc>
          <w:tcPr>
            <w:tcW w:w="1213" w:type="dxa"/>
            <w:noWrap/>
            <w:hideMark/>
          </w:tcPr>
          <w:p w:rsidR="00CE0D71" w:rsidRPr="007D463A" w:rsidRDefault="00CE0D71" w:rsidP="00CE0D71">
            <w:pPr>
              <w:jc w:val="right"/>
              <w:rPr>
                <w:sz w:val="22"/>
                <w:szCs w:val="22"/>
              </w:rPr>
            </w:pPr>
            <w:r w:rsidRPr="007D463A">
              <w:rPr>
                <w:sz w:val="22"/>
                <w:szCs w:val="22"/>
              </w:rPr>
              <w:t>21 986,8</w:t>
            </w:r>
          </w:p>
        </w:tc>
      </w:tr>
      <w:tr w:rsidR="00CE0D71" w:rsidRPr="001F35D0" w:rsidTr="00CE0D71">
        <w:trPr>
          <w:trHeight w:val="693"/>
        </w:trPr>
        <w:tc>
          <w:tcPr>
            <w:tcW w:w="4644" w:type="dxa"/>
            <w:hideMark/>
          </w:tcPr>
          <w:p w:rsidR="00CE0D71" w:rsidRPr="007D463A" w:rsidRDefault="00CE0D71" w:rsidP="00CE0D71">
            <w:pPr>
              <w:rPr>
                <w:sz w:val="22"/>
                <w:szCs w:val="22"/>
              </w:rPr>
            </w:pPr>
            <w:r w:rsidRPr="007D463A">
              <w:rPr>
                <w:sz w:val="22"/>
                <w:szCs w:val="22"/>
              </w:rPr>
              <w:t>Подпрограмма «Повышение эффективности использования государственного имущества Амурской области»</w:t>
            </w:r>
          </w:p>
        </w:tc>
        <w:tc>
          <w:tcPr>
            <w:tcW w:w="1276" w:type="dxa"/>
            <w:noWrap/>
            <w:hideMark/>
          </w:tcPr>
          <w:p w:rsidR="00CE0D71" w:rsidRPr="007D463A" w:rsidRDefault="00CE0D71" w:rsidP="00CE0D71">
            <w:pPr>
              <w:jc w:val="right"/>
              <w:rPr>
                <w:sz w:val="22"/>
                <w:szCs w:val="22"/>
              </w:rPr>
            </w:pPr>
            <w:r w:rsidRPr="007D463A">
              <w:rPr>
                <w:sz w:val="22"/>
                <w:szCs w:val="22"/>
              </w:rPr>
              <w:t>60 192,2</w:t>
            </w:r>
          </w:p>
        </w:tc>
        <w:tc>
          <w:tcPr>
            <w:tcW w:w="1463" w:type="dxa"/>
            <w:noWrap/>
            <w:hideMark/>
          </w:tcPr>
          <w:p w:rsidR="00CE0D71" w:rsidRPr="007D463A" w:rsidRDefault="00CE0D71" w:rsidP="00CE0D71">
            <w:pPr>
              <w:jc w:val="right"/>
              <w:rPr>
                <w:sz w:val="22"/>
                <w:szCs w:val="22"/>
              </w:rPr>
            </w:pPr>
            <w:r w:rsidRPr="007D463A">
              <w:rPr>
                <w:sz w:val="22"/>
                <w:szCs w:val="22"/>
              </w:rPr>
              <w:t>59 471,0</w:t>
            </w:r>
          </w:p>
        </w:tc>
        <w:tc>
          <w:tcPr>
            <w:tcW w:w="1135" w:type="dxa"/>
            <w:noWrap/>
            <w:hideMark/>
          </w:tcPr>
          <w:p w:rsidR="00CE0D71" w:rsidRPr="007D463A" w:rsidRDefault="00CE0D71" w:rsidP="00CE0D71">
            <w:pPr>
              <w:jc w:val="right"/>
              <w:rPr>
                <w:sz w:val="22"/>
                <w:szCs w:val="22"/>
              </w:rPr>
            </w:pPr>
            <w:r w:rsidRPr="007D463A">
              <w:rPr>
                <w:sz w:val="22"/>
                <w:szCs w:val="22"/>
              </w:rPr>
              <w:t>98,8</w:t>
            </w:r>
          </w:p>
        </w:tc>
        <w:tc>
          <w:tcPr>
            <w:tcW w:w="1213" w:type="dxa"/>
            <w:noWrap/>
            <w:hideMark/>
          </w:tcPr>
          <w:p w:rsidR="00CE0D71" w:rsidRPr="007D463A" w:rsidRDefault="00CE0D71" w:rsidP="00CE0D71">
            <w:pPr>
              <w:jc w:val="right"/>
              <w:rPr>
                <w:sz w:val="22"/>
                <w:szCs w:val="22"/>
              </w:rPr>
            </w:pPr>
            <w:r w:rsidRPr="007D463A">
              <w:rPr>
                <w:sz w:val="22"/>
                <w:szCs w:val="22"/>
              </w:rPr>
              <w:t>721,2</w:t>
            </w:r>
          </w:p>
        </w:tc>
      </w:tr>
      <w:tr w:rsidR="00CE0D71" w:rsidRPr="001F35D0" w:rsidTr="00CE0D71">
        <w:trPr>
          <w:trHeight w:val="702"/>
        </w:trPr>
        <w:tc>
          <w:tcPr>
            <w:tcW w:w="4644" w:type="dxa"/>
            <w:hideMark/>
          </w:tcPr>
          <w:p w:rsidR="00CE0D71" w:rsidRPr="007D463A" w:rsidRDefault="00CE0D71" w:rsidP="00CE0D71">
            <w:pPr>
              <w:rPr>
                <w:sz w:val="22"/>
                <w:szCs w:val="22"/>
              </w:rPr>
            </w:pPr>
            <w:r w:rsidRPr="007D463A">
              <w:rPr>
                <w:sz w:val="22"/>
                <w:szCs w:val="22"/>
              </w:rPr>
              <w:t>Подпрограмма «Развитие информационного общества и формирование электронного правительства в Амурской области»</w:t>
            </w:r>
          </w:p>
        </w:tc>
        <w:tc>
          <w:tcPr>
            <w:tcW w:w="1276" w:type="dxa"/>
            <w:noWrap/>
            <w:hideMark/>
          </w:tcPr>
          <w:p w:rsidR="00CE0D71" w:rsidRPr="007D463A" w:rsidRDefault="00CE0D71" w:rsidP="00CE0D71">
            <w:pPr>
              <w:jc w:val="right"/>
              <w:rPr>
                <w:sz w:val="22"/>
                <w:szCs w:val="22"/>
              </w:rPr>
            </w:pPr>
            <w:r w:rsidRPr="007D463A">
              <w:rPr>
                <w:sz w:val="22"/>
                <w:szCs w:val="22"/>
              </w:rPr>
              <w:t>110 014,6</w:t>
            </w:r>
          </w:p>
        </w:tc>
        <w:tc>
          <w:tcPr>
            <w:tcW w:w="1463" w:type="dxa"/>
            <w:noWrap/>
            <w:hideMark/>
          </w:tcPr>
          <w:p w:rsidR="00CE0D71" w:rsidRPr="007D463A" w:rsidRDefault="00CE0D71" w:rsidP="00CE0D71">
            <w:pPr>
              <w:jc w:val="right"/>
              <w:rPr>
                <w:sz w:val="22"/>
                <w:szCs w:val="22"/>
              </w:rPr>
            </w:pPr>
            <w:r w:rsidRPr="007D463A">
              <w:rPr>
                <w:sz w:val="22"/>
                <w:szCs w:val="22"/>
              </w:rPr>
              <w:t>104 339,5</w:t>
            </w:r>
          </w:p>
        </w:tc>
        <w:tc>
          <w:tcPr>
            <w:tcW w:w="1135" w:type="dxa"/>
            <w:noWrap/>
            <w:hideMark/>
          </w:tcPr>
          <w:p w:rsidR="00CE0D71" w:rsidRPr="007D463A" w:rsidRDefault="00CE0D71" w:rsidP="00CE0D71">
            <w:pPr>
              <w:jc w:val="right"/>
              <w:rPr>
                <w:sz w:val="22"/>
                <w:szCs w:val="22"/>
              </w:rPr>
            </w:pPr>
            <w:r w:rsidRPr="007D463A">
              <w:rPr>
                <w:sz w:val="22"/>
                <w:szCs w:val="22"/>
              </w:rPr>
              <w:t>94,8</w:t>
            </w:r>
          </w:p>
        </w:tc>
        <w:tc>
          <w:tcPr>
            <w:tcW w:w="1213" w:type="dxa"/>
            <w:noWrap/>
            <w:hideMark/>
          </w:tcPr>
          <w:p w:rsidR="00CE0D71" w:rsidRPr="007D463A" w:rsidRDefault="00CE0D71" w:rsidP="00CE0D71">
            <w:pPr>
              <w:jc w:val="right"/>
              <w:rPr>
                <w:sz w:val="22"/>
                <w:szCs w:val="22"/>
              </w:rPr>
            </w:pPr>
            <w:r w:rsidRPr="007D463A">
              <w:rPr>
                <w:sz w:val="22"/>
                <w:szCs w:val="22"/>
              </w:rPr>
              <w:t>5 675,1</w:t>
            </w:r>
          </w:p>
        </w:tc>
      </w:tr>
      <w:tr w:rsidR="00CE0D71" w:rsidRPr="001F35D0" w:rsidTr="00CE0D71">
        <w:trPr>
          <w:trHeight w:val="214"/>
        </w:trPr>
        <w:tc>
          <w:tcPr>
            <w:tcW w:w="4644" w:type="dxa"/>
            <w:hideMark/>
          </w:tcPr>
          <w:p w:rsidR="00CE0D71" w:rsidRPr="007D463A" w:rsidRDefault="00CE0D71" w:rsidP="00CE0D71">
            <w:pPr>
              <w:rPr>
                <w:sz w:val="22"/>
                <w:szCs w:val="22"/>
              </w:rPr>
            </w:pPr>
            <w:r w:rsidRPr="007D463A">
              <w:rPr>
                <w:sz w:val="22"/>
                <w:szCs w:val="22"/>
              </w:rPr>
              <w:t>Подпрограмма «Реализация единой внутренней политики на территории области и поддержка социально ориентированных некоммерческих организаций»</w:t>
            </w:r>
          </w:p>
        </w:tc>
        <w:tc>
          <w:tcPr>
            <w:tcW w:w="1276" w:type="dxa"/>
            <w:noWrap/>
            <w:hideMark/>
          </w:tcPr>
          <w:p w:rsidR="00CE0D71" w:rsidRPr="007D463A" w:rsidRDefault="00CE0D71" w:rsidP="00CE0D71">
            <w:pPr>
              <w:jc w:val="right"/>
              <w:rPr>
                <w:sz w:val="22"/>
                <w:szCs w:val="22"/>
              </w:rPr>
            </w:pPr>
            <w:r w:rsidRPr="007D463A">
              <w:rPr>
                <w:sz w:val="22"/>
                <w:szCs w:val="22"/>
              </w:rPr>
              <w:t>73 372,9</w:t>
            </w:r>
          </w:p>
        </w:tc>
        <w:tc>
          <w:tcPr>
            <w:tcW w:w="1463" w:type="dxa"/>
            <w:noWrap/>
            <w:hideMark/>
          </w:tcPr>
          <w:p w:rsidR="00CE0D71" w:rsidRPr="007D463A" w:rsidRDefault="00CE0D71" w:rsidP="00CE0D71">
            <w:pPr>
              <w:jc w:val="right"/>
              <w:rPr>
                <w:sz w:val="22"/>
                <w:szCs w:val="22"/>
              </w:rPr>
            </w:pPr>
            <w:r w:rsidRPr="007D463A">
              <w:rPr>
                <w:sz w:val="22"/>
                <w:szCs w:val="22"/>
              </w:rPr>
              <w:t>68 106,5</w:t>
            </w:r>
          </w:p>
        </w:tc>
        <w:tc>
          <w:tcPr>
            <w:tcW w:w="1135" w:type="dxa"/>
            <w:noWrap/>
            <w:hideMark/>
          </w:tcPr>
          <w:p w:rsidR="00CE0D71" w:rsidRPr="007D463A" w:rsidRDefault="00CE0D71" w:rsidP="00CE0D71">
            <w:pPr>
              <w:jc w:val="right"/>
              <w:rPr>
                <w:sz w:val="22"/>
                <w:szCs w:val="22"/>
              </w:rPr>
            </w:pPr>
            <w:r w:rsidRPr="007D463A">
              <w:rPr>
                <w:sz w:val="22"/>
                <w:szCs w:val="22"/>
              </w:rPr>
              <w:t>92,8</w:t>
            </w:r>
          </w:p>
        </w:tc>
        <w:tc>
          <w:tcPr>
            <w:tcW w:w="1213" w:type="dxa"/>
            <w:noWrap/>
            <w:hideMark/>
          </w:tcPr>
          <w:p w:rsidR="00CE0D71" w:rsidRPr="007D463A" w:rsidRDefault="00CE0D71" w:rsidP="00CE0D71">
            <w:pPr>
              <w:jc w:val="right"/>
              <w:rPr>
                <w:sz w:val="22"/>
                <w:szCs w:val="22"/>
              </w:rPr>
            </w:pPr>
            <w:r w:rsidRPr="007D463A">
              <w:rPr>
                <w:sz w:val="22"/>
                <w:szCs w:val="22"/>
              </w:rPr>
              <w:t>5 266,4</w:t>
            </w:r>
          </w:p>
        </w:tc>
      </w:tr>
      <w:tr w:rsidR="00CE0D71" w:rsidRPr="001F35D0" w:rsidTr="00CE0D71">
        <w:trPr>
          <w:trHeight w:val="485"/>
        </w:trPr>
        <w:tc>
          <w:tcPr>
            <w:tcW w:w="4644" w:type="dxa"/>
            <w:hideMark/>
          </w:tcPr>
          <w:p w:rsidR="00CE0D71" w:rsidRPr="007D463A" w:rsidRDefault="00CE0D71" w:rsidP="00CE0D71">
            <w:pPr>
              <w:rPr>
                <w:sz w:val="22"/>
                <w:szCs w:val="22"/>
              </w:rPr>
            </w:pPr>
            <w:r w:rsidRPr="007D463A">
              <w:rPr>
                <w:sz w:val="22"/>
                <w:szCs w:val="22"/>
              </w:rPr>
              <w:t>Подпрограмма «Улучшение условий и охраны труда»</w:t>
            </w:r>
          </w:p>
        </w:tc>
        <w:tc>
          <w:tcPr>
            <w:tcW w:w="1276" w:type="dxa"/>
            <w:noWrap/>
            <w:hideMark/>
          </w:tcPr>
          <w:p w:rsidR="00CE0D71" w:rsidRPr="007D463A" w:rsidRDefault="00CE0D71" w:rsidP="00CE0D71">
            <w:pPr>
              <w:jc w:val="right"/>
              <w:rPr>
                <w:sz w:val="22"/>
                <w:szCs w:val="22"/>
              </w:rPr>
            </w:pPr>
            <w:r w:rsidRPr="007D463A">
              <w:rPr>
                <w:sz w:val="22"/>
                <w:szCs w:val="22"/>
              </w:rPr>
              <w:t>160,0</w:t>
            </w:r>
          </w:p>
        </w:tc>
        <w:tc>
          <w:tcPr>
            <w:tcW w:w="1463" w:type="dxa"/>
            <w:noWrap/>
            <w:hideMark/>
          </w:tcPr>
          <w:p w:rsidR="00CE0D71" w:rsidRPr="007D463A" w:rsidRDefault="00CE0D71" w:rsidP="00CE0D71">
            <w:pPr>
              <w:jc w:val="right"/>
              <w:rPr>
                <w:sz w:val="22"/>
                <w:szCs w:val="22"/>
              </w:rPr>
            </w:pPr>
            <w:r w:rsidRPr="007D463A">
              <w:rPr>
                <w:sz w:val="22"/>
                <w:szCs w:val="22"/>
              </w:rPr>
              <w:t>160,0</w:t>
            </w:r>
          </w:p>
        </w:tc>
        <w:tc>
          <w:tcPr>
            <w:tcW w:w="1135" w:type="dxa"/>
            <w:noWrap/>
            <w:hideMark/>
          </w:tcPr>
          <w:p w:rsidR="00CE0D71" w:rsidRPr="007D463A" w:rsidRDefault="00CE0D71" w:rsidP="00CE0D71">
            <w:pPr>
              <w:jc w:val="right"/>
              <w:rPr>
                <w:sz w:val="22"/>
                <w:szCs w:val="22"/>
              </w:rPr>
            </w:pPr>
            <w:r w:rsidRPr="007D463A">
              <w:rPr>
                <w:sz w:val="22"/>
                <w:szCs w:val="22"/>
              </w:rPr>
              <w:t>100,0</w:t>
            </w:r>
          </w:p>
        </w:tc>
        <w:tc>
          <w:tcPr>
            <w:tcW w:w="1213" w:type="dxa"/>
            <w:noWrap/>
            <w:hideMark/>
          </w:tcPr>
          <w:p w:rsidR="00CE0D71" w:rsidRPr="007D463A" w:rsidRDefault="00CE0D71" w:rsidP="00CE0D71">
            <w:pPr>
              <w:jc w:val="right"/>
              <w:rPr>
                <w:sz w:val="22"/>
                <w:szCs w:val="22"/>
              </w:rPr>
            </w:pPr>
            <w:r w:rsidRPr="007D463A">
              <w:rPr>
                <w:sz w:val="22"/>
                <w:szCs w:val="22"/>
              </w:rPr>
              <w:t>0,0</w:t>
            </w:r>
          </w:p>
        </w:tc>
      </w:tr>
      <w:tr w:rsidR="00CE0D71" w:rsidRPr="001F35D0" w:rsidTr="00CE0D71">
        <w:trPr>
          <w:trHeight w:val="1116"/>
        </w:trPr>
        <w:tc>
          <w:tcPr>
            <w:tcW w:w="4644" w:type="dxa"/>
            <w:hideMark/>
          </w:tcPr>
          <w:p w:rsidR="00CE0D71" w:rsidRPr="007D463A" w:rsidRDefault="00CE0D71" w:rsidP="00CE0D71">
            <w:pPr>
              <w:rPr>
                <w:sz w:val="22"/>
                <w:szCs w:val="22"/>
              </w:rPr>
            </w:pPr>
            <w:r w:rsidRPr="007D463A">
              <w:rPr>
                <w:sz w:val="22"/>
                <w:szCs w:val="22"/>
              </w:rPr>
              <w:t>Подпрограмма «Обеспечение реализации основных направлений государственной политики в отдельных сферах государственного управления на территории области»</w:t>
            </w:r>
          </w:p>
        </w:tc>
        <w:tc>
          <w:tcPr>
            <w:tcW w:w="1276" w:type="dxa"/>
            <w:noWrap/>
            <w:hideMark/>
          </w:tcPr>
          <w:p w:rsidR="00CE0D71" w:rsidRPr="007D463A" w:rsidRDefault="00CE0D71" w:rsidP="00CE0D71">
            <w:pPr>
              <w:jc w:val="right"/>
              <w:rPr>
                <w:sz w:val="22"/>
                <w:szCs w:val="22"/>
              </w:rPr>
            </w:pPr>
            <w:r w:rsidRPr="007D463A">
              <w:rPr>
                <w:sz w:val="22"/>
                <w:szCs w:val="22"/>
              </w:rPr>
              <w:t>333 060,5</w:t>
            </w:r>
          </w:p>
        </w:tc>
        <w:tc>
          <w:tcPr>
            <w:tcW w:w="1463" w:type="dxa"/>
            <w:noWrap/>
            <w:hideMark/>
          </w:tcPr>
          <w:p w:rsidR="00CE0D71" w:rsidRPr="007D463A" w:rsidRDefault="00CE0D71" w:rsidP="00CE0D71">
            <w:pPr>
              <w:jc w:val="right"/>
              <w:rPr>
                <w:sz w:val="22"/>
                <w:szCs w:val="22"/>
              </w:rPr>
            </w:pPr>
            <w:r w:rsidRPr="007D463A">
              <w:rPr>
                <w:sz w:val="22"/>
                <w:szCs w:val="22"/>
              </w:rPr>
              <w:t>322 627,9</w:t>
            </w:r>
          </w:p>
        </w:tc>
        <w:tc>
          <w:tcPr>
            <w:tcW w:w="1135" w:type="dxa"/>
            <w:noWrap/>
            <w:hideMark/>
          </w:tcPr>
          <w:p w:rsidR="00CE0D71" w:rsidRPr="007D463A" w:rsidRDefault="00CE0D71" w:rsidP="00CE0D71">
            <w:pPr>
              <w:jc w:val="right"/>
              <w:rPr>
                <w:sz w:val="22"/>
                <w:szCs w:val="22"/>
              </w:rPr>
            </w:pPr>
            <w:r w:rsidRPr="007D463A">
              <w:rPr>
                <w:sz w:val="22"/>
                <w:szCs w:val="22"/>
              </w:rPr>
              <w:t>96,9</w:t>
            </w:r>
          </w:p>
        </w:tc>
        <w:tc>
          <w:tcPr>
            <w:tcW w:w="1213" w:type="dxa"/>
            <w:noWrap/>
            <w:hideMark/>
          </w:tcPr>
          <w:p w:rsidR="00CE0D71" w:rsidRPr="007D463A" w:rsidRDefault="00CE0D71" w:rsidP="00CE0D71">
            <w:pPr>
              <w:jc w:val="right"/>
              <w:rPr>
                <w:sz w:val="22"/>
                <w:szCs w:val="22"/>
              </w:rPr>
            </w:pPr>
            <w:r w:rsidRPr="007D463A">
              <w:rPr>
                <w:sz w:val="22"/>
                <w:szCs w:val="22"/>
              </w:rPr>
              <w:t>10 432,6</w:t>
            </w:r>
          </w:p>
        </w:tc>
      </w:tr>
    </w:tbl>
    <w:p w:rsidR="00A75FEF" w:rsidRDefault="00A75FEF" w:rsidP="00A75FEF">
      <w:pPr>
        <w:pStyle w:val="afa"/>
        <w:ind w:left="709"/>
        <w:rPr>
          <w:i/>
          <w:sz w:val="24"/>
          <w:szCs w:val="24"/>
        </w:rPr>
      </w:pPr>
    </w:p>
    <w:p w:rsidR="00CE0D71" w:rsidRPr="00CE0D71" w:rsidRDefault="00CE0D71" w:rsidP="00F60552">
      <w:pPr>
        <w:pStyle w:val="afa"/>
        <w:numPr>
          <w:ilvl w:val="0"/>
          <w:numId w:val="7"/>
        </w:numPr>
        <w:ind w:left="0" w:firstLine="709"/>
        <w:rPr>
          <w:i/>
          <w:sz w:val="24"/>
          <w:szCs w:val="24"/>
        </w:rPr>
      </w:pPr>
      <w:r w:rsidRPr="00CE0D71">
        <w:rPr>
          <w:i/>
          <w:sz w:val="24"/>
          <w:szCs w:val="24"/>
        </w:rPr>
        <w:t>Подпрограмма «Повышение эффективности управления государственными финансами и государственным долгом Амурской области»</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Бюджетные ассигнования по подпрограмме «Повышение эффективности управления государственными финансами и государственным долгом Амурской области» утверждены в расходах областного бюджета по целевой статье расходов 1010000 в сумме 5915893,9 тыс. рублей. В общем объеме расходов государственной программы доля расходов по данной подпрограмме составляет 91,1 процента.</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99,6 процента (объем неисполненных ассигнований составил 21986,8 тыс. рублей).</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По данной подпрограмме не в полном объеме исполнены следующие программные мероприятия:</w:t>
      </w:r>
    </w:p>
    <w:p w:rsidR="00CE0D71" w:rsidRPr="00E6476E" w:rsidRDefault="00CE0D71" w:rsidP="0014690C">
      <w:pPr>
        <w:pStyle w:val="afa"/>
        <w:numPr>
          <w:ilvl w:val="0"/>
          <w:numId w:val="41"/>
        </w:numPr>
        <w:tabs>
          <w:tab w:val="left" w:pos="993"/>
        </w:tabs>
        <w:ind w:left="0" w:firstLine="709"/>
        <w:jc w:val="both"/>
        <w:rPr>
          <w:sz w:val="24"/>
          <w:szCs w:val="24"/>
        </w:rPr>
      </w:pPr>
      <w:r w:rsidRPr="00E6476E">
        <w:rPr>
          <w:sz w:val="24"/>
          <w:szCs w:val="24"/>
        </w:rPr>
        <w:t>расходы на обеспечение функций министерства финансов Амурской области – при плановых назначениях в сумме 153889,0 исполнение составило 136934,7 или 89,0 процентов;</w:t>
      </w:r>
    </w:p>
    <w:p w:rsidR="00CE0D71" w:rsidRPr="00E6476E" w:rsidRDefault="00CE0D71" w:rsidP="0014690C">
      <w:pPr>
        <w:pStyle w:val="afa"/>
        <w:numPr>
          <w:ilvl w:val="0"/>
          <w:numId w:val="41"/>
        </w:numPr>
        <w:tabs>
          <w:tab w:val="left" w:pos="993"/>
        </w:tabs>
        <w:ind w:left="0" w:firstLine="709"/>
        <w:jc w:val="both"/>
        <w:rPr>
          <w:sz w:val="24"/>
          <w:szCs w:val="24"/>
        </w:rPr>
      </w:pPr>
      <w:r w:rsidRPr="00E6476E">
        <w:rPr>
          <w:sz w:val="24"/>
          <w:szCs w:val="24"/>
        </w:rPr>
        <w:t>исполнение судебных актов по взысканию денежных средств за счет казны Амурской области – при плановых назначениях в сумме 86480,2 тыс. рублей исполнение составило 84378,6 тыс. рублей, или 97,6 процента;</w:t>
      </w:r>
    </w:p>
    <w:p w:rsidR="00CE0D71" w:rsidRPr="00E6476E" w:rsidRDefault="00CE0D71" w:rsidP="0014690C">
      <w:pPr>
        <w:pStyle w:val="afa"/>
        <w:numPr>
          <w:ilvl w:val="0"/>
          <w:numId w:val="41"/>
        </w:numPr>
        <w:tabs>
          <w:tab w:val="left" w:pos="993"/>
        </w:tabs>
        <w:ind w:left="0" w:firstLine="709"/>
        <w:jc w:val="both"/>
        <w:rPr>
          <w:sz w:val="24"/>
          <w:szCs w:val="24"/>
        </w:rPr>
      </w:pPr>
      <w:r w:rsidRPr="00E6476E">
        <w:rPr>
          <w:sz w:val="24"/>
          <w:szCs w:val="24"/>
        </w:rPr>
        <w:t xml:space="preserve">резервный фонд Правительства Амурской области – при плановых назначениях в сумме 4100,7 тыс. рублей исполнение составило 1770,5 тыс. рублей, или 43,2 процента. Согласно отчету об использовании бюджетных ассигнований Резервного фонда </w:t>
      </w:r>
      <w:r w:rsidRPr="00E6476E">
        <w:rPr>
          <w:sz w:val="24"/>
          <w:szCs w:val="24"/>
        </w:rPr>
        <w:lastRenderedPageBreak/>
        <w:t>Правительства Амурской области за 2015 год средства резервного фонда в сумме 1770,5 тыс. рублей направлены на предоставление субсидий бюджету Октябрьского района на проведение аварийно-восстановительных работ здания МБОУ «Средняя общеобразовательная школа п</w:t>
      </w:r>
      <w:r w:rsidR="003E5087" w:rsidRPr="00E6476E">
        <w:rPr>
          <w:sz w:val="24"/>
          <w:szCs w:val="24"/>
        </w:rPr>
        <w:t xml:space="preserve">. </w:t>
      </w:r>
      <w:proofErr w:type="spellStart"/>
      <w:r w:rsidR="003E5087" w:rsidRPr="00E6476E">
        <w:rPr>
          <w:sz w:val="24"/>
          <w:szCs w:val="24"/>
        </w:rPr>
        <w:t>М</w:t>
      </w:r>
      <w:r w:rsidRPr="00E6476E">
        <w:rPr>
          <w:sz w:val="24"/>
          <w:szCs w:val="24"/>
        </w:rPr>
        <w:t>ухинский</w:t>
      </w:r>
      <w:proofErr w:type="spellEnd"/>
      <w:r w:rsidRPr="00E6476E">
        <w:rPr>
          <w:sz w:val="24"/>
          <w:szCs w:val="24"/>
        </w:rPr>
        <w:t>», пострадавшего в результате ЧС;</w:t>
      </w:r>
    </w:p>
    <w:p w:rsidR="00CE0D71" w:rsidRPr="00E6476E" w:rsidRDefault="00CE0D71" w:rsidP="0014690C">
      <w:pPr>
        <w:pStyle w:val="afa"/>
        <w:numPr>
          <w:ilvl w:val="0"/>
          <w:numId w:val="41"/>
        </w:numPr>
        <w:tabs>
          <w:tab w:val="left" w:pos="993"/>
        </w:tabs>
        <w:ind w:left="0" w:firstLine="709"/>
        <w:jc w:val="both"/>
        <w:rPr>
          <w:sz w:val="24"/>
          <w:szCs w:val="24"/>
        </w:rPr>
      </w:pPr>
      <w:r w:rsidRPr="00E6476E">
        <w:rPr>
          <w:sz w:val="24"/>
          <w:szCs w:val="24"/>
        </w:rPr>
        <w:t>обслуживание государственного долга области - при плановых назначениях в сумме 1904248,6 тыс. рублей исполнение составило 1903647,9 тыс. рублей, или 99,97 процента.</w:t>
      </w:r>
    </w:p>
    <w:p w:rsidR="00CE0D71" w:rsidRPr="00CE0D71" w:rsidRDefault="00A75FEF" w:rsidP="00CE0D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CE0D71">
        <w:rPr>
          <w:rFonts w:ascii="Times New Roman" w:hAnsi="Times New Roman" w:cs="Times New Roman"/>
          <w:sz w:val="24"/>
          <w:szCs w:val="24"/>
        </w:rPr>
        <w:t xml:space="preserve">сполнены в полном объеме </w:t>
      </w:r>
      <w:r>
        <w:rPr>
          <w:rFonts w:ascii="Times New Roman" w:hAnsi="Times New Roman" w:cs="Times New Roman"/>
          <w:sz w:val="24"/>
          <w:szCs w:val="24"/>
        </w:rPr>
        <w:t xml:space="preserve">следующие </w:t>
      </w:r>
      <w:r w:rsidR="00CE0D71" w:rsidRPr="00CE0D71">
        <w:rPr>
          <w:rFonts w:ascii="Times New Roman" w:hAnsi="Times New Roman" w:cs="Times New Roman"/>
          <w:sz w:val="24"/>
          <w:szCs w:val="24"/>
        </w:rPr>
        <w:t>программные мероприятия:</w:t>
      </w:r>
    </w:p>
    <w:p w:rsidR="00CE0D71" w:rsidRPr="00E6476E" w:rsidRDefault="00CE0D71" w:rsidP="0014690C">
      <w:pPr>
        <w:pStyle w:val="afa"/>
        <w:numPr>
          <w:ilvl w:val="0"/>
          <w:numId w:val="42"/>
        </w:numPr>
        <w:tabs>
          <w:tab w:val="left" w:pos="993"/>
        </w:tabs>
        <w:ind w:left="0" w:firstLine="709"/>
        <w:jc w:val="both"/>
        <w:rPr>
          <w:sz w:val="24"/>
          <w:szCs w:val="24"/>
        </w:rPr>
      </w:pPr>
      <w:r w:rsidRPr="00E6476E">
        <w:rPr>
          <w:sz w:val="24"/>
          <w:szCs w:val="24"/>
        </w:rPr>
        <w:t>дотации, связанные с особым режимом безопасного функционирования закрытых административно-территориальных образований в сумме 82772,1 тыс. рублей;</w:t>
      </w:r>
    </w:p>
    <w:p w:rsidR="00CE0D71" w:rsidRPr="00E6476E" w:rsidRDefault="00CE0D71" w:rsidP="0014690C">
      <w:pPr>
        <w:pStyle w:val="afa"/>
        <w:numPr>
          <w:ilvl w:val="0"/>
          <w:numId w:val="42"/>
        </w:numPr>
        <w:tabs>
          <w:tab w:val="left" w:pos="993"/>
        </w:tabs>
        <w:ind w:left="0" w:firstLine="709"/>
        <w:jc w:val="both"/>
        <w:rPr>
          <w:sz w:val="24"/>
          <w:szCs w:val="24"/>
        </w:rPr>
      </w:pPr>
      <w:r w:rsidRPr="00E6476E">
        <w:rPr>
          <w:sz w:val="24"/>
          <w:szCs w:val="24"/>
        </w:rPr>
        <w:t>выравнивание бюджетной обеспеченности муниципальных районов (городских округов) в сумме 18101,4 тыс. рублей;</w:t>
      </w:r>
    </w:p>
    <w:p w:rsidR="00CE0D71" w:rsidRPr="00E6476E" w:rsidRDefault="00CE0D71" w:rsidP="0014690C">
      <w:pPr>
        <w:pStyle w:val="afa"/>
        <w:numPr>
          <w:ilvl w:val="0"/>
          <w:numId w:val="42"/>
        </w:numPr>
        <w:tabs>
          <w:tab w:val="left" w:pos="993"/>
        </w:tabs>
        <w:ind w:left="0" w:firstLine="709"/>
        <w:jc w:val="both"/>
        <w:rPr>
          <w:sz w:val="24"/>
          <w:szCs w:val="24"/>
        </w:rPr>
      </w:pPr>
      <w:r w:rsidRPr="00E6476E">
        <w:rPr>
          <w:sz w:val="24"/>
          <w:szCs w:val="24"/>
        </w:rPr>
        <w:t>выравнивание бюджетной обеспеченности поселений в сумме 89817,3 тыс. рублей;</w:t>
      </w:r>
    </w:p>
    <w:p w:rsidR="00CE0D71" w:rsidRPr="00E6476E" w:rsidRDefault="00CE0D71" w:rsidP="0014690C">
      <w:pPr>
        <w:pStyle w:val="afa"/>
        <w:numPr>
          <w:ilvl w:val="0"/>
          <w:numId w:val="42"/>
        </w:numPr>
        <w:tabs>
          <w:tab w:val="left" w:pos="993"/>
        </w:tabs>
        <w:ind w:left="0" w:firstLine="709"/>
        <w:jc w:val="both"/>
        <w:rPr>
          <w:sz w:val="24"/>
          <w:szCs w:val="24"/>
        </w:rPr>
      </w:pPr>
      <w:r w:rsidRPr="00E6476E">
        <w:rPr>
          <w:sz w:val="24"/>
          <w:szCs w:val="24"/>
        </w:rPr>
        <w:t>поддержка мер по обеспечению сбалансированности муниципальных районов (городских округов) в сумме 3536677,5 тыс. рублей;</w:t>
      </w:r>
    </w:p>
    <w:p w:rsidR="00CE0D71" w:rsidRPr="00E6476E" w:rsidRDefault="00CE0D71" w:rsidP="0014690C">
      <w:pPr>
        <w:pStyle w:val="afa"/>
        <w:numPr>
          <w:ilvl w:val="0"/>
          <w:numId w:val="42"/>
        </w:numPr>
        <w:tabs>
          <w:tab w:val="left" w:pos="993"/>
        </w:tabs>
        <w:ind w:left="0" w:firstLine="709"/>
        <w:jc w:val="both"/>
        <w:rPr>
          <w:sz w:val="24"/>
          <w:szCs w:val="24"/>
        </w:rPr>
      </w:pPr>
      <w:r w:rsidRPr="00E6476E">
        <w:rPr>
          <w:sz w:val="24"/>
          <w:szCs w:val="24"/>
        </w:rPr>
        <w:t>финансирование расходов, связанных с материально-техническим обеспечением выборов в представительные органы вновь образованных муниципальных образований в сумме 2875,0 тыс. рублей;</w:t>
      </w:r>
    </w:p>
    <w:p w:rsidR="00CE0D71" w:rsidRPr="00E6476E" w:rsidRDefault="00CE0D71" w:rsidP="0014690C">
      <w:pPr>
        <w:pStyle w:val="afa"/>
        <w:numPr>
          <w:ilvl w:val="0"/>
          <w:numId w:val="42"/>
        </w:numPr>
        <w:tabs>
          <w:tab w:val="left" w:pos="993"/>
        </w:tabs>
        <w:ind w:left="0" w:firstLine="709"/>
        <w:jc w:val="both"/>
        <w:rPr>
          <w:sz w:val="24"/>
          <w:szCs w:val="24"/>
        </w:rPr>
      </w:pPr>
      <w:r w:rsidRPr="00E6476E">
        <w:rPr>
          <w:sz w:val="24"/>
          <w:szCs w:val="24"/>
        </w:rPr>
        <w:t>стимулирование укрупнения муниципальных образований в сумме 36932,1 тыс. рублей.</w:t>
      </w:r>
    </w:p>
    <w:p w:rsidR="00CE0D71" w:rsidRPr="00CE0D71" w:rsidRDefault="00CE0D71" w:rsidP="00F60552">
      <w:pPr>
        <w:pStyle w:val="afa"/>
        <w:numPr>
          <w:ilvl w:val="0"/>
          <w:numId w:val="7"/>
        </w:numPr>
        <w:ind w:left="0" w:firstLine="709"/>
        <w:jc w:val="both"/>
        <w:rPr>
          <w:i/>
          <w:sz w:val="24"/>
          <w:szCs w:val="24"/>
        </w:rPr>
      </w:pPr>
      <w:r w:rsidRPr="00CE0D71">
        <w:rPr>
          <w:i/>
          <w:sz w:val="24"/>
          <w:szCs w:val="24"/>
        </w:rPr>
        <w:t>Подпрограмма «Повышение эффективности использования государственного имущества Амурской области»</w:t>
      </w:r>
    </w:p>
    <w:p w:rsidR="00A75FEF"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Бюджетные ассигнования по подпрограмме «Повышение эффективности использования государственного имущества Амурской области» утверждены в расходах областного бюджета по целевой статье расходов 1020000 в сумме 60192,2 тыс. рублей.</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98,8 процента (объем неисполненных ассигнований составил </w:t>
      </w:r>
      <w:r w:rsidR="00A75FEF">
        <w:rPr>
          <w:rFonts w:ascii="Times New Roman" w:hAnsi="Times New Roman" w:cs="Times New Roman"/>
          <w:sz w:val="24"/>
          <w:szCs w:val="24"/>
        </w:rPr>
        <w:br/>
      </w:r>
      <w:r w:rsidRPr="00CE0D71">
        <w:rPr>
          <w:rFonts w:ascii="Times New Roman" w:hAnsi="Times New Roman" w:cs="Times New Roman"/>
          <w:sz w:val="24"/>
          <w:szCs w:val="24"/>
        </w:rPr>
        <w:t>721,2 тыс. рублей).</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Мероприятия подпрограммы включают расходы на обеспечение деятельности министерства имущественных отношений Амурской области в сумме 51739,9 тыс. рублей, которые исполнены на 98,6 процента, расходы на предоставление субсидий государственному бюджетному учреждению Амурской области «Фонд имущества Амурской области» в сумме 4838,0 тыс. рублей, которые перечислены в полном объеме и расходы на оценку областного имущества, в том числе земельных участков, акций открытых акционерных обществ и оформление правоустанавливающих документов на объекты собственности Амурской области в сумме 261,3 тыс. рублей, которые исполнены не в полном объеме.</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 xml:space="preserve">Также подпрограммой предусмотрено мероприятие по организации и проведению </w:t>
      </w:r>
      <w:r w:rsidR="00A75FEF" w:rsidRPr="00CE0D71">
        <w:rPr>
          <w:rFonts w:ascii="Times New Roman" w:hAnsi="Times New Roman" w:cs="Times New Roman"/>
          <w:sz w:val="24"/>
          <w:szCs w:val="24"/>
        </w:rPr>
        <w:t>землеустроительных работ</w:t>
      </w:r>
      <w:r w:rsidR="00A75FEF">
        <w:rPr>
          <w:rFonts w:ascii="Times New Roman" w:hAnsi="Times New Roman" w:cs="Times New Roman"/>
          <w:sz w:val="24"/>
          <w:szCs w:val="24"/>
        </w:rPr>
        <w:t xml:space="preserve">, </w:t>
      </w:r>
      <w:r w:rsidR="00A75FEF" w:rsidRPr="00CE0D71">
        <w:rPr>
          <w:rFonts w:ascii="Times New Roman" w:hAnsi="Times New Roman" w:cs="Times New Roman"/>
          <w:sz w:val="24"/>
          <w:szCs w:val="24"/>
        </w:rPr>
        <w:t xml:space="preserve">проведение государственной кадастровой оценки земельных участков </w:t>
      </w:r>
      <w:r w:rsidRPr="00CE0D71">
        <w:rPr>
          <w:rFonts w:ascii="Times New Roman" w:hAnsi="Times New Roman" w:cs="Times New Roman"/>
          <w:sz w:val="24"/>
          <w:szCs w:val="24"/>
        </w:rPr>
        <w:t>в сумме 3352,9 тыс. рублей, в 2015 году утвержденные ассигнования выделены в полном объеме.</w:t>
      </w:r>
    </w:p>
    <w:p w:rsidR="00CE0D71" w:rsidRPr="00CE0D71" w:rsidRDefault="00CE0D71" w:rsidP="00F60552">
      <w:pPr>
        <w:pStyle w:val="afa"/>
        <w:numPr>
          <w:ilvl w:val="0"/>
          <w:numId w:val="7"/>
        </w:numPr>
        <w:ind w:left="0" w:firstLine="709"/>
        <w:jc w:val="both"/>
        <w:rPr>
          <w:i/>
          <w:sz w:val="24"/>
          <w:szCs w:val="24"/>
        </w:rPr>
      </w:pPr>
      <w:r w:rsidRPr="00CE0D71">
        <w:rPr>
          <w:i/>
          <w:sz w:val="24"/>
          <w:szCs w:val="24"/>
        </w:rPr>
        <w:t>Подпрограмма «Развитие информационного общества и формирование электронного правительства в Амурской области»</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 xml:space="preserve">Бюджетные ассигнования по подпрограмме «Развитие информационного общества и формирование электронного правительства в Амурской области» утверждены в расходах областного бюджета по целевой статье расходов 1030000 в сумме 110014,6 тыс. рублей. </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Координатором подпрограммы определено управление информатизации Амурской области.</w:t>
      </w:r>
      <w:r w:rsidR="00A75FEF">
        <w:rPr>
          <w:rFonts w:ascii="Times New Roman" w:hAnsi="Times New Roman" w:cs="Times New Roman"/>
          <w:sz w:val="24"/>
          <w:szCs w:val="24"/>
        </w:rPr>
        <w:t xml:space="preserve"> </w:t>
      </w:r>
      <w:r w:rsidRPr="00CE0D71">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94,8 процента (объем неисполненных ассигнований составил </w:t>
      </w:r>
      <w:r w:rsidRPr="00CE0D71">
        <w:rPr>
          <w:rFonts w:ascii="Times New Roman" w:hAnsi="Times New Roman" w:cs="Times New Roman"/>
          <w:sz w:val="24"/>
          <w:szCs w:val="24"/>
        </w:rPr>
        <w:br/>
        <w:t>5675,1 тыс. рублей).</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 xml:space="preserve">Наиболее низкий уровень исполнения сложился по мероприятию «Поддержка региональных проектов в сфере информационных технологий» - 60,0 процентов. При </w:t>
      </w:r>
      <w:r w:rsidRPr="00CE0D71">
        <w:rPr>
          <w:rFonts w:ascii="Times New Roman" w:hAnsi="Times New Roman" w:cs="Times New Roman"/>
          <w:sz w:val="24"/>
          <w:szCs w:val="24"/>
        </w:rPr>
        <w:lastRenderedPageBreak/>
        <w:t xml:space="preserve">планируемых 5069,6 тыс. рублей на выполнение данного мероприятия направлено </w:t>
      </w:r>
      <w:r w:rsidRPr="00CE0D71">
        <w:rPr>
          <w:rFonts w:ascii="Times New Roman" w:hAnsi="Times New Roman" w:cs="Times New Roman"/>
          <w:sz w:val="24"/>
          <w:szCs w:val="24"/>
        </w:rPr>
        <w:br/>
        <w:t xml:space="preserve">3040,0 тыс. рублей. </w:t>
      </w:r>
    </w:p>
    <w:p w:rsidR="00CE0D71" w:rsidRPr="00CE0D71" w:rsidRDefault="00CE0D71" w:rsidP="00CE0D71">
      <w:pPr>
        <w:autoSpaceDE w:val="0"/>
        <w:autoSpaceDN w:val="0"/>
        <w:adjustRightInd w:val="0"/>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Данным мероприятием предусмотрено обеспечение возможности получения государственных и муниципальных услуг в электронной форме, а также повышение качества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посредством внедрения автоматизированной информационной системы.</w:t>
      </w:r>
    </w:p>
    <w:p w:rsidR="00CE0D71" w:rsidRPr="00CE0D71" w:rsidRDefault="00CE0D71" w:rsidP="00CE0D71">
      <w:pPr>
        <w:autoSpaceDE w:val="0"/>
        <w:autoSpaceDN w:val="0"/>
        <w:adjustRightInd w:val="0"/>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 xml:space="preserve">На реализацию мероприятия «Создание и развитие сети многофункциональных центров предоставления государственных и муниципальных услуг» направлено 20438,2 тыс. рублей, поступивших из федерального бюджета, или 100,0 процентов плана. </w:t>
      </w:r>
    </w:p>
    <w:p w:rsidR="00CE0D71" w:rsidRPr="00CE0D71" w:rsidRDefault="00CE0D71" w:rsidP="00F60552">
      <w:pPr>
        <w:pStyle w:val="afa"/>
        <w:numPr>
          <w:ilvl w:val="0"/>
          <w:numId w:val="7"/>
        </w:numPr>
        <w:tabs>
          <w:tab w:val="left" w:pos="709"/>
        </w:tabs>
        <w:ind w:left="0" w:firstLine="709"/>
        <w:jc w:val="both"/>
        <w:rPr>
          <w:i/>
          <w:sz w:val="24"/>
          <w:szCs w:val="24"/>
        </w:rPr>
      </w:pPr>
      <w:r w:rsidRPr="00CE0D71">
        <w:rPr>
          <w:i/>
          <w:sz w:val="24"/>
          <w:szCs w:val="24"/>
        </w:rPr>
        <w:t>Подпрограмма «Реализация единой внутренней политики на территории области и поддержка социально ориентированных некоммерческих организаций»</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 xml:space="preserve">Бюджетные ассигнования по подпрограмме «Реализация единой внутренней политики на территории области и поддержка социально ориентированных некоммерческих организаций» утверждены в расходах областного бюджета по целевой статье расходов 1040000 в сумме 73372,9 тыс. рублей. </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Координатором подпрограммы определено министерство внутренней и информационной политики Амурской области. Уровень исполнения расходов, предусмотренных на реализацию мероприятий подпрограммы, составил 92,8 процента (объем неисполненных ассигнований составил 5266,4 тыс. рублей).</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Основную долю объема расходов по данной подпрограмме – 96,3 процента составляют расходы:</w:t>
      </w:r>
    </w:p>
    <w:p w:rsidR="00CE0D71" w:rsidRPr="00E6476E" w:rsidRDefault="00CE0D71" w:rsidP="0014690C">
      <w:pPr>
        <w:pStyle w:val="afa"/>
        <w:numPr>
          <w:ilvl w:val="0"/>
          <w:numId w:val="43"/>
        </w:numPr>
        <w:tabs>
          <w:tab w:val="left" w:pos="851"/>
        </w:tabs>
        <w:ind w:left="0" w:firstLine="709"/>
        <w:jc w:val="both"/>
        <w:rPr>
          <w:sz w:val="24"/>
          <w:szCs w:val="24"/>
        </w:rPr>
      </w:pPr>
      <w:r w:rsidRPr="00E6476E">
        <w:rPr>
          <w:sz w:val="24"/>
          <w:szCs w:val="24"/>
        </w:rPr>
        <w:t>на обеспечение функций министерства внутренней и информационной политики области в сумме 66258,7 тыс. рублей, исполнение – 61531,3 тыс. рублей, или 92,9 процента;</w:t>
      </w:r>
    </w:p>
    <w:p w:rsidR="00CE0D71" w:rsidRPr="00E6476E" w:rsidRDefault="00CE0D71" w:rsidP="0014690C">
      <w:pPr>
        <w:pStyle w:val="afa"/>
        <w:numPr>
          <w:ilvl w:val="0"/>
          <w:numId w:val="43"/>
        </w:numPr>
        <w:tabs>
          <w:tab w:val="left" w:pos="851"/>
        </w:tabs>
        <w:ind w:left="0" w:firstLine="709"/>
        <w:jc w:val="both"/>
        <w:rPr>
          <w:sz w:val="24"/>
          <w:szCs w:val="24"/>
        </w:rPr>
      </w:pPr>
      <w:r w:rsidRPr="00E6476E">
        <w:rPr>
          <w:sz w:val="24"/>
          <w:szCs w:val="24"/>
        </w:rPr>
        <w:t>расходы на обеспечение деятельности подведомственного министерству внутренней и информационной политики области государственного казенного учреждения Амурской области «Аппарат общественной палаты Амурской области» в сумме 4418,2 тыс. рублей, исполнение – 2028,8 тыс. рублей, или 45,9 процента.</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 xml:space="preserve">Кроме того по </w:t>
      </w:r>
      <w:r w:rsidR="00E6476E">
        <w:rPr>
          <w:rFonts w:ascii="Times New Roman" w:hAnsi="Times New Roman" w:cs="Times New Roman"/>
          <w:sz w:val="24"/>
          <w:szCs w:val="24"/>
        </w:rPr>
        <w:t>данной подпрограмме направлено:</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-1872,0 тыс. рублей, или 100,0 процентов плана - на оказание финансовой поддержки деятельности СОНКО путем предоставления субсидий на реализацию социально значимых проектов;</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-673,4 тыс. рублей, или 81,8 процента плана - на организацию и проведение мероприятий, направленных на повышение профессиональной подготовки и социальной компетентности сотрудников СОНКО, муниципальных служащих, оказание им информационно-консультационной поддержки на принципах партнерства.</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 xml:space="preserve">По двум вышеназванным мероприятиям, с использованием выделенного объема финансовых средств, установленные показатели результативности перевыполнены на 39 и </w:t>
      </w:r>
      <w:r w:rsidRPr="00CE0D71">
        <w:rPr>
          <w:rFonts w:ascii="Times New Roman" w:hAnsi="Times New Roman" w:cs="Times New Roman"/>
          <w:sz w:val="24"/>
          <w:szCs w:val="24"/>
        </w:rPr>
        <w:br/>
        <w:t>27 единиц, соответственно.</w:t>
      </w:r>
    </w:p>
    <w:p w:rsidR="00CE0D71" w:rsidRPr="00CE0D71" w:rsidRDefault="00CE0D71" w:rsidP="00F60552">
      <w:pPr>
        <w:pStyle w:val="afa"/>
        <w:numPr>
          <w:ilvl w:val="0"/>
          <w:numId w:val="7"/>
        </w:numPr>
        <w:ind w:left="0" w:firstLine="709"/>
        <w:jc w:val="both"/>
        <w:rPr>
          <w:i/>
          <w:sz w:val="24"/>
          <w:szCs w:val="24"/>
        </w:rPr>
      </w:pPr>
      <w:r w:rsidRPr="00CE0D71">
        <w:rPr>
          <w:i/>
          <w:sz w:val="24"/>
          <w:szCs w:val="24"/>
        </w:rPr>
        <w:t>Подпрограмма «Улучшение условий и охраны труда»</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В рамках данной подпрограммы реализуется мероприятие, направленное на проведение профилактической работы по предупреждению производственного травматизма и профессиональной заболеваемости. На реализацию мероприятия управлением занятости населения области в 2015 году направлено 160,0 тыс. рублей, или 100,0 процентов плана.</w:t>
      </w:r>
    </w:p>
    <w:p w:rsidR="00CE0D71" w:rsidRPr="00CE0D71" w:rsidRDefault="00CE0D71" w:rsidP="00F60552">
      <w:pPr>
        <w:pStyle w:val="afa"/>
        <w:numPr>
          <w:ilvl w:val="0"/>
          <w:numId w:val="7"/>
        </w:numPr>
        <w:ind w:left="0" w:firstLine="709"/>
        <w:jc w:val="both"/>
        <w:rPr>
          <w:i/>
          <w:sz w:val="24"/>
          <w:szCs w:val="24"/>
        </w:rPr>
      </w:pPr>
      <w:r w:rsidRPr="00CE0D71">
        <w:rPr>
          <w:i/>
          <w:sz w:val="24"/>
          <w:szCs w:val="24"/>
        </w:rPr>
        <w:t>Подпрограмма «Обеспечение реализации основных направлений государственной политики в отдельных сферах государственного управления на территории области»</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Бюджетные ассигнования по подпрограмме «Обеспечение реализации основных направлений государственной политики в отдельных сферах государственного управления на территории области» утверждены в расходах областного бюджета по целевой статье расходов 106000</w:t>
      </w:r>
      <w:r w:rsidR="00E6476E">
        <w:rPr>
          <w:rFonts w:ascii="Times New Roman" w:hAnsi="Times New Roman" w:cs="Times New Roman"/>
          <w:sz w:val="24"/>
          <w:szCs w:val="24"/>
        </w:rPr>
        <w:t>0 в сумме 333060,4 тыс. рублей.</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Координатором подпрограммы определено Министерство юстиции Амурской области.</w:t>
      </w:r>
      <w:r w:rsidR="00A75FEF">
        <w:rPr>
          <w:rFonts w:ascii="Times New Roman" w:hAnsi="Times New Roman" w:cs="Times New Roman"/>
          <w:sz w:val="24"/>
          <w:szCs w:val="24"/>
        </w:rPr>
        <w:t xml:space="preserve"> </w:t>
      </w:r>
      <w:r w:rsidRPr="00CE0D71">
        <w:rPr>
          <w:rFonts w:ascii="Times New Roman" w:hAnsi="Times New Roman" w:cs="Times New Roman"/>
          <w:sz w:val="24"/>
          <w:szCs w:val="24"/>
        </w:rPr>
        <w:t xml:space="preserve">Уровень исполнения расходов, предусмотренных на реализацию мероприятий </w:t>
      </w:r>
      <w:r w:rsidRPr="00CE0D71">
        <w:rPr>
          <w:rFonts w:ascii="Times New Roman" w:hAnsi="Times New Roman" w:cs="Times New Roman"/>
          <w:sz w:val="24"/>
          <w:szCs w:val="24"/>
        </w:rPr>
        <w:lastRenderedPageBreak/>
        <w:t>подпрограммы, составил 96,9 процента (объем неисполненных ассигнований составил 10432,5 тыс. рублей).</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Наибольшую долю объема расходов по данной подпрограмме – 47,6 процента составляют расходы на реализацию мероприятия «Обеспечение деятельности мировых судей». На данное мероприятие предусмотрено 158475,6 тыс. рублей, исполнение составило 156089,2 тыс. рублей, или 98,5 процента. Данное мероприятие включает в себя финансовое и материально-техническое обеспечение деятельности мировых судей (обеспечение служебным помещением, выделение средств на транспортные, почтовые расходы, хозяйственную деятельность и т.д.), содержание аппарата министерства юстиции Амурской области.</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На реализацию программного мероприятия «Расходы на обеспечение функций исполнительных органов государственной власти» предусмотрено 87777,5 тыс. рублей, исполнение составило 80624,0 тыс. рублей, или 91,9 процента.</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В рамках данного мероприятия предусмотрены ассигнования на финансирование:</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1. Управления ЗАГС Амурской области на обеспечение деятельности и выполнение функций управления ЗАГС по осуществлению исполнительно-распорядительной деятельности по реализации полномочий Российской Федерации на государственную регистрацию актов гражданского состояния на территории области за счет средств областного бюджета.</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Плановые назначения утверждены в сумме 18631,9 тыс. рублей, исполнение составило 18484,4 тыс. рублей, или 99,2 процента.</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2. Управления государственного заказа Амурской области на:</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-обеспечение деятельности и выполнение функций управления госзаказа в сфере закупок товаров, работ, услуг для государственных нужд Амурской области и нужд бюджетных учреждений Амурской области;</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-взаимодействие с федеральными органами, исполнительными органами государственной власти Амурской области, органами местного самоуправления области, общественными объединениями и иными хозяйствующими субъектами.</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Плановые назначения утверждены в сумме 26820,8 тыс. рублей, исполнение составило 23038,3 тыс. рублей, или 85,9 процента.</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3. Управления государственного регулирования цен и тарифов Амурской области на:</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-обеспечение деятельности и выполнение функций управления по государственному регулированию цен и тарифов на продукцию (товары, услуги), подлежащую государственному регулированию;</w:t>
      </w:r>
    </w:p>
    <w:p w:rsidR="009B206E"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-взаимодействие управления с федеральным органом исполнительной власти в области регулирования тарифов (Федеральной службой по тарифам) и работа с ним на единой нормативно-методической основе;</w:t>
      </w:r>
    </w:p>
    <w:p w:rsidR="00CE0D71" w:rsidRPr="00CE0D71" w:rsidRDefault="009B206E" w:rsidP="00CE0D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E0D71" w:rsidRPr="00CE0D71">
        <w:rPr>
          <w:rFonts w:ascii="Times New Roman" w:hAnsi="Times New Roman" w:cs="Times New Roman"/>
          <w:sz w:val="24"/>
          <w:szCs w:val="24"/>
        </w:rPr>
        <w:t>взаимодействие с иными федеральными органами исполнительной власти, исполнительными органами государственной власти области, органами местного самоуправления области, общественными объединениями и иными хозяйствующими субъектами.</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Плановые назначения утверждены в сумме 42324,8 тыс. рублей, исполнение составило 39101,3 тыс. рублей, или 92,4 процента.</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 xml:space="preserve">Мероприятие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профинансировано в полном объеме – </w:t>
      </w:r>
      <w:r w:rsidRPr="00CE0D71">
        <w:rPr>
          <w:rFonts w:ascii="Times New Roman" w:hAnsi="Times New Roman" w:cs="Times New Roman"/>
          <w:sz w:val="24"/>
          <w:szCs w:val="24"/>
        </w:rPr>
        <w:br/>
        <w:t>69703,3 тыс. рублей. Данное мероприятие осуществляется за счет субвенции из федерального бюджета.</w:t>
      </w:r>
    </w:p>
    <w:p w:rsidR="00CE0D71" w:rsidRP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t>Расходы по программному мероприятию «Выполнение государственных функций по организационному обеспечению деятельности административных комиссий области» при плане 17104,1 тыс. рублей исполнены в сумме 16223,1 тыс. рублей, или 94,8 процента.</w:t>
      </w:r>
    </w:p>
    <w:p w:rsidR="00CE0D71" w:rsidRDefault="00CE0D71" w:rsidP="00CE0D71">
      <w:pPr>
        <w:spacing w:after="0" w:line="240" w:lineRule="auto"/>
        <w:ind w:firstLine="709"/>
        <w:jc w:val="both"/>
        <w:rPr>
          <w:rFonts w:ascii="Times New Roman" w:hAnsi="Times New Roman" w:cs="Times New Roman"/>
          <w:sz w:val="24"/>
          <w:szCs w:val="24"/>
        </w:rPr>
      </w:pPr>
      <w:r w:rsidRPr="00CE0D71">
        <w:rPr>
          <w:rFonts w:ascii="Times New Roman" w:hAnsi="Times New Roman" w:cs="Times New Roman"/>
          <w:sz w:val="24"/>
          <w:szCs w:val="24"/>
        </w:rPr>
        <w:lastRenderedPageBreak/>
        <w:t xml:space="preserve">Информация о расходах государственной программы «Повышение эффективности деятельности органов государственной власти и управления Амурской области на 2014-2020 годы» по основным направлениям деятельности представлена на рисунке </w:t>
      </w:r>
      <w:r w:rsidR="00A75FEF">
        <w:rPr>
          <w:rFonts w:ascii="Times New Roman" w:hAnsi="Times New Roman" w:cs="Times New Roman"/>
          <w:sz w:val="24"/>
          <w:szCs w:val="24"/>
        </w:rPr>
        <w:t>32.</w:t>
      </w:r>
    </w:p>
    <w:p w:rsidR="00A75FEF" w:rsidRPr="00CE0D71" w:rsidRDefault="00A75FEF" w:rsidP="00CE0D71">
      <w:pPr>
        <w:spacing w:after="0" w:line="240" w:lineRule="auto"/>
        <w:ind w:firstLine="709"/>
        <w:jc w:val="both"/>
        <w:rPr>
          <w:rFonts w:ascii="Times New Roman" w:hAnsi="Times New Roman" w:cs="Times New Roman"/>
          <w:sz w:val="24"/>
          <w:szCs w:val="24"/>
        </w:rPr>
      </w:pPr>
    </w:p>
    <w:p w:rsidR="00CE0D71" w:rsidRPr="00A96F0D" w:rsidRDefault="00CE0D71" w:rsidP="00CE0D7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C992BCD" wp14:editId="3B320C99">
            <wp:extent cx="6238875" cy="5248275"/>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CE0D71" w:rsidRDefault="00CE0D71" w:rsidP="00A75FEF">
      <w:pPr>
        <w:spacing w:before="120"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Рис. </w:t>
      </w:r>
      <w:r w:rsidR="00A75FEF">
        <w:rPr>
          <w:rFonts w:ascii="Times New Roman" w:hAnsi="Times New Roman" w:cs="Times New Roman"/>
          <w:b/>
          <w:sz w:val="24"/>
          <w:szCs w:val="24"/>
        </w:rPr>
        <w:t>32 -</w:t>
      </w:r>
      <w:r w:rsidRPr="008F6421">
        <w:rPr>
          <w:rFonts w:ascii="Times New Roman" w:hAnsi="Times New Roman" w:cs="Times New Roman"/>
          <w:b/>
          <w:sz w:val="24"/>
          <w:szCs w:val="24"/>
        </w:rPr>
        <w:t>Основные направления расходов областного бюджета по государственной программе «Повышение эффективности деятельности органов государственной власти и управления Амурской области на 2014-2020 годы»</w:t>
      </w:r>
      <w:r w:rsidR="009B206E">
        <w:rPr>
          <w:rFonts w:ascii="Times New Roman" w:hAnsi="Times New Roman" w:cs="Times New Roman"/>
          <w:b/>
          <w:sz w:val="24"/>
          <w:szCs w:val="24"/>
        </w:rPr>
        <w:t>, млн. руб.</w:t>
      </w:r>
    </w:p>
    <w:p w:rsidR="00A75FEF" w:rsidRPr="00A75FEF" w:rsidRDefault="00A75FEF" w:rsidP="00A75FEF">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A75FEF">
        <w:rPr>
          <w:rFonts w:ascii="Times New Roman" w:eastAsia="Times New Roman" w:hAnsi="Times New Roman" w:cs="Times New Roman"/>
          <w:b/>
          <w:color w:val="000000"/>
          <w:sz w:val="24"/>
          <w:szCs w:val="24"/>
          <w:lang w:eastAsia="ru-RU"/>
        </w:rPr>
        <w:t>5.11. Исполнение расходов областного бюджета за 2015 год в рамках государственной программы «</w:t>
      </w:r>
      <w:r w:rsidRPr="00A75FEF">
        <w:rPr>
          <w:rFonts w:ascii="Times New Roman" w:eastAsia="Calibri" w:hAnsi="Times New Roman" w:cs="Times New Roman"/>
          <w:b/>
          <w:bCs/>
          <w:sz w:val="24"/>
          <w:szCs w:val="24"/>
        </w:rPr>
        <w:t>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2014 - 2020 годы»</w:t>
      </w:r>
    </w:p>
    <w:p w:rsidR="00A75FEF" w:rsidRPr="00A75FEF" w:rsidRDefault="00A75FEF" w:rsidP="00A75FE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75FEF">
        <w:rPr>
          <w:rFonts w:ascii="Times New Roman" w:eastAsia="Times New Roman" w:hAnsi="Times New Roman" w:cs="Times New Roman"/>
          <w:color w:val="000000"/>
          <w:sz w:val="24"/>
          <w:szCs w:val="24"/>
          <w:lang w:eastAsia="ru-RU"/>
        </w:rPr>
        <w:t>Государственная программа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 в составе четырех подпрограмм утверждена постановлением Правительства Амурской области от 25.09.2013 № 454 (с изменениями и дополнениями) с объемом ассигнований областного бюджета на 2015 год – 868882,2 тыс. рублей, соответствующим ассигнованиям, предусмотренным Законом Амурской области «Об областном бюджете на 2015 год и плановый период 2016 и 2017 годов».</w:t>
      </w:r>
    </w:p>
    <w:p w:rsidR="00A75FEF" w:rsidRPr="00A75FEF" w:rsidRDefault="00A75FEF" w:rsidP="00A75FE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75FEF">
        <w:rPr>
          <w:rFonts w:ascii="Times New Roman" w:eastAsia="Times New Roman" w:hAnsi="Times New Roman" w:cs="Times New Roman"/>
          <w:color w:val="000000"/>
          <w:sz w:val="24"/>
          <w:szCs w:val="24"/>
          <w:lang w:eastAsia="ru-RU"/>
        </w:rPr>
        <w:t>Координатором государственной программы определено м</w:t>
      </w:r>
      <w:r w:rsidRPr="00A75FEF">
        <w:rPr>
          <w:rFonts w:ascii="Times New Roman" w:eastAsia="Calibri" w:hAnsi="Times New Roman" w:cs="Times New Roman"/>
          <w:color w:val="000000"/>
          <w:sz w:val="24"/>
          <w:szCs w:val="24"/>
        </w:rPr>
        <w:t>инистерство лесного хозяйства и пожарной безопасности Амурской области.</w:t>
      </w:r>
    </w:p>
    <w:p w:rsidR="00A75FEF" w:rsidRPr="00A75FEF" w:rsidRDefault="00A75FEF" w:rsidP="00A75F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 xml:space="preserve">Координатором подпрограмм определено министерство внутренней и </w:t>
      </w:r>
      <w:r w:rsidRPr="00A75FEF">
        <w:rPr>
          <w:rFonts w:ascii="Times New Roman" w:eastAsia="Times New Roman" w:hAnsi="Times New Roman" w:cs="Times New Roman"/>
          <w:sz w:val="24"/>
          <w:szCs w:val="24"/>
          <w:lang w:eastAsia="ru-RU"/>
        </w:rPr>
        <w:lastRenderedPageBreak/>
        <w:t>информационной политики Амурской области.</w:t>
      </w:r>
    </w:p>
    <w:p w:rsidR="00A75FEF" w:rsidRPr="00A75FEF" w:rsidRDefault="002472A5" w:rsidP="002472A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Участниками программы являются </w:t>
      </w:r>
      <w:r w:rsidR="00A75FEF" w:rsidRPr="00A75FEF">
        <w:rPr>
          <w:rFonts w:ascii="Times New Roman" w:eastAsia="Times New Roman" w:hAnsi="Times New Roman" w:cs="Times New Roman"/>
          <w:sz w:val="24"/>
          <w:szCs w:val="24"/>
          <w:lang w:eastAsia="ru-RU"/>
        </w:rPr>
        <w:t>министерство внешнеэкономических связей, туризм</w:t>
      </w:r>
      <w:r>
        <w:rPr>
          <w:rFonts w:ascii="Times New Roman" w:eastAsia="Times New Roman" w:hAnsi="Times New Roman" w:cs="Times New Roman"/>
          <w:sz w:val="24"/>
          <w:szCs w:val="24"/>
          <w:lang w:eastAsia="ru-RU"/>
        </w:rPr>
        <w:t xml:space="preserve">а и предпринимательства области, </w:t>
      </w:r>
      <w:r w:rsidR="00A75FEF" w:rsidRPr="00A75FEF">
        <w:rPr>
          <w:rFonts w:ascii="Times New Roman" w:eastAsia="Times New Roman" w:hAnsi="Times New Roman" w:cs="Times New Roman"/>
          <w:sz w:val="24"/>
          <w:szCs w:val="24"/>
          <w:lang w:eastAsia="ru-RU"/>
        </w:rPr>
        <w:t>министер</w:t>
      </w:r>
      <w:r>
        <w:rPr>
          <w:rFonts w:ascii="Times New Roman" w:eastAsia="Times New Roman" w:hAnsi="Times New Roman" w:cs="Times New Roman"/>
          <w:sz w:val="24"/>
          <w:szCs w:val="24"/>
          <w:lang w:eastAsia="ru-RU"/>
        </w:rPr>
        <w:t xml:space="preserve">ство здравоохранения области, </w:t>
      </w:r>
      <w:r w:rsidR="00A75FEF" w:rsidRPr="00A75FEF">
        <w:rPr>
          <w:rFonts w:ascii="Times New Roman" w:eastAsia="Times New Roman" w:hAnsi="Times New Roman" w:cs="Times New Roman"/>
          <w:sz w:val="24"/>
          <w:szCs w:val="24"/>
          <w:lang w:eastAsia="ru-RU"/>
        </w:rPr>
        <w:t>министерство жилищно-коммунального хозяйства области</w:t>
      </w:r>
      <w:r>
        <w:rPr>
          <w:rFonts w:ascii="Times New Roman" w:eastAsia="Times New Roman" w:hAnsi="Times New Roman" w:cs="Times New Roman"/>
          <w:sz w:val="24"/>
          <w:szCs w:val="24"/>
          <w:lang w:eastAsia="ru-RU"/>
        </w:rPr>
        <w:t xml:space="preserve">, </w:t>
      </w:r>
      <w:r w:rsidR="00A75FEF" w:rsidRPr="00A75FEF">
        <w:rPr>
          <w:rFonts w:ascii="Times New Roman" w:eastAsia="Times New Roman" w:hAnsi="Times New Roman" w:cs="Times New Roman"/>
          <w:sz w:val="24"/>
          <w:szCs w:val="24"/>
          <w:lang w:eastAsia="ru-RU"/>
        </w:rPr>
        <w:t>министерство сельского хозяйства области</w:t>
      </w:r>
      <w:r>
        <w:rPr>
          <w:rFonts w:ascii="Times New Roman" w:eastAsia="Times New Roman" w:hAnsi="Times New Roman" w:cs="Times New Roman"/>
          <w:sz w:val="24"/>
          <w:szCs w:val="24"/>
          <w:lang w:eastAsia="ru-RU"/>
        </w:rPr>
        <w:t xml:space="preserve">, </w:t>
      </w:r>
      <w:r w:rsidR="00A75FEF" w:rsidRPr="00A75FEF">
        <w:rPr>
          <w:rFonts w:ascii="Times New Roman" w:eastAsia="Times New Roman" w:hAnsi="Times New Roman" w:cs="Times New Roman"/>
          <w:sz w:val="24"/>
          <w:szCs w:val="24"/>
          <w:lang w:eastAsia="ru-RU"/>
        </w:rPr>
        <w:t>министерство образования и науки области</w:t>
      </w:r>
      <w:r>
        <w:rPr>
          <w:rFonts w:ascii="Times New Roman" w:eastAsia="Times New Roman" w:hAnsi="Times New Roman" w:cs="Times New Roman"/>
          <w:sz w:val="24"/>
          <w:szCs w:val="24"/>
          <w:lang w:eastAsia="ru-RU"/>
        </w:rPr>
        <w:t xml:space="preserve">, </w:t>
      </w:r>
      <w:r w:rsidR="00A75FEF" w:rsidRPr="00A75FEF">
        <w:rPr>
          <w:rFonts w:ascii="Times New Roman" w:eastAsia="Times New Roman" w:hAnsi="Times New Roman" w:cs="Times New Roman"/>
          <w:sz w:val="24"/>
          <w:szCs w:val="24"/>
          <w:lang w:eastAsia="ru-RU"/>
        </w:rPr>
        <w:t>министерство культуры и архивного дела области</w:t>
      </w:r>
      <w:r>
        <w:rPr>
          <w:rFonts w:ascii="Times New Roman" w:eastAsia="Times New Roman" w:hAnsi="Times New Roman" w:cs="Times New Roman"/>
          <w:sz w:val="24"/>
          <w:szCs w:val="24"/>
          <w:lang w:eastAsia="ru-RU"/>
        </w:rPr>
        <w:t xml:space="preserve">, </w:t>
      </w:r>
      <w:r w:rsidR="00A75FEF" w:rsidRPr="00A75FEF">
        <w:rPr>
          <w:rFonts w:ascii="Times New Roman" w:eastAsia="Times New Roman" w:hAnsi="Times New Roman" w:cs="Times New Roman"/>
          <w:sz w:val="24"/>
          <w:szCs w:val="24"/>
          <w:lang w:eastAsia="ru-RU"/>
        </w:rPr>
        <w:t>министерство социальной защиты населения области</w:t>
      </w:r>
      <w:r>
        <w:rPr>
          <w:rFonts w:ascii="Times New Roman" w:eastAsia="Times New Roman" w:hAnsi="Times New Roman" w:cs="Times New Roman"/>
          <w:sz w:val="24"/>
          <w:szCs w:val="24"/>
          <w:lang w:eastAsia="ru-RU"/>
        </w:rPr>
        <w:t xml:space="preserve">, </w:t>
      </w:r>
      <w:r w:rsidR="00A75FEF" w:rsidRPr="00A75FEF">
        <w:rPr>
          <w:rFonts w:ascii="Times New Roman" w:eastAsia="Times New Roman" w:hAnsi="Times New Roman" w:cs="Times New Roman"/>
          <w:sz w:val="24"/>
          <w:szCs w:val="24"/>
          <w:lang w:eastAsia="ru-RU"/>
        </w:rPr>
        <w:t>министерство по физической культуре и спорту области</w:t>
      </w:r>
      <w:r>
        <w:rPr>
          <w:rFonts w:ascii="Times New Roman" w:eastAsia="Times New Roman" w:hAnsi="Times New Roman" w:cs="Times New Roman"/>
          <w:sz w:val="24"/>
          <w:szCs w:val="24"/>
          <w:lang w:eastAsia="ru-RU"/>
        </w:rPr>
        <w:t xml:space="preserve">, </w:t>
      </w:r>
      <w:r w:rsidR="00A75FEF" w:rsidRPr="00A75FEF">
        <w:rPr>
          <w:rFonts w:ascii="Times New Roman" w:eastAsia="Times New Roman" w:hAnsi="Times New Roman" w:cs="Times New Roman"/>
          <w:sz w:val="24"/>
          <w:szCs w:val="24"/>
          <w:lang w:eastAsia="ru-RU"/>
        </w:rPr>
        <w:t>министерство транспорта и строительства области</w:t>
      </w:r>
      <w:r>
        <w:rPr>
          <w:rFonts w:ascii="Times New Roman" w:eastAsia="Times New Roman" w:hAnsi="Times New Roman" w:cs="Times New Roman"/>
          <w:sz w:val="24"/>
          <w:szCs w:val="24"/>
          <w:lang w:eastAsia="ru-RU"/>
        </w:rPr>
        <w:t xml:space="preserve">, </w:t>
      </w:r>
      <w:r w:rsidR="00A75FEF" w:rsidRPr="00A75FEF">
        <w:rPr>
          <w:rFonts w:ascii="Times New Roman" w:eastAsia="Times New Roman" w:hAnsi="Times New Roman" w:cs="Times New Roman"/>
          <w:sz w:val="24"/>
          <w:szCs w:val="24"/>
          <w:lang w:eastAsia="ru-RU"/>
        </w:rPr>
        <w:t>министерство гражданской защиты и пожарной безопасности Амурской области</w:t>
      </w:r>
      <w:r>
        <w:rPr>
          <w:rFonts w:ascii="Times New Roman" w:eastAsia="Times New Roman" w:hAnsi="Times New Roman" w:cs="Times New Roman"/>
          <w:sz w:val="24"/>
          <w:szCs w:val="24"/>
          <w:lang w:eastAsia="ru-RU"/>
        </w:rPr>
        <w:t xml:space="preserve">, </w:t>
      </w:r>
      <w:r w:rsidR="00A75FEF" w:rsidRPr="00A75FEF">
        <w:rPr>
          <w:rFonts w:ascii="Times New Roman" w:eastAsia="Times New Roman" w:hAnsi="Times New Roman" w:cs="Times New Roman"/>
          <w:sz w:val="24"/>
          <w:szCs w:val="24"/>
          <w:lang w:eastAsia="ru-RU"/>
        </w:rPr>
        <w:t>управление по охране, контролю и регулированию использования объектов животного мира и среды их обитания Амурской области.</w:t>
      </w:r>
    </w:p>
    <w:p w:rsidR="00A75FEF" w:rsidRPr="00A75FEF" w:rsidRDefault="00A75FEF" w:rsidP="00A75FEF">
      <w:pPr>
        <w:widowControl w:val="0"/>
        <w:autoSpaceDE w:val="0"/>
        <w:autoSpaceDN w:val="0"/>
        <w:adjustRightInd w:val="0"/>
        <w:spacing w:after="0" w:line="240" w:lineRule="auto"/>
        <w:ind w:firstLine="720"/>
        <w:jc w:val="both"/>
        <w:rPr>
          <w:rFonts w:ascii="Times New Roman" w:eastAsia="Calibri" w:hAnsi="Times New Roman" w:cs="Times New Roman"/>
          <w:b/>
          <w:bCs/>
          <w:sz w:val="28"/>
          <w:szCs w:val="28"/>
        </w:rPr>
      </w:pPr>
      <w:r w:rsidRPr="00A75FEF">
        <w:rPr>
          <w:rFonts w:ascii="Times New Roman" w:eastAsia="Times New Roman" w:hAnsi="Times New Roman" w:cs="Times New Roman"/>
          <w:color w:val="000000"/>
          <w:sz w:val="24"/>
          <w:szCs w:val="24"/>
          <w:lang w:eastAsia="ru-RU"/>
        </w:rPr>
        <w:t>Сводной бюджетной росписью расходов областного бюджета на 2015 год на реализацию государственной программы по трем подпрограм</w:t>
      </w:r>
      <w:r w:rsidR="002472A5">
        <w:rPr>
          <w:rFonts w:ascii="Times New Roman" w:eastAsia="Times New Roman" w:hAnsi="Times New Roman" w:cs="Times New Roman"/>
          <w:color w:val="000000"/>
          <w:sz w:val="24"/>
          <w:szCs w:val="24"/>
          <w:lang w:eastAsia="ru-RU"/>
        </w:rPr>
        <w:t>м</w:t>
      </w:r>
      <w:r w:rsidRPr="00A75FEF">
        <w:rPr>
          <w:rFonts w:ascii="Times New Roman" w:eastAsia="Times New Roman" w:hAnsi="Times New Roman" w:cs="Times New Roman"/>
          <w:color w:val="000000"/>
          <w:sz w:val="24"/>
          <w:szCs w:val="24"/>
          <w:lang w:eastAsia="ru-RU"/>
        </w:rPr>
        <w:t xml:space="preserve">ам предусмотрено </w:t>
      </w:r>
      <w:r w:rsidR="00F95416">
        <w:rPr>
          <w:rFonts w:ascii="Times New Roman" w:eastAsia="Times New Roman" w:hAnsi="Times New Roman" w:cs="Times New Roman"/>
          <w:color w:val="000000"/>
          <w:sz w:val="24"/>
          <w:szCs w:val="24"/>
          <w:lang w:eastAsia="ru-RU"/>
        </w:rPr>
        <w:br/>
      </w:r>
      <w:r w:rsidRPr="00A75FEF">
        <w:rPr>
          <w:rFonts w:ascii="Times New Roman" w:eastAsia="Times New Roman" w:hAnsi="Times New Roman" w:cs="Times New Roman"/>
          <w:color w:val="000000"/>
          <w:sz w:val="24"/>
          <w:szCs w:val="24"/>
          <w:lang w:eastAsia="ru-RU"/>
        </w:rPr>
        <w:t>868882,0 тыс. рублей.</w:t>
      </w:r>
    </w:p>
    <w:p w:rsidR="00A75FEF" w:rsidRPr="00A75FEF" w:rsidRDefault="00A75FEF" w:rsidP="00A75FE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75FEF">
        <w:rPr>
          <w:rFonts w:ascii="Times New Roman" w:eastAsia="Calibri" w:hAnsi="Times New Roman" w:cs="Times New Roman"/>
          <w:bCs/>
          <w:sz w:val="24"/>
          <w:szCs w:val="24"/>
        </w:rPr>
        <w:t xml:space="preserve">В соответствии с </w:t>
      </w:r>
      <w:r w:rsidRPr="00A75FEF">
        <w:rPr>
          <w:rFonts w:ascii="Times New Roman" w:eastAsia="Times New Roman" w:hAnsi="Times New Roman" w:cs="Times New Roman"/>
          <w:color w:val="000000"/>
          <w:sz w:val="24"/>
          <w:szCs w:val="24"/>
          <w:lang w:eastAsia="ru-RU"/>
        </w:rPr>
        <w:t xml:space="preserve">постановлением Правительства Амурской области от 25.09.2013 </w:t>
      </w:r>
      <w:r w:rsidRPr="00A75FEF">
        <w:rPr>
          <w:rFonts w:ascii="Times New Roman" w:eastAsia="Times New Roman" w:hAnsi="Times New Roman" w:cs="Times New Roman"/>
          <w:color w:val="000000"/>
          <w:sz w:val="24"/>
          <w:szCs w:val="24"/>
          <w:lang w:eastAsia="ru-RU"/>
        </w:rPr>
        <w:br/>
        <w:t>№ 454 (с изменениями и дополнениями) «</w:t>
      </w:r>
      <w:r w:rsidRPr="00A75FEF">
        <w:rPr>
          <w:rFonts w:ascii="Times New Roman" w:eastAsia="Times New Roman" w:hAnsi="Times New Roman" w:cs="Times New Roman"/>
          <w:sz w:val="24"/>
          <w:szCs w:val="24"/>
          <w:lang w:eastAsia="ru-RU"/>
        </w:rPr>
        <w:t>Об утверждении государственной программы Амурской области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2014 - 2020 годы» р</w:t>
      </w:r>
      <w:r w:rsidRPr="00A75FEF">
        <w:rPr>
          <w:rFonts w:ascii="Times New Roman" w:eastAsia="Calibri" w:hAnsi="Times New Roman" w:cs="Times New Roman"/>
          <w:bCs/>
          <w:sz w:val="24"/>
          <w:szCs w:val="24"/>
        </w:rPr>
        <w:t>есурсное обеспечение подпрограммы «Обеспечение реализации основных направлений государственной политики области в сфере гражданской обороны, защиты населения и территорий от чрезвычайных ситуаций» на 2015 и последующие годы не предусмотрено.</w:t>
      </w:r>
    </w:p>
    <w:p w:rsidR="00A75FEF" w:rsidRPr="00F95416" w:rsidRDefault="00A75FEF" w:rsidP="00A75F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5FEF">
        <w:rPr>
          <w:rFonts w:ascii="Times New Roman" w:eastAsia="Times New Roman" w:hAnsi="Times New Roman" w:cs="Times New Roman"/>
          <w:color w:val="000000"/>
          <w:sz w:val="24"/>
          <w:szCs w:val="24"/>
          <w:lang w:eastAsia="ru-RU"/>
        </w:rPr>
        <w:t>Исполнение бюджетных назначений, предусмотренных на реализацию государственной программы сводной бюджетной росписью расходов, составило 847203,6 тыс. рублей, или 97,5 процента.</w:t>
      </w:r>
    </w:p>
    <w:p w:rsidR="00A75FEF" w:rsidRPr="00A75FEF" w:rsidRDefault="00A75FEF" w:rsidP="00A75FEF">
      <w:pPr>
        <w:spacing w:after="0" w:line="240" w:lineRule="auto"/>
        <w:ind w:firstLine="709"/>
        <w:jc w:val="both"/>
        <w:rPr>
          <w:rFonts w:ascii="Times New Roman" w:eastAsia="Calibri" w:hAnsi="Times New Roman" w:cs="Times New Roman"/>
          <w:sz w:val="24"/>
          <w:szCs w:val="24"/>
        </w:rPr>
      </w:pPr>
      <w:r w:rsidRPr="00A75FEF">
        <w:rPr>
          <w:rFonts w:ascii="Times New Roman" w:eastAsia="Calibri" w:hAnsi="Times New Roman" w:cs="Times New Roman"/>
          <w:sz w:val="24"/>
          <w:szCs w:val="24"/>
        </w:rPr>
        <w:t>Согласно приложению № 1 к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2015 год объем исполненных ассигнований за счет средств федерального бюджета и области, отраженных в докладе, соответствует  результатам исполнения областного бюджета по государственной программе, отраженным в законопроекте.</w:t>
      </w:r>
    </w:p>
    <w:p w:rsidR="00A75FEF" w:rsidRDefault="00A75FEF" w:rsidP="00A75F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В таблице 14 представлена информация об исполнении государственной программы в разрезе подпрограмм.</w:t>
      </w:r>
    </w:p>
    <w:p w:rsidR="00A75FEF" w:rsidRPr="00A75FEF" w:rsidRDefault="00A75FEF" w:rsidP="00A75FE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Таблица 14</w:t>
      </w:r>
    </w:p>
    <w:p w:rsidR="00A75FEF" w:rsidRPr="00A75FEF" w:rsidRDefault="00A75FEF" w:rsidP="00A75FE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75FEF">
        <w:rPr>
          <w:rFonts w:ascii="Times New Roman" w:eastAsia="Times New Roman" w:hAnsi="Times New Roman" w:cs="Times New Roman"/>
          <w:b/>
          <w:sz w:val="24"/>
          <w:szCs w:val="24"/>
          <w:lang w:eastAsia="ru-RU"/>
        </w:rPr>
        <w:t>Анализ исполнения государственной программы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 в разрезе подпрограмм</w:t>
      </w:r>
    </w:p>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1481"/>
        <w:gridCol w:w="1531"/>
        <w:gridCol w:w="1505"/>
        <w:gridCol w:w="1425"/>
      </w:tblGrid>
      <w:tr w:rsidR="00A75FEF" w:rsidRPr="00A75FEF" w:rsidTr="00F95416">
        <w:trPr>
          <w:trHeight w:val="687"/>
          <w:tblHeader/>
        </w:trPr>
        <w:tc>
          <w:tcPr>
            <w:tcW w:w="3834" w:type="dxa"/>
            <w:shd w:val="clear" w:color="auto" w:fill="auto"/>
          </w:tcPr>
          <w:p w:rsidR="00A75FEF" w:rsidRPr="00A75FEF" w:rsidRDefault="00A75FEF" w:rsidP="00A75F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75FEF">
              <w:rPr>
                <w:rFonts w:ascii="Times New Roman" w:eastAsia="Times New Roman" w:hAnsi="Times New Roman" w:cs="Times New Roman"/>
                <w:b/>
                <w:bCs/>
                <w:sz w:val="24"/>
                <w:szCs w:val="24"/>
                <w:lang w:eastAsia="ru-RU"/>
              </w:rPr>
              <w:t>Наименование государственной программы/подпрограммы</w:t>
            </w:r>
          </w:p>
        </w:tc>
        <w:tc>
          <w:tcPr>
            <w:tcW w:w="1481" w:type="dxa"/>
            <w:shd w:val="clear" w:color="auto" w:fill="auto"/>
            <w:noWrap/>
          </w:tcPr>
          <w:p w:rsidR="00A75FEF" w:rsidRPr="00A75FEF" w:rsidRDefault="00A75FEF" w:rsidP="00A75F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75FEF">
              <w:rPr>
                <w:rFonts w:ascii="Times New Roman" w:eastAsia="Times New Roman" w:hAnsi="Times New Roman" w:cs="Times New Roman"/>
                <w:b/>
                <w:bCs/>
                <w:sz w:val="24"/>
                <w:szCs w:val="24"/>
                <w:lang w:eastAsia="ru-RU"/>
              </w:rPr>
              <w:t>План</w:t>
            </w:r>
          </w:p>
        </w:tc>
        <w:tc>
          <w:tcPr>
            <w:tcW w:w="1531" w:type="dxa"/>
            <w:shd w:val="clear" w:color="auto" w:fill="auto"/>
            <w:noWrap/>
          </w:tcPr>
          <w:p w:rsidR="00A75FEF" w:rsidRPr="00A75FEF" w:rsidRDefault="00A75FEF" w:rsidP="00A75F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75FEF">
              <w:rPr>
                <w:rFonts w:ascii="Times New Roman" w:eastAsia="Times New Roman" w:hAnsi="Times New Roman" w:cs="Times New Roman"/>
                <w:b/>
                <w:bCs/>
                <w:sz w:val="24"/>
                <w:szCs w:val="24"/>
                <w:lang w:eastAsia="ru-RU"/>
              </w:rPr>
              <w:t>Исполнение</w:t>
            </w:r>
          </w:p>
        </w:tc>
        <w:tc>
          <w:tcPr>
            <w:tcW w:w="1505" w:type="dxa"/>
            <w:shd w:val="clear" w:color="auto" w:fill="auto"/>
            <w:noWrap/>
          </w:tcPr>
          <w:p w:rsidR="00A75FEF" w:rsidRPr="00A75FEF" w:rsidRDefault="00A75FEF" w:rsidP="00A75F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75FEF">
              <w:rPr>
                <w:rFonts w:ascii="Times New Roman" w:eastAsia="Times New Roman" w:hAnsi="Times New Roman" w:cs="Times New Roman"/>
                <w:b/>
                <w:bCs/>
                <w:sz w:val="24"/>
                <w:szCs w:val="24"/>
                <w:lang w:eastAsia="ru-RU"/>
              </w:rPr>
              <w:t>Уровень исполнения</w:t>
            </w:r>
          </w:p>
        </w:tc>
        <w:tc>
          <w:tcPr>
            <w:tcW w:w="1425" w:type="dxa"/>
            <w:shd w:val="clear" w:color="auto" w:fill="auto"/>
            <w:noWrap/>
          </w:tcPr>
          <w:p w:rsidR="00A75FEF" w:rsidRPr="00A75FEF" w:rsidRDefault="00A75FEF" w:rsidP="00A75F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75FEF">
              <w:rPr>
                <w:rFonts w:ascii="Times New Roman" w:eastAsia="Times New Roman" w:hAnsi="Times New Roman" w:cs="Times New Roman"/>
                <w:b/>
                <w:bCs/>
                <w:sz w:val="24"/>
                <w:szCs w:val="24"/>
                <w:lang w:eastAsia="ru-RU"/>
              </w:rPr>
              <w:t>Не исполнены</w:t>
            </w:r>
          </w:p>
        </w:tc>
      </w:tr>
      <w:tr w:rsidR="00A75FEF" w:rsidRPr="00A75FEF" w:rsidTr="00D13E8E">
        <w:trPr>
          <w:trHeight w:val="1575"/>
        </w:trPr>
        <w:tc>
          <w:tcPr>
            <w:tcW w:w="3834" w:type="dxa"/>
            <w:shd w:val="clear" w:color="auto" w:fill="auto"/>
            <w:hideMark/>
          </w:tcPr>
          <w:p w:rsidR="00A75FEF" w:rsidRPr="00A75FEF" w:rsidRDefault="00A75FEF" w:rsidP="00A75F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75FEF">
              <w:rPr>
                <w:rFonts w:ascii="Times New Roman" w:eastAsia="Times New Roman" w:hAnsi="Times New Roman" w:cs="Times New Roman"/>
                <w:b/>
                <w:bCs/>
                <w:sz w:val="24"/>
                <w:szCs w:val="24"/>
                <w:lang w:eastAsia="ru-RU"/>
              </w:rPr>
              <w:t xml:space="preserve">Государственная программа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 – 2020 годы», </w:t>
            </w:r>
            <w:r w:rsidRPr="00A75FEF">
              <w:rPr>
                <w:rFonts w:ascii="Times New Roman" w:eastAsia="Times New Roman" w:hAnsi="Times New Roman" w:cs="Times New Roman"/>
                <w:bCs/>
                <w:sz w:val="24"/>
                <w:szCs w:val="24"/>
                <w:lang w:eastAsia="ru-RU"/>
              </w:rPr>
              <w:t>в том числе:</w:t>
            </w:r>
          </w:p>
        </w:tc>
        <w:tc>
          <w:tcPr>
            <w:tcW w:w="1481" w:type="dxa"/>
            <w:shd w:val="clear" w:color="auto" w:fill="auto"/>
            <w:noWrap/>
            <w:hideMark/>
          </w:tcPr>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A75FEF">
              <w:rPr>
                <w:rFonts w:ascii="Times New Roman" w:eastAsia="Times New Roman" w:hAnsi="Times New Roman" w:cs="Times New Roman"/>
                <w:b/>
                <w:bCs/>
                <w:sz w:val="24"/>
                <w:szCs w:val="24"/>
                <w:lang w:eastAsia="ru-RU"/>
              </w:rPr>
              <w:t>868882,0</w:t>
            </w:r>
          </w:p>
        </w:tc>
        <w:tc>
          <w:tcPr>
            <w:tcW w:w="1531" w:type="dxa"/>
            <w:shd w:val="clear" w:color="auto" w:fill="auto"/>
            <w:noWrap/>
            <w:hideMark/>
          </w:tcPr>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A75FEF">
              <w:rPr>
                <w:rFonts w:ascii="Times New Roman" w:eastAsia="Times New Roman" w:hAnsi="Times New Roman" w:cs="Times New Roman"/>
                <w:b/>
                <w:bCs/>
                <w:sz w:val="24"/>
                <w:szCs w:val="24"/>
                <w:lang w:eastAsia="ru-RU"/>
              </w:rPr>
              <w:t>847203,6</w:t>
            </w:r>
          </w:p>
        </w:tc>
        <w:tc>
          <w:tcPr>
            <w:tcW w:w="1505" w:type="dxa"/>
            <w:shd w:val="clear" w:color="auto" w:fill="auto"/>
            <w:noWrap/>
            <w:hideMark/>
          </w:tcPr>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A75FEF">
              <w:rPr>
                <w:rFonts w:ascii="Times New Roman" w:eastAsia="Times New Roman" w:hAnsi="Times New Roman" w:cs="Times New Roman"/>
                <w:b/>
                <w:bCs/>
                <w:sz w:val="24"/>
                <w:szCs w:val="24"/>
                <w:lang w:eastAsia="ru-RU"/>
              </w:rPr>
              <w:t>97,5</w:t>
            </w:r>
          </w:p>
        </w:tc>
        <w:tc>
          <w:tcPr>
            <w:tcW w:w="1425" w:type="dxa"/>
            <w:shd w:val="clear" w:color="auto" w:fill="auto"/>
            <w:noWrap/>
            <w:hideMark/>
          </w:tcPr>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A75FEF">
              <w:rPr>
                <w:rFonts w:ascii="Times New Roman" w:eastAsia="Times New Roman" w:hAnsi="Times New Roman" w:cs="Times New Roman"/>
                <w:b/>
                <w:bCs/>
                <w:sz w:val="24"/>
                <w:szCs w:val="24"/>
                <w:lang w:eastAsia="ru-RU"/>
              </w:rPr>
              <w:t>-21678,4</w:t>
            </w:r>
          </w:p>
        </w:tc>
      </w:tr>
      <w:tr w:rsidR="00A75FEF" w:rsidRPr="00A75FEF" w:rsidTr="00D13E8E">
        <w:trPr>
          <w:trHeight w:val="635"/>
        </w:trPr>
        <w:tc>
          <w:tcPr>
            <w:tcW w:w="3834" w:type="dxa"/>
            <w:shd w:val="clear" w:color="auto" w:fill="auto"/>
            <w:hideMark/>
          </w:tcPr>
          <w:p w:rsidR="00A75FEF" w:rsidRPr="00A75FEF" w:rsidRDefault="00A75FEF" w:rsidP="00A75F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Подпрограмма «Обеспечение пожарной безопасности»</w:t>
            </w:r>
          </w:p>
        </w:tc>
        <w:tc>
          <w:tcPr>
            <w:tcW w:w="1481" w:type="dxa"/>
            <w:shd w:val="clear" w:color="auto" w:fill="auto"/>
            <w:noWrap/>
            <w:hideMark/>
          </w:tcPr>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684712,2</w:t>
            </w:r>
          </w:p>
        </w:tc>
        <w:tc>
          <w:tcPr>
            <w:tcW w:w="1531" w:type="dxa"/>
            <w:shd w:val="clear" w:color="auto" w:fill="auto"/>
            <w:noWrap/>
            <w:hideMark/>
          </w:tcPr>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676301,6</w:t>
            </w:r>
          </w:p>
        </w:tc>
        <w:tc>
          <w:tcPr>
            <w:tcW w:w="1505" w:type="dxa"/>
            <w:shd w:val="clear" w:color="auto" w:fill="auto"/>
            <w:noWrap/>
            <w:hideMark/>
          </w:tcPr>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98,8</w:t>
            </w:r>
          </w:p>
        </w:tc>
        <w:tc>
          <w:tcPr>
            <w:tcW w:w="1425" w:type="dxa"/>
            <w:shd w:val="clear" w:color="auto" w:fill="auto"/>
            <w:noWrap/>
            <w:hideMark/>
          </w:tcPr>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-8410,6</w:t>
            </w:r>
          </w:p>
        </w:tc>
      </w:tr>
      <w:tr w:rsidR="00A75FEF" w:rsidRPr="00A75FEF" w:rsidTr="00D13E8E">
        <w:trPr>
          <w:trHeight w:val="945"/>
        </w:trPr>
        <w:tc>
          <w:tcPr>
            <w:tcW w:w="3834" w:type="dxa"/>
            <w:shd w:val="clear" w:color="auto" w:fill="auto"/>
            <w:hideMark/>
          </w:tcPr>
          <w:p w:rsidR="00A75FEF" w:rsidRPr="00A75FEF" w:rsidRDefault="00A75FEF" w:rsidP="00A75F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lastRenderedPageBreak/>
              <w:t>Подпрограмма «Развитие системы гражданской обороны, защиты населения и территорий от чрезвычайных ситуаций»</w:t>
            </w:r>
          </w:p>
        </w:tc>
        <w:tc>
          <w:tcPr>
            <w:tcW w:w="1481" w:type="dxa"/>
            <w:shd w:val="clear" w:color="auto" w:fill="auto"/>
            <w:noWrap/>
            <w:hideMark/>
          </w:tcPr>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162953,5</w:t>
            </w:r>
          </w:p>
        </w:tc>
        <w:tc>
          <w:tcPr>
            <w:tcW w:w="1531" w:type="dxa"/>
            <w:shd w:val="clear" w:color="auto" w:fill="auto"/>
            <w:noWrap/>
            <w:hideMark/>
          </w:tcPr>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150835,7</w:t>
            </w:r>
          </w:p>
        </w:tc>
        <w:tc>
          <w:tcPr>
            <w:tcW w:w="1505" w:type="dxa"/>
            <w:shd w:val="clear" w:color="auto" w:fill="auto"/>
            <w:noWrap/>
            <w:hideMark/>
          </w:tcPr>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92,6</w:t>
            </w:r>
          </w:p>
        </w:tc>
        <w:tc>
          <w:tcPr>
            <w:tcW w:w="1425" w:type="dxa"/>
            <w:shd w:val="clear" w:color="auto" w:fill="auto"/>
            <w:noWrap/>
            <w:hideMark/>
          </w:tcPr>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-12117,8</w:t>
            </w:r>
          </w:p>
        </w:tc>
      </w:tr>
      <w:tr w:rsidR="00A75FEF" w:rsidRPr="00A75FEF" w:rsidTr="00D13E8E">
        <w:trPr>
          <w:trHeight w:val="543"/>
        </w:trPr>
        <w:tc>
          <w:tcPr>
            <w:tcW w:w="3834" w:type="dxa"/>
            <w:shd w:val="clear" w:color="auto" w:fill="auto"/>
            <w:hideMark/>
          </w:tcPr>
          <w:p w:rsidR="00A75FEF" w:rsidRPr="00A75FEF" w:rsidRDefault="00A75FEF" w:rsidP="00A75F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Подпрограмма «Профилактика правонарушений, профилактика терроризма и экстремизма»</w:t>
            </w:r>
          </w:p>
        </w:tc>
        <w:tc>
          <w:tcPr>
            <w:tcW w:w="1481" w:type="dxa"/>
            <w:shd w:val="clear" w:color="auto" w:fill="auto"/>
            <w:noWrap/>
            <w:hideMark/>
          </w:tcPr>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21216,3</w:t>
            </w:r>
          </w:p>
        </w:tc>
        <w:tc>
          <w:tcPr>
            <w:tcW w:w="1531" w:type="dxa"/>
            <w:shd w:val="clear" w:color="auto" w:fill="auto"/>
            <w:noWrap/>
            <w:hideMark/>
          </w:tcPr>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20066,3</w:t>
            </w:r>
          </w:p>
        </w:tc>
        <w:tc>
          <w:tcPr>
            <w:tcW w:w="1505" w:type="dxa"/>
            <w:shd w:val="clear" w:color="auto" w:fill="auto"/>
            <w:noWrap/>
            <w:hideMark/>
          </w:tcPr>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94,6</w:t>
            </w:r>
          </w:p>
        </w:tc>
        <w:tc>
          <w:tcPr>
            <w:tcW w:w="1425" w:type="dxa"/>
            <w:shd w:val="clear" w:color="auto" w:fill="auto"/>
            <w:noWrap/>
            <w:hideMark/>
          </w:tcPr>
          <w:p w:rsidR="00A75FEF" w:rsidRPr="00A75FEF" w:rsidRDefault="00A75FEF" w:rsidP="00A75F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-1150,0</w:t>
            </w:r>
          </w:p>
        </w:tc>
      </w:tr>
    </w:tbl>
    <w:p w:rsidR="002472A5" w:rsidRDefault="002472A5" w:rsidP="002472A5">
      <w:pPr>
        <w:widowControl w:val="0"/>
        <w:autoSpaceDE w:val="0"/>
        <w:autoSpaceDN w:val="0"/>
        <w:adjustRightInd w:val="0"/>
        <w:spacing w:after="0" w:line="240" w:lineRule="auto"/>
        <w:ind w:left="709"/>
        <w:contextualSpacing/>
        <w:rPr>
          <w:rFonts w:ascii="Times New Roman" w:eastAsia="Times New Roman" w:hAnsi="Times New Roman" w:cs="Times New Roman"/>
          <w:i/>
          <w:sz w:val="24"/>
          <w:szCs w:val="24"/>
          <w:lang w:eastAsia="ru-RU"/>
        </w:rPr>
      </w:pPr>
    </w:p>
    <w:p w:rsidR="00A75FEF" w:rsidRPr="00A75FEF" w:rsidRDefault="00A75FEF" w:rsidP="00F60552">
      <w:pPr>
        <w:widowControl w:val="0"/>
        <w:numPr>
          <w:ilvl w:val="0"/>
          <w:numId w:val="7"/>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A75FEF">
        <w:rPr>
          <w:rFonts w:ascii="Times New Roman" w:eastAsia="Times New Roman" w:hAnsi="Times New Roman" w:cs="Times New Roman"/>
          <w:i/>
          <w:sz w:val="24"/>
          <w:szCs w:val="24"/>
          <w:lang w:eastAsia="ru-RU"/>
        </w:rPr>
        <w:t>Подпрограмма «Обеспечение пожарной безопасности»</w:t>
      </w:r>
    </w:p>
    <w:p w:rsidR="00A75FEF" w:rsidRPr="00A75FEF" w:rsidRDefault="00A75FEF" w:rsidP="00A75FEF">
      <w:pPr>
        <w:spacing w:after="0" w:line="240" w:lineRule="auto"/>
        <w:ind w:firstLine="709"/>
        <w:jc w:val="both"/>
        <w:rPr>
          <w:rFonts w:ascii="Times New Roman" w:eastAsia="Calibri" w:hAnsi="Times New Roman" w:cs="Times New Roman"/>
          <w:sz w:val="24"/>
          <w:szCs w:val="24"/>
        </w:rPr>
      </w:pPr>
      <w:r w:rsidRPr="00A75FEF">
        <w:rPr>
          <w:rFonts w:ascii="Times New Roman" w:eastAsia="Times New Roman" w:hAnsi="Times New Roman" w:cs="Times New Roman"/>
          <w:sz w:val="24"/>
          <w:szCs w:val="24"/>
          <w:lang w:eastAsia="ru-RU"/>
        </w:rPr>
        <w:t>Сводной бюджетной росписью н</w:t>
      </w:r>
      <w:r w:rsidRPr="00A75FEF">
        <w:rPr>
          <w:rFonts w:ascii="Times New Roman" w:eastAsia="Calibri" w:hAnsi="Times New Roman" w:cs="Times New Roman"/>
          <w:sz w:val="24"/>
          <w:szCs w:val="24"/>
        </w:rPr>
        <w:t>а реализацию подпрограммы по целевой статье расходов 1110000 утверждены ассигнования областного бюджета в сумме 684712,2 тыс. рублей. В общем объеме расходов государственной программы доля расходов по данной подпрограмме составляет 79,8 процента.</w:t>
      </w:r>
    </w:p>
    <w:p w:rsidR="00A75FEF" w:rsidRPr="00A75FEF" w:rsidRDefault="00A75FEF" w:rsidP="00A75FEF">
      <w:pPr>
        <w:spacing w:after="0" w:line="240" w:lineRule="auto"/>
        <w:ind w:firstLine="709"/>
        <w:jc w:val="both"/>
        <w:rPr>
          <w:rFonts w:ascii="Times New Roman" w:eastAsia="Calibri" w:hAnsi="Times New Roman" w:cs="Times New Roman"/>
          <w:sz w:val="24"/>
          <w:szCs w:val="24"/>
        </w:rPr>
      </w:pPr>
      <w:r w:rsidRPr="00A75FEF">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98,8 процента. В рамках подпрограммы</w:t>
      </w:r>
      <w:r w:rsidRPr="00A75FEF">
        <w:rPr>
          <w:rFonts w:ascii="Calibri" w:eastAsia="Calibri" w:hAnsi="Calibri" w:cs="Times New Roman"/>
          <w:sz w:val="24"/>
          <w:szCs w:val="24"/>
        </w:rPr>
        <w:t xml:space="preserve"> </w:t>
      </w:r>
      <w:r w:rsidRPr="00A75FEF">
        <w:rPr>
          <w:rFonts w:ascii="Times New Roman" w:eastAsia="Calibri" w:hAnsi="Times New Roman" w:cs="Times New Roman"/>
          <w:sz w:val="24"/>
          <w:szCs w:val="24"/>
        </w:rPr>
        <w:t>осуществлялось финансирование расходов на обеспечение деятельности (оказание услуг) государственных учреждений.</w:t>
      </w:r>
    </w:p>
    <w:p w:rsidR="00A75FEF" w:rsidRPr="00A75FEF" w:rsidRDefault="00A75FEF" w:rsidP="00F60552">
      <w:pPr>
        <w:widowControl w:val="0"/>
        <w:numPr>
          <w:ilvl w:val="0"/>
          <w:numId w:val="7"/>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A75FEF">
        <w:rPr>
          <w:rFonts w:ascii="Times New Roman" w:eastAsia="Times New Roman" w:hAnsi="Times New Roman" w:cs="Times New Roman"/>
          <w:i/>
          <w:sz w:val="24"/>
          <w:szCs w:val="24"/>
          <w:lang w:eastAsia="ru-RU"/>
        </w:rPr>
        <w:t>Подпрограмма «Развитие системы гражданской обороны, защиты населения и территорий от чрезвычайных ситуаций»</w:t>
      </w:r>
    </w:p>
    <w:p w:rsidR="00A75FEF" w:rsidRPr="00A75FEF" w:rsidRDefault="00A75FEF" w:rsidP="00A75FEF">
      <w:pPr>
        <w:spacing w:after="0" w:line="240" w:lineRule="auto"/>
        <w:ind w:firstLine="709"/>
        <w:jc w:val="both"/>
        <w:rPr>
          <w:rFonts w:ascii="Times New Roman" w:eastAsia="Calibri" w:hAnsi="Times New Roman" w:cs="Times New Roman"/>
          <w:sz w:val="24"/>
          <w:szCs w:val="24"/>
        </w:rPr>
      </w:pPr>
      <w:r w:rsidRPr="00A75FEF">
        <w:rPr>
          <w:rFonts w:ascii="Times New Roman" w:eastAsia="Calibri" w:hAnsi="Times New Roman" w:cs="Times New Roman"/>
          <w:sz w:val="24"/>
          <w:szCs w:val="24"/>
        </w:rPr>
        <w:t>Ассигнования областного бюджета по подпрограмме утверждены в расходах областного бюджета по целевой статье расходов 1120000 в сумме 162953,5 тыс. В общем объеме расходов государственной программы доля расходов по данной подпрограмме составляет 17,8 процента.</w:t>
      </w:r>
    </w:p>
    <w:p w:rsidR="00A75FEF" w:rsidRPr="00A75FEF" w:rsidRDefault="00A75FEF" w:rsidP="00A75FEF">
      <w:pPr>
        <w:spacing w:after="0" w:line="240" w:lineRule="auto"/>
        <w:ind w:firstLine="709"/>
        <w:jc w:val="both"/>
        <w:rPr>
          <w:rFonts w:ascii="Times New Roman" w:eastAsia="Calibri" w:hAnsi="Times New Roman" w:cs="Times New Roman"/>
          <w:sz w:val="24"/>
          <w:szCs w:val="24"/>
        </w:rPr>
      </w:pPr>
      <w:r w:rsidRPr="00A75FEF">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92,6 процента, в том числе по мероприятиям:</w:t>
      </w:r>
    </w:p>
    <w:p w:rsidR="00A75FEF" w:rsidRPr="00A75FEF" w:rsidRDefault="00A75FEF" w:rsidP="00A75FE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75FEF">
        <w:rPr>
          <w:rFonts w:ascii="Times New Roman" w:eastAsia="Calibri" w:hAnsi="Times New Roman" w:cs="Times New Roman"/>
          <w:sz w:val="24"/>
          <w:szCs w:val="24"/>
        </w:rPr>
        <w:t>-«Обеспечение мобилизационной готовности экономики» - 100 процентов;</w:t>
      </w:r>
    </w:p>
    <w:p w:rsidR="00A75FEF" w:rsidRPr="00A75FEF" w:rsidRDefault="00A75FEF" w:rsidP="00A75FE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75FEF">
        <w:rPr>
          <w:rFonts w:ascii="Times New Roman" w:eastAsia="Calibri" w:hAnsi="Times New Roman" w:cs="Times New Roman"/>
          <w:sz w:val="24"/>
          <w:szCs w:val="24"/>
        </w:rPr>
        <w:t>-«Создание, хранение, использование и восполнение резерва материальных ресурсов для ликвидации чрезвычайных ситуаций межмуниципального и регионального характера на территории Амурской области» - 68,5 процента;</w:t>
      </w:r>
    </w:p>
    <w:p w:rsidR="00A75FEF" w:rsidRPr="00A75FEF" w:rsidRDefault="00A75FEF" w:rsidP="00A75FE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75FEF">
        <w:rPr>
          <w:rFonts w:ascii="Times New Roman" w:eastAsia="Calibri" w:hAnsi="Times New Roman" w:cs="Times New Roman"/>
          <w:sz w:val="24"/>
          <w:szCs w:val="24"/>
        </w:rPr>
        <w:t>-«Подготовка населения и организаций к действиям в чрезвычайной ситуации в мирное и военное время» - 100 процентов;</w:t>
      </w:r>
    </w:p>
    <w:p w:rsidR="00A75FEF" w:rsidRDefault="00A75FEF" w:rsidP="00A75FE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75FEF">
        <w:rPr>
          <w:rFonts w:ascii="Times New Roman" w:eastAsia="Calibri" w:hAnsi="Times New Roman" w:cs="Times New Roman"/>
          <w:sz w:val="24"/>
          <w:szCs w:val="24"/>
        </w:rPr>
        <w:t>-«Расходы на обеспечение деятельности (оказание услуг) государственных учреждений» - 95,2 процента.</w:t>
      </w:r>
    </w:p>
    <w:p w:rsidR="002472A5" w:rsidRPr="00A75FEF" w:rsidRDefault="002472A5" w:rsidP="00A75FE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75FEF" w:rsidRPr="00A75FEF" w:rsidRDefault="00A75FEF" w:rsidP="00F60552">
      <w:pPr>
        <w:widowControl w:val="0"/>
        <w:numPr>
          <w:ilvl w:val="0"/>
          <w:numId w:val="7"/>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A75FEF">
        <w:rPr>
          <w:rFonts w:ascii="Times New Roman" w:eastAsia="Times New Roman" w:hAnsi="Times New Roman" w:cs="Times New Roman"/>
          <w:i/>
          <w:sz w:val="24"/>
          <w:szCs w:val="24"/>
          <w:lang w:eastAsia="ru-RU"/>
        </w:rPr>
        <w:t>Подпрограмма «Профилактика правонарушений, профилактика  терроризма и экстремизма»</w:t>
      </w:r>
    </w:p>
    <w:p w:rsidR="00A75FEF" w:rsidRPr="00A75FEF" w:rsidRDefault="00A75FEF" w:rsidP="00A75FEF">
      <w:pPr>
        <w:spacing w:after="0" w:line="240" w:lineRule="auto"/>
        <w:ind w:firstLine="709"/>
        <w:jc w:val="both"/>
        <w:rPr>
          <w:rFonts w:ascii="Times New Roman" w:eastAsia="Calibri" w:hAnsi="Times New Roman" w:cs="Times New Roman"/>
          <w:sz w:val="24"/>
          <w:szCs w:val="24"/>
        </w:rPr>
      </w:pPr>
      <w:r w:rsidRPr="00A75FEF">
        <w:rPr>
          <w:rFonts w:ascii="Times New Roman" w:eastAsia="Calibri" w:hAnsi="Times New Roman" w:cs="Times New Roman"/>
          <w:sz w:val="24"/>
          <w:szCs w:val="24"/>
        </w:rPr>
        <w:t>Ассигнования областного бюджета по подпрограмме утверждены в расходах областного бюджета по целевой статье расходов 1130000 в сумме 21216,3 тыс. рублей. В общем объеме расходов государственной программы доля расходов по данной подпрограмме составляет 2,4 процента.</w:t>
      </w:r>
    </w:p>
    <w:p w:rsidR="00A75FEF" w:rsidRPr="00A75FEF" w:rsidRDefault="00A75FEF" w:rsidP="00A75FEF">
      <w:pPr>
        <w:spacing w:after="0" w:line="240" w:lineRule="auto"/>
        <w:ind w:firstLine="709"/>
        <w:jc w:val="both"/>
        <w:rPr>
          <w:rFonts w:ascii="Times New Roman" w:eastAsia="Calibri" w:hAnsi="Times New Roman" w:cs="Times New Roman"/>
          <w:sz w:val="24"/>
          <w:szCs w:val="24"/>
        </w:rPr>
      </w:pPr>
      <w:r w:rsidRPr="00A75FEF">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94,6 процента.</w:t>
      </w:r>
    </w:p>
    <w:p w:rsidR="00A75FEF" w:rsidRPr="00A75FEF" w:rsidRDefault="00A75FEF" w:rsidP="00A75FE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75FEF">
        <w:rPr>
          <w:rFonts w:ascii="Times New Roman" w:eastAsia="Calibri" w:hAnsi="Times New Roman" w:cs="Times New Roman"/>
          <w:sz w:val="24"/>
          <w:szCs w:val="24"/>
        </w:rPr>
        <w:t>Стопроцентное исполнение ассигнований областного бюджета сложилось по мероприятиям: «Формирование правосознания несовершеннолетних и молодежи в целях противодействия распространению идеологии терроризма и экстремизма», «Предоставление субсидий бюджетным, автономным учреждениям и иным некоммерческим организациям», «Капитальные вложения в объекты государственной (муниципальной) собственности» и «Выплата вознаграждения гражданам, добровольно сдающим незаконно хранящиеся у них оружие, боеприпасы, взрывчатые вещества и взрывные устройства».</w:t>
      </w:r>
    </w:p>
    <w:p w:rsidR="00A75FEF" w:rsidRPr="00A75FEF" w:rsidRDefault="00A75FEF" w:rsidP="00A75FE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75FEF">
        <w:rPr>
          <w:rFonts w:ascii="Times New Roman" w:eastAsia="Calibri" w:hAnsi="Times New Roman" w:cs="Times New Roman"/>
          <w:sz w:val="24"/>
          <w:szCs w:val="24"/>
        </w:rPr>
        <w:lastRenderedPageBreak/>
        <w:t>Ассигнования областного бюджета на финансирование мероприятия «Развитие аппаратно-программного комплекса «Безопасный город» в размере 1150,0 тыс. рублей не исполнены.</w:t>
      </w:r>
    </w:p>
    <w:p w:rsidR="00A75FEF" w:rsidRPr="00F95416" w:rsidRDefault="00A75FEF" w:rsidP="00A75F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5FEF">
        <w:rPr>
          <w:rFonts w:ascii="Times New Roman" w:eastAsia="Times New Roman" w:hAnsi="Times New Roman" w:cs="Times New Roman"/>
          <w:sz w:val="24"/>
          <w:szCs w:val="24"/>
          <w:lang w:eastAsia="ru-RU"/>
        </w:rPr>
        <w:t>Основные направления расходов по государственной программе представлены на рисунке</w:t>
      </w:r>
      <w:r w:rsidRPr="00A75FEF">
        <w:rPr>
          <w:rFonts w:ascii="Times New Roman" w:eastAsia="Times New Roman" w:hAnsi="Times New Roman" w:cs="Times New Roman"/>
          <w:color w:val="0070C0"/>
          <w:sz w:val="24"/>
          <w:szCs w:val="24"/>
          <w:lang w:eastAsia="ru-RU"/>
        </w:rPr>
        <w:t xml:space="preserve"> </w:t>
      </w:r>
      <w:r w:rsidR="002472A5" w:rsidRPr="00F95416">
        <w:rPr>
          <w:rFonts w:ascii="Times New Roman" w:eastAsia="Times New Roman" w:hAnsi="Times New Roman" w:cs="Times New Roman"/>
          <w:sz w:val="24"/>
          <w:szCs w:val="24"/>
          <w:lang w:eastAsia="ru-RU"/>
        </w:rPr>
        <w:t>33</w:t>
      </w:r>
      <w:r w:rsidRPr="00F95416">
        <w:rPr>
          <w:rFonts w:ascii="Times New Roman" w:eastAsia="Times New Roman" w:hAnsi="Times New Roman" w:cs="Times New Roman"/>
          <w:sz w:val="24"/>
          <w:szCs w:val="24"/>
          <w:lang w:eastAsia="ru-RU"/>
        </w:rPr>
        <w:t>.</w:t>
      </w:r>
    </w:p>
    <w:p w:rsidR="00A75FEF" w:rsidRPr="00F95416" w:rsidRDefault="00A75FEF" w:rsidP="00F954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color w:val="0070C0"/>
          <w:sz w:val="24"/>
          <w:szCs w:val="24"/>
          <w:lang w:eastAsia="ru-RU"/>
        </w:rPr>
        <w:drawing>
          <wp:inline distT="0" distB="0" distL="0" distR="0">
            <wp:extent cx="6229350" cy="4381500"/>
            <wp:effectExtent l="0" t="0" r="0" b="0"/>
            <wp:docPr id="40" name="Диаграмма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75FEF" w:rsidRPr="00A75FEF" w:rsidRDefault="00A75FEF" w:rsidP="002472A5">
      <w:pPr>
        <w:spacing w:after="0" w:line="240" w:lineRule="auto"/>
        <w:ind w:firstLine="709"/>
        <w:jc w:val="center"/>
        <w:rPr>
          <w:rFonts w:ascii="Times New Roman" w:eastAsia="Calibri" w:hAnsi="Times New Roman" w:cs="Times New Roman"/>
          <w:b/>
          <w:noProof/>
          <w:sz w:val="24"/>
          <w:szCs w:val="24"/>
          <w:lang w:eastAsia="ru-RU"/>
        </w:rPr>
      </w:pPr>
      <w:r w:rsidRPr="00A75FEF">
        <w:rPr>
          <w:rFonts w:ascii="Times New Roman" w:eastAsia="Calibri" w:hAnsi="Times New Roman" w:cs="Times New Roman"/>
          <w:b/>
          <w:noProof/>
          <w:sz w:val="24"/>
          <w:szCs w:val="24"/>
          <w:lang w:eastAsia="ru-RU"/>
        </w:rPr>
        <w:t>Рис.</w:t>
      </w:r>
      <w:r w:rsidR="002472A5">
        <w:rPr>
          <w:rFonts w:ascii="Times New Roman" w:eastAsia="Calibri" w:hAnsi="Times New Roman" w:cs="Times New Roman"/>
          <w:b/>
          <w:noProof/>
          <w:sz w:val="24"/>
          <w:szCs w:val="24"/>
          <w:lang w:eastAsia="ru-RU"/>
        </w:rPr>
        <w:t xml:space="preserve"> </w:t>
      </w:r>
      <w:r w:rsidR="002472A5" w:rsidRPr="002472A5">
        <w:rPr>
          <w:rFonts w:ascii="Times New Roman" w:eastAsia="Calibri" w:hAnsi="Times New Roman" w:cs="Times New Roman"/>
          <w:b/>
          <w:noProof/>
          <w:sz w:val="24"/>
          <w:szCs w:val="24"/>
          <w:lang w:eastAsia="ru-RU"/>
        </w:rPr>
        <w:t>33</w:t>
      </w:r>
      <w:r w:rsidR="002472A5">
        <w:rPr>
          <w:rFonts w:ascii="Times New Roman" w:eastAsia="Calibri" w:hAnsi="Times New Roman" w:cs="Times New Roman"/>
          <w:b/>
          <w:noProof/>
          <w:sz w:val="24"/>
          <w:szCs w:val="24"/>
          <w:lang w:eastAsia="ru-RU"/>
        </w:rPr>
        <w:t xml:space="preserve"> </w:t>
      </w:r>
      <w:r w:rsidRPr="00A75FEF">
        <w:rPr>
          <w:rFonts w:ascii="Times New Roman" w:eastAsia="Calibri" w:hAnsi="Times New Roman" w:cs="Times New Roman"/>
          <w:b/>
          <w:noProof/>
          <w:sz w:val="24"/>
          <w:szCs w:val="24"/>
          <w:lang w:eastAsia="ru-RU"/>
        </w:rPr>
        <w:t>– Основные направления расходов по государственной программе</w:t>
      </w:r>
      <w:r w:rsidR="002472A5" w:rsidRPr="002472A5">
        <w:rPr>
          <w:rFonts w:ascii="Times New Roman" w:eastAsia="Calibri" w:hAnsi="Times New Roman" w:cs="Times New Roman"/>
          <w:b/>
          <w:noProof/>
          <w:sz w:val="24"/>
          <w:szCs w:val="24"/>
          <w:lang w:eastAsia="ru-RU"/>
        </w:rPr>
        <w:t xml:space="preserve"> </w:t>
      </w:r>
      <w:r w:rsidR="002472A5" w:rsidRPr="00A75FEF">
        <w:rPr>
          <w:rFonts w:ascii="Times New Roman" w:eastAsia="Times New Roman" w:hAnsi="Times New Roman" w:cs="Times New Roman"/>
          <w:b/>
          <w:color w:val="000000"/>
          <w:sz w:val="24"/>
          <w:szCs w:val="24"/>
          <w:lang w:eastAsia="ru-RU"/>
        </w:rPr>
        <w:t>«</w:t>
      </w:r>
      <w:r w:rsidR="002472A5" w:rsidRPr="00A75FEF">
        <w:rPr>
          <w:rFonts w:ascii="Times New Roman" w:eastAsia="Calibri" w:hAnsi="Times New Roman" w:cs="Times New Roman"/>
          <w:b/>
          <w:bCs/>
          <w:sz w:val="24"/>
          <w:szCs w:val="24"/>
        </w:rPr>
        <w:t xml:space="preserve">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w:t>
      </w:r>
      <w:r w:rsidR="002472A5">
        <w:rPr>
          <w:rFonts w:ascii="Times New Roman" w:eastAsia="Calibri" w:hAnsi="Times New Roman" w:cs="Times New Roman"/>
          <w:b/>
          <w:bCs/>
          <w:sz w:val="24"/>
          <w:szCs w:val="24"/>
        </w:rPr>
        <w:br/>
        <w:t>2014</w:t>
      </w:r>
      <w:r w:rsidR="002472A5" w:rsidRPr="00A75FEF">
        <w:rPr>
          <w:rFonts w:ascii="Times New Roman" w:eastAsia="Calibri" w:hAnsi="Times New Roman" w:cs="Times New Roman"/>
          <w:b/>
          <w:bCs/>
          <w:sz w:val="24"/>
          <w:szCs w:val="24"/>
        </w:rPr>
        <w:t>-2020 годы»</w:t>
      </w:r>
      <w:r w:rsidR="00F95416">
        <w:rPr>
          <w:rFonts w:ascii="Times New Roman" w:eastAsia="Calibri" w:hAnsi="Times New Roman" w:cs="Times New Roman"/>
          <w:b/>
          <w:noProof/>
          <w:sz w:val="24"/>
          <w:szCs w:val="24"/>
          <w:lang w:eastAsia="ru-RU"/>
        </w:rPr>
        <w:t xml:space="preserve"> в 2015 году, тыс. руб.</w:t>
      </w:r>
    </w:p>
    <w:p w:rsidR="00A75FEF" w:rsidRPr="00A75FEF" w:rsidRDefault="00A75FEF" w:rsidP="00A75FE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8F689F" w:rsidRPr="002A21D9" w:rsidRDefault="008F689F" w:rsidP="008F689F">
      <w:pPr>
        <w:spacing w:after="0" w:line="240" w:lineRule="auto"/>
        <w:ind w:firstLine="709"/>
        <w:jc w:val="both"/>
        <w:rPr>
          <w:rFonts w:ascii="Times New Roman" w:hAnsi="Times New Roman" w:cs="Times New Roman"/>
          <w:b/>
          <w:sz w:val="24"/>
          <w:szCs w:val="24"/>
        </w:rPr>
      </w:pPr>
      <w:r w:rsidRPr="002A21D9">
        <w:rPr>
          <w:rFonts w:ascii="Times New Roman" w:hAnsi="Times New Roman" w:cs="Times New Roman"/>
          <w:b/>
          <w:sz w:val="24"/>
          <w:szCs w:val="24"/>
        </w:rPr>
        <w:t xml:space="preserve">5.12. </w:t>
      </w:r>
      <w:r w:rsidRPr="00A75FEF">
        <w:rPr>
          <w:rFonts w:ascii="Times New Roman" w:eastAsia="Times New Roman" w:hAnsi="Times New Roman" w:cs="Times New Roman"/>
          <w:b/>
          <w:color w:val="000000"/>
          <w:sz w:val="24"/>
          <w:szCs w:val="24"/>
          <w:lang w:eastAsia="ru-RU"/>
        </w:rPr>
        <w:t xml:space="preserve">Исполнение расходов областного бюджета за 2015 год в рамках государственной программы </w:t>
      </w:r>
      <w:r w:rsidRPr="002A21D9">
        <w:rPr>
          <w:rFonts w:ascii="Times New Roman" w:hAnsi="Times New Roman" w:cs="Times New Roman"/>
          <w:b/>
          <w:sz w:val="24"/>
          <w:szCs w:val="24"/>
        </w:rPr>
        <w:t xml:space="preserve">«Развитие образования Амурской области на </w:t>
      </w:r>
      <w:r>
        <w:rPr>
          <w:rFonts w:ascii="Times New Roman" w:hAnsi="Times New Roman" w:cs="Times New Roman"/>
          <w:b/>
          <w:sz w:val="24"/>
          <w:szCs w:val="24"/>
        </w:rPr>
        <w:br/>
      </w:r>
      <w:r w:rsidRPr="002A21D9">
        <w:rPr>
          <w:rFonts w:ascii="Times New Roman" w:hAnsi="Times New Roman" w:cs="Times New Roman"/>
          <w:b/>
          <w:sz w:val="24"/>
          <w:szCs w:val="24"/>
        </w:rPr>
        <w:t>2014–2020 годы»</w:t>
      </w:r>
    </w:p>
    <w:p w:rsidR="008F689F" w:rsidRPr="002A21D9" w:rsidRDefault="008F689F" w:rsidP="008F68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1D9">
        <w:rPr>
          <w:rFonts w:ascii="Times New Roman" w:eastAsia="Times New Roman" w:hAnsi="Times New Roman" w:cs="Times New Roman"/>
          <w:sz w:val="24"/>
          <w:szCs w:val="24"/>
          <w:lang w:eastAsia="ru-RU"/>
        </w:rPr>
        <w:t xml:space="preserve">Государственная программа «Развитие образования Амурской области на </w:t>
      </w:r>
      <w:r>
        <w:rPr>
          <w:rFonts w:ascii="Times New Roman" w:eastAsia="Times New Roman" w:hAnsi="Times New Roman" w:cs="Times New Roman"/>
          <w:sz w:val="24"/>
          <w:szCs w:val="24"/>
          <w:lang w:eastAsia="ru-RU"/>
        </w:rPr>
        <w:br/>
      </w:r>
      <w:r w:rsidRPr="002A21D9">
        <w:rPr>
          <w:rFonts w:ascii="Times New Roman" w:eastAsia="Times New Roman" w:hAnsi="Times New Roman" w:cs="Times New Roman"/>
          <w:sz w:val="24"/>
          <w:szCs w:val="24"/>
          <w:lang w:eastAsia="ru-RU"/>
        </w:rPr>
        <w:t xml:space="preserve">2014–2020 годы» утверждена постановлением Правительства Амурской области от 25.09.2013 № 448 с объемом ассигнований на 2015 год в сумме </w:t>
      </w:r>
      <w:r>
        <w:rPr>
          <w:rFonts w:ascii="Times New Roman" w:eastAsia="Times New Roman" w:hAnsi="Times New Roman" w:cs="Times New Roman"/>
          <w:sz w:val="24"/>
          <w:szCs w:val="24"/>
          <w:lang w:eastAsia="ru-RU"/>
        </w:rPr>
        <w:t>8467286,8</w:t>
      </w:r>
      <w:r w:rsidRPr="002A21D9">
        <w:rPr>
          <w:rFonts w:ascii="Times New Roman" w:eastAsia="Times New Roman" w:hAnsi="Times New Roman" w:cs="Times New Roman"/>
          <w:sz w:val="24"/>
          <w:szCs w:val="24"/>
          <w:lang w:eastAsia="ru-RU"/>
        </w:rPr>
        <w:t xml:space="preserve"> тыс. рублей, в том числе</w:t>
      </w:r>
      <w:r>
        <w:rPr>
          <w:rFonts w:ascii="Times New Roman" w:eastAsia="Times New Roman" w:hAnsi="Times New Roman" w:cs="Times New Roman"/>
          <w:sz w:val="24"/>
          <w:szCs w:val="24"/>
          <w:lang w:eastAsia="ru-RU"/>
        </w:rPr>
        <w:t xml:space="preserve"> </w:t>
      </w:r>
      <w:r w:rsidRPr="002A21D9">
        <w:rPr>
          <w:rFonts w:ascii="Times New Roman" w:eastAsia="Times New Roman" w:hAnsi="Times New Roman" w:cs="Times New Roman"/>
          <w:sz w:val="24"/>
          <w:szCs w:val="24"/>
          <w:lang w:eastAsia="ru-RU"/>
        </w:rPr>
        <w:t>за счет средств областного бюджета в сумме 8385139,6 тыс. рублей</w:t>
      </w:r>
      <w:r>
        <w:rPr>
          <w:rFonts w:ascii="Times New Roman" w:eastAsia="Times New Roman" w:hAnsi="Times New Roman" w:cs="Times New Roman"/>
          <w:sz w:val="24"/>
          <w:szCs w:val="24"/>
          <w:lang w:eastAsia="ru-RU"/>
        </w:rPr>
        <w:t xml:space="preserve">, </w:t>
      </w:r>
      <w:r w:rsidRPr="002A21D9">
        <w:rPr>
          <w:rFonts w:ascii="Times New Roman" w:eastAsia="Times New Roman" w:hAnsi="Times New Roman" w:cs="Times New Roman"/>
          <w:sz w:val="24"/>
          <w:szCs w:val="24"/>
          <w:lang w:eastAsia="ru-RU"/>
        </w:rPr>
        <w:t>за счет средств федерального бюджета в сумме 82147,2 тыс. рублей.</w:t>
      </w:r>
    </w:p>
    <w:p w:rsidR="008F689F" w:rsidRPr="002A21D9" w:rsidRDefault="008F689F" w:rsidP="008F68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21D9">
        <w:rPr>
          <w:rFonts w:ascii="Times New Roman" w:eastAsia="Times New Roman" w:hAnsi="Times New Roman" w:cs="Times New Roman"/>
          <w:sz w:val="24"/>
          <w:szCs w:val="24"/>
          <w:lang w:eastAsia="ru-RU"/>
        </w:rPr>
        <w:t>Координатором государственной программы является министерство образования и науки Амурской области.</w:t>
      </w:r>
    </w:p>
    <w:p w:rsidR="008F689F" w:rsidRPr="00B93F26" w:rsidRDefault="008F689F" w:rsidP="008F68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3F26">
        <w:rPr>
          <w:rFonts w:ascii="Times New Roman" w:eastAsia="Times New Roman" w:hAnsi="Times New Roman" w:cs="Times New Roman"/>
          <w:sz w:val="24"/>
          <w:szCs w:val="24"/>
          <w:lang w:eastAsia="ru-RU"/>
        </w:rPr>
        <w:t>Законом Амурской области «Об областном бюджете на 2015 год и плановый период 2016 и 2017 годов» на реализацию государственной программы «Развитие образования Амурской области на 2014–2020 годы» утверждены бюджетные ассигнования в сумме 8395784,4 тыс. рублей.</w:t>
      </w:r>
    </w:p>
    <w:p w:rsidR="008F689F" w:rsidRPr="00B93F26" w:rsidRDefault="008F689F" w:rsidP="008F68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3F26">
        <w:rPr>
          <w:rFonts w:ascii="Times New Roman" w:eastAsia="Times New Roman" w:hAnsi="Times New Roman" w:cs="Times New Roman"/>
          <w:sz w:val="24"/>
          <w:szCs w:val="24"/>
          <w:lang w:eastAsia="ru-RU"/>
        </w:rPr>
        <w:t xml:space="preserve">Отклонение плановых показателей, предусмотренных государственной программой, от плановых показателей, утвержденных законом области об областном бюджете на </w:t>
      </w:r>
      <w:r>
        <w:rPr>
          <w:rFonts w:ascii="Times New Roman" w:eastAsia="Times New Roman" w:hAnsi="Times New Roman" w:cs="Times New Roman"/>
          <w:sz w:val="24"/>
          <w:szCs w:val="24"/>
          <w:lang w:eastAsia="ru-RU"/>
        </w:rPr>
        <w:br/>
      </w:r>
      <w:r w:rsidRPr="00B93F26">
        <w:rPr>
          <w:rFonts w:ascii="Times New Roman" w:eastAsia="Times New Roman" w:hAnsi="Times New Roman" w:cs="Times New Roman"/>
          <w:sz w:val="24"/>
          <w:szCs w:val="24"/>
          <w:lang w:eastAsia="ru-RU"/>
        </w:rPr>
        <w:t xml:space="preserve">2015 год, </w:t>
      </w:r>
      <w:r w:rsidRPr="00327600">
        <w:rPr>
          <w:rFonts w:ascii="Times New Roman" w:eastAsia="Times New Roman" w:hAnsi="Times New Roman" w:cs="Times New Roman"/>
          <w:sz w:val="24"/>
          <w:szCs w:val="24"/>
          <w:lang w:eastAsia="ru-RU"/>
        </w:rPr>
        <w:t>составило 71502,4 тыс. рублей</w:t>
      </w:r>
      <w:r w:rsidRPr="00B93F26">
        <w:rPr>
          <w:rFonts w:ascii="Times New Roman" w:eastAsia="Times New Roman" w:hAnsi="Times New Roman" w:cs="Times New Roman"/>
          <w:sz w:val="24"/>
          <w:szCs w:val="24"/>
          <w:lang w:eastAsia="ru-RU"/>
        </w:rPr>
        <w:t xml:space="preserve"> – законом</w:t>
      </w:r>
      <w:r>
        <w:rPr>
          <w:rFonts w:ascii="Times New Roman" w:eastAsia="Times New Roman" w:hAnsi="Times New Roman" w:cs="Times New Roman"/>
          <w:sz w:val="24"/>
          <w:szCs w:val="24"/>
          <w:lang w:eastAsia="ru-RU"/>
        </w:rPr>
        <w:t xml:space="preserve"> о бюджете</w:t>
      </w:r>
      <w:r w:rsidRPr="00B93F26">
        <w:rPr>
          <w:rFonts w:ascii="Times New Roman" w:eastAsia="Times New Roman" w:hAnsi="Times New Roman" w:cs="Times New Roman"/>
          <w:sz w:val="24"/>
          <w:szCs w:val="24"/>
          <w:lang w:eastAsia="ru-RU"/>
        </w:rPr>
        <w:t xml:space="preserve"> не предусмотрено мероприятие «Модернизация региональных систем дошкольного образования».</w:t>
      </w:r>
    </w:p>
    <w:p w:rsidR="008F689F" w:rsidRDefault="008F689F" w:rsidP="008F68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3F26">
        <w:rPr>
          <w:rFonts w:ascii="Times New Roman" w:eastAsia="Times New Roman" w:hAnsi="Times New Roman" w:cs="Times New Roman"/>
          <w:sz w:val="24"/>
          <w:szCs w:val="24"/>
          <w:lang w:eastAsia="ru-RU"/>
        </w:rPr>
        <w:lastRenderedPageBreak/>
        <w:t xml:space="preserve">Сводной бюджетной росписью расходов областного бюджета на 2015 год на реализацию программы предусмотрено 8504195,2 тыс. рублей, или с превышением ассигнований, </w:t>
      </w:r>
      <w:r>
        <w:rPr>
          <w:rFonts w:ascii="Times New Roman" w:eastAsia="Times New Roman" w:hAnsi="Times New Roman" w:cs="Times New Roman"/>
          <w:sz w:val="24"/>
          <w:szCs w:val="24"/>
          <w:lang w:eastAsia="ru-RU"/>
        </w:rPr>
        <w:t xml:space="preserve">утвержденных </w:t>
      </w:r>
      <w:r w:rsidRPr="00B93F26">
        <w:rPr>
          <w:rFonts w:ascii="Times New Roman" w:eastAsia="Times New Roman" w:hAnsi="Times New Roman" w:cs="Times New Roman"/>
          <w:sz w:val="24"/>
          <w:szCs w:val="24"/>
          <w:lang w:eastAsia="ru-RU"/>
        </w:rPr>
        <w:t>законом об областном бюджете, на 108410,8 тыс. рублей, в том числе:</w:t>
      </w:r>
    </w:p>
    <w:p w:rsidR="008F689F" w:rsidRPr="009573BD" w:rsidRDefault="008F689F" w:rsidP="0014690C">
      <w:pPr>
        <w:pStyle w:val="afa"/>
        <w:numPr>
          <w:ilvl w:val="0"/>
          <w:numId w:val="13"/>
        </w:numPr>
        <w:ind w:left="0" w:firstLine="709"/>
        <w:jc w:val="both"/>
        <w:rPr>
          <w:sz w:val="24"/>
          <w:szCs w:val="24"/>
        </w:rPr>
      </w:pPr>
      <w:r>
        <w:rPr>
          <w:sz w:val="24"/>
          <w:szCs w:val="24"/>
        </w:rPr>
        <w:t>средства областного бюджета на оплату исполнительных документов в сумме 4256,1 тыс. рублей по мероприятию «</w:t>
      </w:r>
      <w:r w:rsidRPr="009573BD">
        <w:rPr>
          <w:sz w:val="24"/>
          <w:szCs w:val="24"/>
        </w:rP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организациях профессионального образования</w:t>
      </w:r>
      <w:r>
        <w:rPr>
          <w:sz w:val="24"/>
          <w:szCs w:val="24"/>
        </w:rPr>
        <w:t>»;</w:t>
      </w:r>
    </w:p>
    <w:p w:rsidR="008F689F" w:rsidRPr="00B93F26" w:rsidRDefault="008F689F" w:rsidP="0014690C">
      <w:pPr>
        <w:pStyle w:val="afa"/>
        <w:numPr>
          <w:ilvl w:val="0"/>
          <w:numId w:val="13"/>
        </w:numPr>
        <w:ind w:left="0" w:firstLine="709"/>
        <w:jc w:val="both"/>
        <w:rPr>
          <w:sz w:val="24"/>
          <w:szCs w:val="24"/>
        </w:rPr>
      </w:pPr>
      <w:r w:rsidRPr="00B93F26">
        <w:rPr>
          <w:sz w:val="24"/>
          <w:szCs w:val="24"/>
        </w:rPr>
        <w:t>средства федерального бюджета на финанс</w:t>
      </w:r>
      <w:r w:rsidR="00FD729F">
        <w:rPr>
          <w:sz w:val="24"/>
          <w:szCs w:val="24"/>
        </w:rPr>
        <w:t>ирование следующих мероприятий:</w:t>
      </w:r>
    </w:p>
    <w:p w:rsidR="008F689F" w:rsidRPr="00B93F26" w:rsidRDefault="00FD729F" w:rsidP="008F68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689F" w:rsidRPr="00B93F26">
        <w:rPr>
          <w:rFonts w:ascii="Times New Roman" w:eastAsia="Times New Roman" w:hAnsi="Times New Roman" w:cs="Times New Roman"/>
          <w:sz w:val="24"/>
          <w:szCs w:val="24"/>
          <w:lang w:eastAsia="ru-RU"/>
        </w:rP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с объемом ассигнований, предусмотренных бюджетной росписью, в сумме 680,0 тыс. рублей;</w:t>
      </w:r>
    </w:p>
    <w:p w:rsidR="008F689F" w:rsidRPr="00B93F26" w:rsidRDefault="00FD729F" w:rsidP="008F68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689F" w:rsidRPr="00B93F26">
        <w:rPr>
          <w:rFonts w:ascii="Times New Roman" w:eastAsia="Times New Roman" w:hAnsi="Times New Roman" w:cs="Times New Roman"/>
          <w:sz w:val="24"/>
          <w:szCs w:val="24"/>
          <w:lang w:eastAsia="ru-RU"/>
        </w:rPr>
        <w:t>финансовое обеспечение мероприятий федеральной целевой программы развития образования на 2011-2015 годы с объемом ассигнований,</w:t>
      </w:r>
      <w:r w:rsidR="008F689F" w:rsidRPr="00B93F26">
        <w:t xml:space="preserve"> </w:t>
      </w:r>
      <w:r w:rsidR="008F689F" w:rsidRPr="00B93F26">
        <w:rPr>
          <w:rFonts w:ascii="Times New Roman" w:eastAsia="Times New Roman" w:hAnsi="Times New Roman" w:cs="Times New Roman"/>
          <w:sz w:val="24"/>
          <w:szCs w:val="24"/>
          <w:lang w:eastAsia="ru-RU"/>
        </w:rPr>
        <w:t>предусмотренных бюджетной росписью, в сумме 11336,0 тыс. рублей;</w:t>
      </w:r>
    </w:p>
    <w:p w:rsidR="008F689F" w:rsidRPr="00B93F26" w:rsidRDefault="00FD729F" w:rsidP="008F68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689F" w:rsidRPr="00B93F26">
        <w:rPr>
          <w:rFonts w:ascii="Times New Roman" w:eastAsia="Times New Roman" w:hAnsi="Times New Roman" w:cs="Times New Roman"/>
          <w:sz w:val="24"/>
          <w:szCs w:val="24"/>
          <w:lang w:eastAsia="ru-RU"/>
        </w:rPr>
        <w:t>поощрение лучших учителей с объемом ассигнований, предусмотренных бюджетной росписью, в</w:t>
      </w:r>
      <w:r w:rsidR="008F689F">
        <w:rPr>
          <w:rFonts w:ascii="Times New Roman" w:eastAsia="Times New Roman" w:hAnsi="Times New Roman" w:cs="Times New Roman"/>
          <w:sz w:val="24"/>
          <w:szCs w:val="24"/>
          <w:lang w:eastAsia="ru-RU"/>
        </w:rPr>
        <w:t xml:space="preserve"> сумме 1400,0 тыс. рублей</w:t>
      </w:r>
      <w:r w:rsidR="008F689F" w:rsidRPr="00B93F26">
        <w:rPr>
          <w:rFonts w:ascii="Times New Roman" w:eastAsia="Times New Roman" w:hAnsi="Times New Roman" w:cs="Times New Roman"/>
          <w:sz w:val="24"/>
          <w:szCs w:val="24"/>
          <w:lang w:eastAsia="ru-RU"/>
        </w:rPr>
        <w:t>;</w:t>
      </w:r>
    </w:p>
    <w:p w:rsidR="008F689F" w:rsidRDefault="00FD729F" w:rsidP="008F68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689F" w:rsidRPr="009573BD">
        <w:rPr>
          <w:rFonts w:ascii="Times New Roman" w:eastAsia="Times New Roman" w:hAnsi="Times New Roman" w:cs="Times New Roman"/>
          <w:sz w:val="24"/>
          <w:szCs w:val="24"/>
          <w:lang w:eastAsia="ru-RU"/>
        </w:rPr>
        <w:t>создание в общеобразовательных организациях, расположенных в сельской местности, условий для занятий физической культурой и спортом, с объемом ассигнований, предусмотренных бюджетной росписью, в сумме 27768,7 тыс. рублей.</w:t>
      </w:r>
    </w:p>
    <w:p w:rsidR="008F689F" w:rsidRPr="0075149D" w:rsidRDefault="008F689F" w:rsidP="008F689F">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Н</w:t>
      </w:r>
      <w:r w:rsidRPr="0075149D">
        <w:rPr>
          <w:rFonts w:ascii="Times New Roman" w:eastAsia="Times New Roman" w:hAnsi="Times New Roman" w:cs="Times New Roman"/>
          <w:sz w:val="24"/>
          <w:szCs w:val="24"/>
          <w:lang w:eastAsia="ru-RU"/>
        </w:rPr>
        <w:t xml:space="preserve">а реализацию данных мероприятий бюджетные ассигнования предусмотрены </w:t>
      </w:r>
      <w:r>
        <w:rPr>
          <w:rFonts w:ascii="Times New Roman" w:eastAsia="Times New Roman" w:hAnsi="Times New Roman" w:cs="Times New Roman"/>
          <w:sz w:val="24"/>
          <w:szCs w:val="24"/>
          <w:lang w:eastAsia="ru-RU"/>
        </w:rPr>
        <w:t xml:space="preserve">сводной </w:t>
      </w:r>
      <w:r w:rsidRPr="0075149D">
        <w:rPr>
          <w:rFonts w:ascii="Times New Roman" w:eastAsia="Times New Roman" w:hAnsi="Times New Roman" w:cs="Times New Roman"/>
          <w:sz w:val="24"/>
          <w:szCs w:val="24"/>
          <w:lang w:eastAsia="ru-RU"/>
        </w:rPr>
        <w:t xml:space="preserve">бюджетной росписью расходов областного бюджета, которые профинансированы в полном объеме. </w:t>
      </w:r>
      <w:r w:rsidRPr="0075149D">
        <w:rPr>
          <w:rFonts w:ascii="Times New Roman" w:eastAsia="Times New Roman" w:hAnsi="Times New Roman" w:cs="Times New Roman"/>
          <w:b/>
          <w:i/>
          <w:sz w:val="24"/>
          <w:szCs w:val="24"/>
          <w:lang w:eastAsia="ru-RU"/>
        </w:rPr>
        <w:t>Вместе с тем, координатором программы/подпрограммы министерством образования и науки области перечисленные выше мероприятия в государственную программу/подпрограмму не включены.</w:t>
      </w:r>
    </w:p>
    <w:p w:rsidR="00327600" w:rsidRPr="009573BD" w:rsidRDefault="00327600" w:rsidP="00327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73BD">
        <w:rPr>
          <w:rFonts w:ascii="Times New Roman" w:eastAsia="Times New Roman" w:hAnsi="Times New Roman" w:cs="Times New Roman"/>
          <w:sz w:val="24"/>
          <w:szCs w:val="24"/>
          <w:lang w:eastAsia="ru-RU"/>
        </w:rPr>
        <w:t>модернизация региональных систем дошкольного образования с объемом ассигнований, предусмотренных бюджетной росписью, в сумме 71502,4 тыс. рублей;</w:t>
      </w:r>
    </w:p>
    <w:p w:rsidR="008F689F" w:rsidRDefault="008F689F" w:rsidP="008F68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6589">
        <w:rPr>
          <w:rFonts w:ascii="Times New Roman" w:eastAsia="Times New Roman" w:hAnsi="Times New Roman" w:cs="Times New Roman"/>
          <w:sz w:val="24"/>
          <w:szCs w:val="24"/>
          <w:lang w:eastAsia="ru-RU"/>
        </w:rPr>
        <w:t xml:space="preserve">Исполнение бюджетных назначений, предусмотренных на реализацию программы сводной бюджетной росписью расходов, составило 8435965,5 тыс. рублей, или </w:t>
      </w:r>
      <w:r w:rsidRPr="00BB6589">
        <w:rPr>
          <w:rFonts w:ascii="Times New Roman" w:eastAsia="Times New Roman" w:hAnsi="Times New Roman" w:cs="Times New Roman"/>
          <w:sz w:val="24"/>
          <w:szCs w:val="24"/>
          <w:lang w:eastAsia="ru-RU"/>
        </w:rPr>
        <w:br/>
        <w:t>99,2 процента (объем неисполненных ассигнований составил 68229,7 тыс. рублей).</w:t>
      </w:r>
    </w:p>
    <w:p w:rsidR="008F689F" w:rsidRPr="00BB6589" w:rsidRDefault="008F689F" w:rsidP="008F68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Удельный вес государственной программы в общем объеме расходов областного бюджета на 2015 год составляет 17,7 процента.</w:t>
      </w:r>
    </w:p>
    <w:p w:rsidR="008F689F" w:rsidRPr="00BB6589" w:rsidRDefault="008F689F" w:rsidP="008F68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6589">
        <w:rPr>
          <w:rFonts w:ascii="Times New Roman" w:eastAsia="Times New Roman" w:hAnsi="Times New Roman" w:cs="Times New Roman"/>
          <w:sz w:val="24"/>
          <w:szCs w:val="24"/>
          <w:lang w:eastAsia="ru-RU"/>
        </w:rPr>
        <w:t xml:space="preserve">Государственная программа «Развитие образования Амурской области на </w:t>
      </w:r>
      <w:r>
        <w:rPr>
          <w:rFonts w:ascii="Times New Roman" w:eastAsia="Times New Roman" w:hAnsi="Times New Roman" w:cs="Times New Roman"/>
          <w:sz w:val="24"/>
          <w:szCs w:val="24"/>
          <w:lang w:eastAsia="ru-RU"/>
        </w:rPr>
        <w:br/>
      </w:r>
      <w:r w:rsidRPr="00BB6589">
        <w:rPr>
          <w:rFonts w:ascii="Times New Roman" w:eastAsia="Times New Roman" w:hAnsi="Times New Roman" w:cs="Times New Roman"/>
          <w:sz w:val="24"/>
          <w:szCs w:val="24"/>
          <w:lang w:eastAsia="ru-RU"/>
        </w:rPr>
        <w:t>2014–2020 годы» включает 5 подпрограмм.</w:t>
      </w:r>
    </w:p>
    <w:p w:rsidR="008F689F" w:rsidRDefault="008F689F" w:rsidP="008F68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таблице 15</w:t>
      </w:r>
      <w:r w:rsidRPr="00BB6589">
        <w:rPr>
          <w:rFonts w:ascii="Times New Roman" w:eastAsia="Times New Roman" w:hAnsi="Times New Roman" w:cs="Times New Roman"/>
          <w:sz w:val="24"/>
          <w:szCs w:val="24"/>
          <w:lang w:eastAsia="ru-RU"/>
        </w:rPr>
        <w:t xml:space="preserve"> представлена информация об исполнении государственной программы «Развитие образования Амурской области на 2014–2020 годы» в разрезе подпрограмм.</w:t>
      </w:r>
    </w:p>
    <w:p w:rsidR="008F689F" w:rsidRPr="00BB6589" w:rsidRDefault="008F689F" w:rsidP="008F68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689F" w:rsidRDefault="008F689F" w:rsidP="008F689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15</w:t>
      </w:r>
    </w:p>
    <w:p w:rsidR="008F689F" w:rsidRPr="008F689F" w:rsidRDefault="008F689F" w:rsidP="008F689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F689F">
        <w:rPr>
          <w:rFonts w:ascii="Times New Roman" w:eastAsia="Times New Roman" w:hAnsi="Times New Roman" w:cs="Times New Roman"/>
          <w:b/>
          <w:sz w:val="24"/>
          <w:szCs w:val="24"/>
          <w:lang w:eastAsia="ru-RU"/>
        </w:rPr>
        <w:t>Информация об исполнении государственной программы «Развитие образования Амурской области на 2014–2020 годы»</w:t>
      </w:r>
    </w:p>
    <w:p w:rsidR="008F689F" w:rsidRDefault="008F689F" w:rsidP="008F689F">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рублей</w:t>
      </w:r>
    </w:p>
    <w:tbl>
      <w:tblPr>
        <w:tblStyle w:val="a6"/>
        <w:tblW w:w="9419" w:type="dxa"/>
        <w:tblLook w:val="04A0" w:firstRow="1" w:lastRow="0" w:firstColumn="1" w:lastColumn="0" w:noHBand="0" w:noVBand="1"/>
      </w:tblPr>
      <w:tblGrid>
        <w:gridCol w:w="4258"/>
        <w:gridCol w:w="1338"/>
        <w:gridCol w:w="1421"/>
        <w:gridCol w:w="1099"/>
        <w:gridCol w:w="1303"/>
      </w:tblGrid>
      <w:tr w:rsidR="008F689F" w:rsidRPr="00FD729F" w:rsidTr="00D13E8E">
        <w:trPr>
          <w:trHeight w:val="824"/>
          <w:tblHeader/>
        </w:trPr>
        <w:tc>
          <w:tcPr>
            <w:tcW w:w="4361" w:type="dxa"/>
            <w:vAlign w:val="center"/>
          </w:tcPr>
          <w:p w:rsidR="008F689F" w:rsidRPr="00FD729F" w:rsidRDefault="008F689F" w:rsidP="00D13E8E">
            <w:pPr>
              <w:widowControl w:val="0"/>
              <w:autoSpaceDE w:val="0"/>
              <w:autoSpaceDN w:val="0"/>
              <w:adjustRightInd w:val="0"/>
              <w:jc w:val="center"/>
              <w:rPr>
                <w:b/>
                <w:bCs/>
                <w:sz w:val="22"/>
                <w:szCs w:val="22"/>
              </w:rPr>
            </w:pPr>
            <w:r w:rsidRPr="00FD729F">
              <w:rPr>
                <w:b/>
                <w:bCs/>
                <w:sz w:val="22"/>
                <w:szCs w:val="22"/>
              </w:rPr>
              <w:t>Наименование государственной программы/подпрограммы</w:t>
            </w:r>
          </w:p>
        </w:tc>
        <w:tc>
          <w:tcPr>
            <w:tcW w:w="1338" w:type="dxa"/>
            <w:noWrap/>
            <w:vAlign w:val="center"/>
          </w:tcPr>
          <w:p w:rsidR="008F689F" w:rsidRPr="00FD729F" w:rsidRDefault="008F689F" w:rsidP="00D13E8E">
            <w:pPr>
              <w:widowControl w:val="0"/>
              <w:autoSpaceDE w:val="0"/>
              <w:autoSpaceDN w:val="0"/>
              <w:adjustRightInd w:val="0"/>
              <w:jc w:val="center"/>
              <w:rPr>
                <w:b/>
                <w:bCs/>
                <w:sz w:val="22"/>
                <w:szCs w:val="22"/>
              </w:rPr>
            </w:pPr>
            <w:r w:rsidRPr="00FD729F">
              <w:rPr>
                <w:b/>
                <w:bCs/>
                <w:sz w:val="22"/>
                <w:szCs w:val="22"/>
              </w:rPr>
              <w:t>План</w:t>
            </w:r>
          </w:p>
        </w:tc>
        <w:tc>
          <w:tcPr>
            <w:tcW w:w="1359" w:type="dxa"/>
            <w:noWrap/>
            <w:vAlign w:val="center"/>
          </w:tcPr>
          <w:p w:rsidR="008F689F" w:rsidRPr="00FD729F" w:rsidRDefault="008F689F" w:rsidP="00D13E8E">
            <w:pPr>
              <w:widowControl w:val="0"/>
              <w:autoSpaceDE w:val="0"/>
              <w:autoSpaceDN w:val="0"/>
              <w:adjustRightInd w:val="0"/>
              <w:jc w:val="center"/>
              <w:rPr>
                <w:b/>
                <w:bCs/>
                <w:sz w:val="22"/>
                <w:szCs w:val="22"/>
              </w:rPr>
            </w:pPr>
            <w:r w:rsidRPr="00FD729F">
              <w:rPr>
                <w:b/>
                <w:bCs/>
                <w:sz w:val="22"/>
                <w:szCs w:val="22"/>
              </w:rPr>
              <w:t>Исполнение</w:t>
            </w:r>
          </w:p>
        </w:tc>
        <w:tc>
          <w:tcPr>
            <w:tcW w:w="1058" w:type="dxa"/>
            <w:noWrap/>
            <w:vAlign w:val="center"/>
          </w:tcPr>
          <w:p w:rsidR="008F689F" w:rsidRPr="00FD729F" w:rsidRDefault="008F689F" w:rsidP="00D13E8E">
            <w:pPr>
              <w:widowControl w:val="0"/>
              <w:autoSpaceDE w:val="0"/>
              <w:autoSpaceDN w:val="0"/>
              <w:adjustRightInd w:val="0"/>
              <w:jc w:val="center"/>
              <w:rPr>
                <w:b/>
                <w:bCs/>
                <w:sz w:val="22"/>
                <w:szCs w:val="22"/>
              </w:rPr>
            </w:pPr>
            <w:r w:rsidRPr="00FD729F">
              <w:rPr>
                <w:b/>
                <w:bCs/>
                <w:sz w:val="22"/>
                <w:szCs w:val="22"/>
              </w:rPr>
              <w:t>Уровень исполне-ния</w:t>
            </w:r>
          </w:p>
        </w:tc>
        <w:tc>
          <w:tcPr>
            <w:tcW w:w="1303" w:type="dxa"/>
            <w:noWrap/>
            <w:vAlign w:val="center"/>
          </w:tcPr>
          <w:p w:rsidR="008F689F" w:rsidRPr="00FD729F" w:rsidRDefault="008F689F" w:rsidP="00D13E8E">
            <w:pPr>
              <w:widowControl w:val="0"/>
              <w:autoSpaceDE w:val="0"/>
              <w:autoSpaceDN w:val="0"/>
              <w:adjustRightInd w:val="0"/>
              <w:jc w:val="center"/>
              <w:rPr>
                <w:b/>
                <w:bCs/>
                <w:sz w:val="22"/>
                <w:szCs w:val="22"/>
              </w:rPr>
            </w:pPr>
            <w:r w:rsidRPr="00FD729F">
              <w:rPr>
                <w:b/>
                <w:bCs/>
                <w:sz w:val="22"/>
                <w:szCs w:val="22"/>
              </w:rPr>
              <w:t>Не исполнено</w:t>
            </w:r>
          </w:p>
        </w:tc>
      </w:tr>
      <w:tr w:rsidR="008F689F" w:rsidRPr="00115724" w:rsidTr="00D13E8E">
        <w:trPr>
          <w:trHeight w:val="711"/>
        </w:trPr>
        <w:tc>
          <w:tcPr>
            <w:tcW w:w="4361" w:type="dxa"/>
            <w:hideMark/>
          </w:tcPr>
          <w:p w:rsidR="008F689F" w:rsidRPr="007D463A" w:rsidRDefault="008F689F" w:rsidP="00D13E8E">
            <w:pPr>
              <w:rPr>
                <w:b/>
                <w:sz w:val="22"/>
                <w:szCs w:val="22"/>
              </w:rPr>
            </w:pPr>
            <w:r w:rsidRPr="007D463A">
              <w:rPr>
                <w:b/>
                <w:sz w:val="22"/>
                <w:szCs w:val="22"/>
              </w:rPr>
              <w:t>Государственная программа «Развитие образования Амурской области на 2014 – 2020 годы»</w:t>
            </w:r>
          </w:p>
        </w:tc>
        <w:tc>
          <w:tcPr>
            <w:tcW w:w="1338" w:type="dxa"/>
            <w:noWrap/>
            <w:hideMark/>
          </w:tcPr>
          <w:p w:rsidR="008F689F" w:rsidRPr="007D463A" w:rsidRDefault="008F689F" w:rsidP="00D13E8E">
            <w:pPr>
              <w:jc w:val="right"/>
              <w:rPr>
                <w:b/>
                <w:sz w:val="22"/>
                <w:szCs w:val="22"/>
              </w:rPr>
            </w:pPr>
            <w:r w:rsidRPr="007D463A">
              <w:rPr>
                <w:b/>
                <w:sz w:val="22"/>
                <w:szCs w:val="22"/>
              </w:rPr>
              <w:t>8 504 195,2</w:t>
            </w:r>
          </w:p>
        </w:tc>
        <w:tc>
          <w:tcPr>
            <w:tcW w:w="1359" w:type="dxa"/>
            <w:noWrap/>
            <w:hideMark/>
          </w:tcPr>
          <w:p w:rsidR="008F689F" w:rsidRPr="007D463A" w:rsidRDefault="008F689F" w:rsidP="00D13E8E">
            <w:pPr>
              <w:jc w:val="right"/>
              <w:rPr>
                <w:b/>
                <w:sz w:val="22"/>
                <w:szCs w:val="22"/>
              </w:rPr>
            </w:pPr>
            <w:r w:rsidRPr="007D463A">
              <w:rPr>
                <w:b/>
                <w:sz w:val="22"/>
                <w:szCs w:val="22"/>
              </w:rPr>
              <w:t>8 435 965,5</w:t>
            </w:r>
          </w:p>
        </w:tc>
        <w:tc>
          <w:tcPr>
            <w:tcW w:w="1058" w:type="dxa"/>
            <w:noWrap/>
            <w:hideMark/>
          </w:tcPr>
          <w:p w:rsidR="008F689F" w:rsidRPr="007D463A" w:rsidRDefault="008F689F" w:rsidP="00D13E8E">
            <w:pPr>
              <w:jc w:val="right"/>
              <w:rPr>
                <w:b/>
                <w:sz w:val="22"/>
                <w:szCs w:val="22"/>
              </w:rPr>
            </w:pPr>
            <w:r w:rsidRPr="007D463A">
              <w:rPr>
                <w:b/>
                <w:sz w:val="22"/>
                <w:szCs w:val="22"/>
              </w:rPr>
              <w:t>99,2</w:t>
            </w:r>
          </w:p>
        </w:tc>
        <w:tc>
          <w:tcPr>
            <w:tcW w:w="1303" w:type="dxa"/>
            <w:noWrap/>
            <w:hideMark/>
          </w:tcPr>
          <w:p w:rsidR="008F689F" w:rsidRPr="007D463A" w:rsidRDefault="008F689F" w:rsidP="00D13E8E">
            <w:pPr>
              <w:jc w:val="right"/>
              <w:rPr>
                <w:b/>
                <w:sz w:val="22"/>
                <w:szCs w:val="22"/>
              </w:rPr>
            </w:pPr>
            <w:r w:rsidRPr="007D463A">
              <w:rPr>
                <w:b/>
                <w:sz w:val="22"/>
                <w:szCs w:val="22"/>
              </w:rPr>
              <w:t>68 229,7</w:t>
            </w:r>
          </w:p>
        </w:tc>
      </w:tr>
      <w:tr w:rsidR="008F689F" w:rsidRPr="00115724" w:rsidTr="00D13E8E">
        <w:trPr>
          <w:trHeight w:val="523"/>
        </w:trPr>
        <w:tc>
          <w:tcPr>
            <w:tcW w:w="4361" w:type="dxa"/>
            <w:hideMark/>
          </w:tcPr>
          <w:p w:rsidR="008F689F" w:rsidRPr="007D463A" w:rsidRDefault="008F689F" w:rsidP="00D13E8E">
            <w:pPr>
              <w:rPr>
                <w:sz w:val="22"/>
                <w:szCs w:val="22"/>
              </w:rPr>
            </w:pPr>
            <w:r w:rsidRPr="007D463A">
              <w:rPr>
                <w:sz w:val="22"/>
                <w:szCs w:val="22"/>
              </w:rPr>
              <w:t>Подпрограмма «Развитие профессионального образования»</w:t>
            </w:r>
          </w:p>
        </w:tc>
        <w:tc>
          <w:tcPr>
            <w:tcW w:w="1338" w:type="dxa"/>
            <w:noWrap/>
            <w:hideMark/>
          </w:tcPr>
          <w:p w:rsidR="008F689F" w:rsidRPr="007D463A" w:rsidRDefault="008F689F" w:rsidP="00D13E8E">
            <w:pPr>
              <w:jc w:val="right"/>
              <w:rPr>
                <w:sz w:val="22"/>
                <w:szCs w:val="22"/>
              </w:rPr>
            </w:pPr>
            <w:r w:rsidRPr="007D463A">
              <w:rPr>
                <w:sz w:val="22"/>
                <w:szCs w:val="22"/>
              </w:rPr>
              <w:t>1 226 112,4</w:t>
            </w:r>
          </w:p>
        </w:tc>
        <w:tc>
          <w:tcPr>
            <w:tcW w:w="1359" w:type="dxa"/>
            <w:noWrap/>
            <w:hideMark/>
          </w:tcPr>
          <w:p w:rsidR="008F689F" w:rsidRPr="007D463A" w:rsidRDefault="008F689F" w:rsidP="00D13E8E">
            <w:pPr>
              <w:jc w:val="right"/>
              <w:rPr>
                <w:sz w:val="22"/>
                <w:szCs w:val="22"/>
              </w:rPr>
            </w:pPr>
            <w:r w:rsidRPr="007D463A">
              <w:rPr>
                <w:sz w:val="22"/>
                <w:szCs w:val="22"/>
              </w:rPr>
              <w:t>1 193 504,7</w:t>
            </w:r>
          </w:p>
        </w:tc>
        <w:tc>
          <w:tcPr>
            <w:tcW w:w="1058" w:type="dxa"/>
            <w:noWrap/>
            <w:hideMark/>
          </w:tcPr>
          <w:p w:rsidR="008F689F" w:rsidRPr="007D463A" w:rsidRDefault="008F689F" w:rsidP="00D13E8E">
            <w:pPr>
              <w:jc w:val="right"/>
              <w:rPr>
                <w:sz w:val="22"/>
                <w:szCs w:val="22"/>
              </w:rPr>
            </w:pPr>
            <w:r w:rsidRPr="007D463A">
              <w:rPr>
                <w:sz w:val="22"/>
                <w:szCs w:val="22"/>
              </w:rPr>
              <w:t>97,3</w:t>
            </w:r>
          </w:p>
        </w:tc>
        <w:tc>
          <w:tcPr>
            <w:tcW w:w="1303" w:type="dxa"/>
            <w:noWrap/>
            <w:hideMark/>
          </w:tcPr>
          <w:p w:rsidR="008F689F" w:rsidRPr="007D463A" w:rsidRDefault="008F689F" w:rsidP="00D13E8E">
            <w:pPr>
              <w:jc w:val="right"/>
              <w:rPr>
                <w:sz w:val="22"/>
                <w:szCs w:val="22"/>
              </w:rPr>
            </w:pPr>
            <w:r w:rsidRPr="007D463A">
              <w:rPr>
                <w:sz w:val="22"/>
                <w:szCs w:val="22"/>
              </w:rPr>
              <w:t>32 607,7</w:t>
            </w:r>
          </w:p>
        </w:tc>
      </w:tr>
      <w:tr w:rsidR="008F689F" w:rsidRPr="00115724" w:rsidTr="00D13E8E">
        <w:trPr>
          <w:trHeight w:val="675"/>
        </w:trPr>
        <w:tc>
          <w:tcPr>
            <w:tcW w:w="4361" w:type="dxa"/>
            <w:hideMark/>
          </w:tcPr>
          <w:p w:rsidR="008F689F" w:rsidRPr="007D463A" w:rsidRDefault="008F689F" w:rsidP="00D13E8E">
            <w:pPr>
              <w:rPr>
                <w:sz w:val="22"/>
                <w:szCs w:val="22"/>
              </w:rPr>
            </w:pPr>
            <w:r w:rsidRPr="007D463A">
              <w:rPr>
                <w:sz w:val="22"/>
                <w:szCs w:val="22"/>
              </w:rPr>
              <w:lastRenderedPageBreak/>
              <w:t>Подпрограмма «Развитие дошкольного, общего и дополнительного образования детей»</w:t>
            </w:r>
          </w:p>
        </w:tc>
        <w:tc>
          <w:tcPr>
            <w:tcW w:w="1338" w:type="dxa"/>
            <w:noWrap/>
            <w:hideMark/>
          </w:tcPr>
          <w:p w:rsidR="008F689F" w:rsidRPr="007D463A" w:rsidRDefault="008F689F" w:rsidP="00D13E8E">
            <w:pPr>
              <w:jc w:val="right"/>
              <w:rPr>
                <w:sz w:val="22"/>
                <w:szCs w:val="22"/>
              </w:rPr>
            </w:pPr>
            <w:r w:rsidRPr="007D463A">
              <w:rPr>
                <w:sz w:val="22"/>
                <w:szCs w:val="22"/>
              </w:rPr>
              <w:t>6 826 521,0</w:t>
            </w:r>
          </w:p>
        </w:tc>
        <w:tc>
          <w:tcPr>
            <w:tcW w:w="1359" w:type="dxa"/>
            <w:noWrap/>
            <w:hideMark/>
          </w:tcPr>
          <w:p w:rsidR="008F689F" w:rsidRPr="007D463A" w:rsidRDefault="008F689F" w:rsidP="00D13E8E">
            <w:pPr>
              <w:jc w:val="right"/>
              <w:rPr>
                <w:sz w:val="22"/>
                <w:szCs w:val="22"/>
              </w:rPr>
            </w:pPr>
            <w:r w:rsidRPr="007D463A">
              <w:rPr>
                <w:sz w:val="22"/>
                <w:szCs w:val="22"/>
              </w:rPr>
              <w:t>6 795 447,5</w:t>
            </w:r>
          </w:p>
        </w:tc>
        <w:tc>
          <w:tcPr>
            <w:tcW w:w="1058" w:type="dxa"/>
            <w:noWrap/>
            <w:hideMark/>
          </w:tcPr>
          <w:p w:rsidR="008F689F" w:rsidRPr="007D463A" w:rsidRDefault="008F689F" w:rsidP="00D13E8E">
            <w:pPr>
              <w:jc w:val="right"/>
              <w:rPr>
                <w:sz w:val="22"/>
                <w:szCs w:val="22"/>
              </w:rPr>
            </w:pPr>
            <w:r w:rsidRPr="007D463A">
              <w:rPr>
                <w:sz w:val="22"/>
                <w:szCs w:val="22"/>
              </w:rPr>
              <w:t>99,5</w:t>
            </w:r>
          </w:p>
        </w:tc>
        <w:tc>
          <w:tcPr>
            <w:tcW w:w="1303" w:type="dxa"/>
            <w:noWrap/>
            <w:hideMark/>
          </w:tcPr>
          <w:p w:rsidR="008F689F" w:rsidRPr="007D463A" w:rsidRDefault="008F689F" w:rsidP="00D13E8E">
            <w:pPr>
              <w:jc w:val="right"/>
              <w:rPr>
                <w:sz w:val="22"/>
                <w:szCs w:val="22"/>
              </w:rPr>
            </w:pPr>
            <w:r w:rsidRPr="007D463A">
              <w:rPr>
                <w:sz w:val="22"/>
                <w:szCs w:val="22"/>
              </w:rPr>
              <w:t>31 073,5</w:t>
            </w:r>
          </w:p>
        </w:tc>
      </w:tr>
      <w:tr w:rsidR="008F689F" w:rsidRPr="00115724" w:rsidTr="00D13E8E">
        <w:trPr>
          <w:trHeight w:val="542"/>
        </w:trPr>
        <w:tc>
          <w:tcPr>
            <w:tcW w:w="4361" w:type="dxa"/>
            <w:hideMark/>
          </w:tcPr>
          <w:p w:rsidR="008F689F" w:rsidRPr="007D463A" w:rsidRDefault="008F689F" w:rsidP="00D13E8E">
            <w:pPr>
              <w:rPr>
                <w:sz w:val="22"/>
                <w:szCs w:val="22"/>
              </w:rPr>
            </w:pPr>
            <w:r w:rsidRPr="007D463A">
              <w:rPr>
                <w:sz w:val="22"/>
                <w:szCs w:val="22"/>
              </w:rPr>
              <w:t>Подпрограмма «Развитие системы защиты прав детей»</w:t>
            </w:r>
          </w:p>
        </w:tc>
        <w:tc>
          <w:tcPr>
            <w:tcW w:w="1338" w:type="dxa"/>
            <w:noWrap/>
            <w:hideMark/>
          </w:tcPr>
          <w:p w:rsidR="008F689F" w:rsidRPr="007D463A" w:rsidRDefault="008F689F" w:rsidP="00D13E8E">
            <w:pPr>
              <w:jc w:val="right"/>
              <w:rPr>
                <w:sz w:val="22"/>
                <w:szCs w:val="22"/>
              </w:rPr>
            </w:pPr>
            <w:r w:rsidRPr="007D463A">
              <w:rPr>
                <w:sz w:val="22"/>
                <w:szCs w:val="22"/>
              </w:rPr>
              <w:t>400 178,7</w:t>
            </w:r>
          </w:p>
        </w:tc>
        <w:tc>
          <w:tcPr>
            <w:tcW w:w="1359" w:type="dxa"/>
            <w:noWrap/>
            <w:hideMark/>
          </w:tcPr>
          <w:p w:rsidR="008F689F" w:rsidRPr="007D463A" w:rsidRDefault="008F689F" w:rsidP="00D13E8E">
            <w:pPr>
              <w:jc w:val="right"/>
              <w:rPr>
                <w:sz w:val="22"/>
                <w:szCs w:val="22"/>
              </w:rPr>
            </w:pPr>
            <w:r w:rsidRPr="007D463A">
              <w:rPr>
                <w:sz w:val="22"/>
                <w:szCs w:val="22"/>
              </w:rPr>
              <w:t>396 195,3</w:t>
            </w:r>
          </w:p>
        </w:tc>
        <w:tc>
          <w:tcPr>
            <w:tcW w:w="1058" w:type="dxa"/>
            <w:noWrap/>
            <w:hideMark/>
          </w:tcPr>
          <w:p w:rsidR="008F689F" w:rsidRPr="007D463A" w:rsidRDefault="008F689F" w:rsidP="00D13E8E">
            <w:pPr>
              <w:jc w:val="right"/>
              <w:rPr>
                <w:sz w:val="22"/>
                <w:szCs w:val="22"/>
              </w:rPr>
            </w:pPr>
            <w:r w:rsidRPr="007D463A">
              <w:rPr>
                <w:sz w:val="22"/>
                <w:szCs w:val="22"/>
              </w:rPr>
              <w:t>99,0</w:t>
            </w:r>
          </w:p>
        </w:tc>
        <w:tc>
          <w:tcPr>
            <w:tcW w:w="1303" w:type="dxa"/>
            <w:noWrap/>
            <w:hideMark/>
          </w:tcPr>
          <w:p w:rsidR="008F689F" w:rsidRPr="007D463A" w:rsidRDefault="008F689F" w:rsidP="00D13E8E">
            <w:pPr>
              <w:jc w:val="right"/>
              <w:rPr>
                <w:sz w:val="22"/>
                <w:szCs w:val="22"/>
              </w:rPr>
            </w:pPr>
            <w:r w:rsidRPr="007D463A">
              <w:rPr>
                <w:sz w:val="22"/>
                <w:szCs w:val="22"/>
              </w:rPr>
              <w:t>3 983,4</w:t>
            </w:r>
          </w:p>
        </w:tc>
      </w:tr>
      <w:tr w:rsidR="008F689F" w:rsidRPr="00115724" w:rsidTr="00D13E8E">
        <w:trPr>
          <w:trHeight w:val="542"/>
        </w:trPr>
        <w:tc>
          <w:tcPr>
            <w:tcW w:w="4361" w:type="dxa"/>
          </w:tcPr>
          <w:p w:rsidR="008F689F" w:rsidRPr="00BB6589" w:rsidRDefault="008F689F" w:rsidP="00D13E8E">
            <w:pPr>
              <w:rPr>
                <w:sz w:val="22"/>
                <w:szCs w:val="22"/>
              </w:rPr>
            </w:pPr>
            <w:r w:rsidRPr="00BB6589">
              <w:rPr>
                <w:sz w:val="22"/>
                <w:szCs w:val="22"/>
              </w:rPr>
              <w:t>Подпрограмма «Вовлечение молодежи в социальную практику»</w:t>
            </w:r>
          </w:p>
        </w:tc>
        <w:tc>
          <w:tcPr>
            <w:tcW w:w="1338" w:type="dxa"/>
            <w:noWrap/>
          </w:tcPr>
          <w:p w:rsidR="008F689F" w:rsidRPr="00BB6589" w:rsidRDefault="008F689F" w:rsidP="00D13E8E">
            <w:pPr>
              <w:jc w:val="right"/>
              <w:rPr>
                <w:sz w:val="22"/>
                <w:szCs w:val="22"/>
              </w:rPr>
            </w:pPr>
            <w:r w:rsidRPr="00BB6589">
              <w:rPr>
                <w:sz w:val="22"/>
                <w:szCs w:val="22"/>
              </w:rPr>
              <w:t>1512,0</w:t>
            </w:r>
          </w:p>
        </w:tc>
        <w:tc>
          <w:tcPr>
            <w:tcW w:w="1359" w:type="dxa"/>
            <w:noWrap/>
          </w:tcPr>
          <w:p w:rsidR="008F689F" w:rsidRPr="00BB6589" w:rsidRDefault="008F689F" w:rsidP="00D13E8E">
            <w:pPr>
              <w:jc w:val="right"/>
              <w:rPr>
                <w:sz w:val="22"/>
                <w:szCs w:val="22"/>
              </w:rPr>
            </w:pPr>
            <w:r w:rsidRPr="00BB6589">
              <w:rPr>
                <w:sz w:val="22"/>
                <w:szCs w:val="22"/>
              </w:rPr>
              <w:t>1418,6</w:t>
            </w:r>
          </w:p>
        </w:tc>
        <w:tc>
          <w:tcPr>
            <w:tcW w:w="1058" w:type="dxa"/>
            <w:noWrap/>
          </w:tcPr>
          <w:p w:rsidR="008F689F" w:rsidRPr="00BB6589" w:rsidRDefault="008F689F" w:rsidP="00D13E8E">
            <w:pPr>
              <w:jc w:val="right"/>
              <w:rPr>
                <w:sz w:val="22"/>
                <w:szCs w:val="22"/>
              </w:rPr>
            </w:pPr>
            <w:r w:rsidRPr="00BB6589">
              <w:rPr>
                <w:sz w:val="22"/>
                <w:szCs w:val="22"/>
              </w:rPr>
              <w:t>93,8</w:t>
            </w:r>
          </w:p>
        </w:tc>
        <w:tc>
          <w:tcPr>
            <w:tcW w:w="1303" w:type="dxa"/>
            <w:noWrap/>
          </w:tcPr>
          <w:p w:rsidR="008F689F" w:rsidRPr="00BB6589" w:rsidRDefault="008F689F" w:rsidP="00D13E8E">
            <w:pPr>
              <w:jc w:val="right"/>
              <w:rPr>
                <w:sz w:val="22"/>
                <w:szCs w:val="22"/>
              </w:rPr>
            </w:pPr>
            <w:r w:rsidRPr="00BB6589">
              <w:rPr>
                <w:sz w:val="22"/>
                <w:szCs w:val="22"/>
              </w:rPr>
              <w:t>93,4</w:t>
            </w:r>
          </w:p>
        </w:tc>
      </w:tr>
      <w:tr w:rsidR="008F689F" w:rsidRPr="00115724" w:rsidTr="00D13E8E">
        <w:trPr>
          <w:trHeight w:val="273"/>
        </w:trPr>
        <w:tc>
          <w:tcPr>
            <w:tcW w:w="4361" w:type="dxa"/>
            <w:hideMark/>
          </w:tcPr>
          <w:p w:rsidR="008F689F" w:rsidRPr="007D463A" w:rsidRDefault="008F689F" w:rsidP="00D13E8E">
            <w:pPr>
              <w:rPr>
                <w:sz w:val="22"/>
                <w:szCs w:val="22"/>
              </w:rPr>
            </w:pPr>
            <w:r w:rsidRPr="007D463A">
              <w:rPr>
                <w:sz w:val="22"/>
                <w:szCs w:val="22"/>
              </w:rPr>
              <w:t>Подпрограмма  «Обеспечение реализации государственной программы «Развитие образования Амурской области на 2014–2020 годы» и прочие мероприятия в области образования»</w:t>
            </w:r>
          </w:p>
        </w:tc>
        <w:tc>
          <w:tcPr>
            <w:tcW w:w="1338" w:type="dxa"/>
            <w:noWrap/>
            <w:hideMark/>
          </w:tcPr>
          <w:p w:rsidR="008F689F" w:rsidRPr="007D463A" w:rsidRDefault="008F689F" w:rsidP="00D13E8E">
            <w:pPr>
              <w:jc w:val="right"/>
              <w:rPr>
                <w:sz w:val="22"/>
                <w:szCs w:val="22"/>
              </w:rPr>
            </w:pPr>
            <w:r w:rsidRPr="007D463A">
              <w:rPr>
                <w:sz w:val="22"/>
                <w:szCs w:val="22"/>
              </w:rPr>
              <w:t>49 871,1</w:t>
            </w:r>
          </w:p>
        </w:tc>
        <w:tc>
          <w:tcPr>
            <w:tcW w:w="1359" w:type="dxa"/>
            <w:noWrap/>
            <w:hideMark/>
          </w:tcPr>
          <w:p w:rsidR="008F689F" w:rsidRPr="007D463A" w:rsidRDefault="008F689F" w:rsidP="00D13E8E">
            <w:pPr>
              <w:jc w:val="right"/>
              <w:rPr>
                <w:sz w:val="22"/>
                <w:szCs w:val="22"/>
              </w:rPr>
            </w:pPr>
            <w:r w:rsidRPr="007D463A">
              <w:rPr>
                <w:sz w:val="22"/>
                <w:szCs w:val="22"/>
              </w:rPr>
              <w:t>49 399,4</w:t>
            </w:r>
          </w:p>
        </w:tc>
        <w:tc>
          <w:tcPr>
            <w:tcW w:w="1058" w:type="dxa"/>
            <w:noWrap/>
            <w:hideMark/>
          </w:tcPr>
          <w:p w:rsidR="008F689F" w:rsidRPr="007D463A" w:rsidRDefault="008F689F" w:rsidP="00D13E8E">
            <w:pPr>
              <w:jc w:val="right"/>
              <w:rPr>
                <w:sz w:val="22"/>
                <w:szCs w:val="22"/>
              </w:rPr>
            </w:pPr>
            <w:r w:rsidRPr="007D463A">
              <w:rPr>
                <w:sz w:val="22"/>
                <w:szCs w:val="22"/>
              </w:rPr>
              <w:t>99,1</w:t>
            </w:r>
          </w:p>
        </w:tc>
        <w:tc>
          <w:tcPr>
            <w:tcW w:w="1303" w:type="dxa"/>
            <w:noWrap/>
            <w:hideMark/>
          </w:tcPr>
          <w:p w:rsidR="008F689F" w:rsidRPr="007D463A" w:rsidRDefault="008F689F" w:rsidP="00D13E8E">
            <w:pPr>
              <w:jc w:val="right"/>
              <w:rPr>
                <w:sz w:val="22"/>
                <w:szCs w:val="22"/>
              </w:rPr>
            </w:pPr>
            <w:r w:rsidRPr="007D463A">
              <w:rPr>
                <w:sz w:val="22"/>
                <w:szCs w:val="22"/>
              </w:rPr>
              <w:t>471,7</w:t>
            </w:r>
          </w:p>
        </w:tc>
      </w:tr>
    </w:tbl>
    <w:p w:rsidR="008F689F" w:rsidRDefault="008F689F" w:rsidP="008F689F">
      <w:pPr>
        <w:pStyle w:val="afa"/>
        <w:ind w:left="709"/>
        <w:rPr>
          <w:i/>
          <w:sz w:val="24"/>
          <w:szCs w:val="24"/>
        </w:rPr>
      </w:pPr>
    </w:p>
    <w:p w:rsidR="008F689F" w:rsidRPr="00BB6589" w:rsidRDefault="008F689F" w:rsidP="00F60552">
      <w:pPr>
        <w:pStyle w:val="afa"/>
        <w:numPr>
          <w:ilvl w:val="0"/>
          <w:numId w:val="7"/>
        </w:numPr>
        <w:ind w:left="0" w:firstLine="709"/>
        <w:rPr>
          <w:i/>
          <w:sz w:val="24"/>
          <w:szCs w:val="24"/>
        </w:rPr>
      </w:pPr>
      <w:r w:rsidRPr="00BB6589">
        <w:rPr>
          <w:i/>
          <w:sz w:val="24"/>
          <w:szCs w:val="24"/>
        </w:rPr>
        <w:t>Подпрограмма «Развитие профессионального образования»</w:t>
      </w:r>
    </w:p>
    <w:p w:rsidR="008F689F" w:rsidRPr="00BB6589" w:rsidRDefault="008F689F" w:rsidP="008F689F">
      <w:pPr>
        <w:spacing w:after="0" w:line="240" w:lineRule="auto"/>
        <w:ind w:firstLine="709"/>
        <w:jc w:val="both"/>
        <w:rPr>
          <w:rFonts w:ascii="Times New Roman" w:hAnsi="Times New Roman" w:cs="Times New Roman"/>
          <w:sz w:val="24"/>
          <w:szCs w:val="24"/>
        </w:rPr>
      </w:pPr>
      <w:r w:rsidRPr="00BB6589">
        <w:rPr>
          <w:rFonts w:ascii="Times New Roman" w:hAnsi="Times New Roman" w:cs="Times New Roman"/>
          <w:sz w:val="24"/>
          <w:szCs w:val="24"/>
        </w:rPr>
        <w:t xml:space="preserve">Бюджетные ассигнования по подпрограмме «Развитие профессионального образования» утверждены в расходах областного бюджета по целевой статье расходов 1210000 в сумме </w:t>
      </w:r>
      <w:r>
        <w:rPr>
          <w:rFonts w:ascii="Times New Roman" w:hAnsi="Times New Roman" w:cs="Times New Roman"/>
          <w:sz w:val="24"/>
          <w:szCs w:val="24"/>
        </w:rPr>
        <w:t>1226112,4</w:t>
      </w:r>
      <w:r w:rsidRPr="00BB6589">
        <w:rPr>
          <w:rFonts w:ascii="Times New Roman" w:hAnsi="Times New Roman" w:cs="Times New Roman"/>
          <w:sz w:val="24"/>
          <w:szCs w:val="24"/>
        </w:rPr>
        <w:t xml:space="preserve"> тыс. рублей. </w:t>
      </w:r>
    </w:p>
    <w:p w:rsidR="008F689F" w:rsidRPr="00BB6589" w:rsidRDefault="008F689F" w:rsidP="008F689F">
      <w:pPr>
        <w:spacing w:after="0" w:line="240" w:lineRule="auto"/>
        <w:ind w:firstLine="709"/>
        <w:jc w:val="both"/>
        <w:rPr>
          <w:rFonts w:ascii="Times New Roman" w:hAnsi="Times New Roman" w:cs="Times New Roman"/>
          <w:sz w:val="24"/>
          <w:szCs w:val="24"/>
        </w:rPr>
      </w:pPr>
      <w:r w:rsidRPr="00BB6589">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97,3 процента (объем неисполненных ассигнований составил 32607,7 тыс. рублей).</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 xml:space="preserve">Наибольшую долю объема расходов по данной подпрограмме составляют расходы на обеспечение деятельности (оказание услуг) государственных учреждений – </w:t>
      </w:r>
      <w:r w:rsidRPr="003C5B01">
        <w:rPr>
          <w:rFonts w:ascii="Times New Roman" w:hAnsi="Times New Roman" w:cs="Times New Roman"/>
          <w:sz w:val="24"/>
          <w:szCs w:val="24"/>
        </w:rPr>
        <w:br/>
        <w:t xml:space="preserve">98,3 процента. На данное мероприятие предусмотрено 1205627,6 тыс. рублей, исполнение составило 1173374,1 тыс. рублей, или 97,3 </w:t>
      </w:r>
      <w:r>
        <w:rPr>
          <w:rFonts w:ascii="Times New Roman" w:hAnsi="Times New Roman" w:cs="Times New Roman"/>
          <w:sz w:val="24"/>
          <w:szCs w:val="24"/>
        </w:rPr>
        <w:t>процента</w:t>
      </w:r>
      <w:r w:rsidRPr="003C5B01">
        <w:rPr>
          <w:rFonts w:ascii="Times New Roman" w:hAnsi="Times New Roman" w:cs="Times New Roman"/>
          <w:sz w:val="24"/>
          <w:szCs w:val="24"/>
        </w:rPr>
        <w:t>.</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Задачей данного программного мероприятия является обеспечение формирования и выполнения государственных заданий по предоставлению услуг на реализацию образовательных программ среднего профессионального образования, дополнительных профессиональных программ (подготовки, переподготовки, повышения квалификации работников государственных образовательных организаций и муниципальных образовательных организаций), а также предоставление государственным бюджетным и автономным организациям субсидий.</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Кроме того, в рамках подпрограммы реализовывались следующие программные мероприятия:</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w:t>
      </w:r>
      <w:r>
        <w:rPr>
          <w:rFonts w:ascii="Times New Roman" w:hAnsi="Times New Roman" w:cs="Times New Roman"/>
          <w:sz w:val="24"/>
          <w:szCs w:val="24"/>
        </w:rPr>
        <w:t>р</w:t>
      </w:r>
      <w:r w:rsidRPr="003C5B01">
        <w:rPr>
          <w:rFonts w:ascii="Times New Roman" w:hAnsi="Times New Roman" w:cs="Times New Roman"/>
          <w:sz w:val="24"/>
          <w:szCs w:val="24"/>
        </w:rPr>
        <w:t>азвитие кадрового потенциала системы дошкольного, общего, дополнительного и профессионального образования – план 228,0 тыс. рублей, исполнение 100,0 процентов</w:t>
      </w:r>
      <w:r w:rsidR="00B931FF">
        <w:rPr>
          <w:rFonts w:ascii="Times New Roman" w:hAnsi="Times New Roman" w:cs="Times New Roman"/>
          <w:sz w:val="24"/>
          <w:szCs w:val="24"/>
        </w:rPr>
        <w:t>, м</w:t>
      </w:r>
      <w:r w:rsidRPr="003C5B01">
        <w:rPr>
          <w:rFonts w:ascii="Times New Roman" w:hAnsi="Times New Roman" w:cs="Times New Roman"/>
          <w:sz w:val="24"/>
          <w:szCs w:val="24"/>
        </w:rPr>
        <w:t>ероприятие направлено на повышение социального престижа, привлекательности педагогической профессии и решение следующей задачи:</w:t>
      </w:r>
    </w:p>
    <w:p w:rsidR="008F689F" w:rsidRPr="003C5B01" w:rsidRDefault="00B931FF" w:rsidP="008F6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F689F" w:rsidRPr="003C5B01">
        <w:rPr>
          <w:rFonts w:ascii="Times New Roman" w:hAnsi="Times New Roman" w:cs="Times New Roman"/>
          <w:sz w:val="24"/>
          <w:szCs w:val="24"/>
        </w:rPr>
        <w:t>обновление состава и компетенции педагогических кадров, создание механизмов мотивации педагогов к повышению качества работы и непрерывному профессиональному развитию.</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В рамках данного мероприятия проводится работа по организации областных конкурсных мероприятий по выявлению и поддержке лучших работников образования, продви</w:t>
      </w:r>
      <w:r>
        <w:rPr>
          <w:rFonts w:ascii="Times New Roman" w:hAnsi="Times New Roman" w:cs="Times New Roman"/>
          <w:sz w:val="24"/>
          <w:szCs w:val="24"/>
        </w:rPr>
        <w:t>жению передовых идей и проектов;</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w:t>
      </w:r>
      <w:r>
        <w:rPr>
          <w:rFonts w:ascii="Times New Roman" w:hAnsi="Times New Roman" w:cs="Times New Roman"/>
          <w:sz w:val="24"/>
          <w:szCs w:val="24"/>
        </w:rPr>
        <w:t>д</w:t>
      </w:r>
      <w:r w:rsidRPr="003C5B01">
        <w:rPr>
          <w:rFonts w:ascii="Times New Roman" w:hAnsi="Times New Roman" w:cs="Times New Roman"/>
          <w:sz w:val="24"/>
          <w:szCs w:val="24"/>
        </w:rPr>
        <w:t>остижение в Амурской области стратегических ориентиров национальной образовательной инициативы «Наша новая школа» - план 4858,3 тыс. рублей, исполнение 100,0 процентов.</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Мероприятие проводится в рамках реализации национальной образовательной инициативы «Наша новая школа» и предусматривает следующие мероприятия:</w:t>
      </w:r>
    </w:p>
    <w:p w:rsidR="008F689F" w:rsidRPr="003C5B01" w:rsidRDefault="00FD729F" w:rsidP="008F6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F689F" w:rsidRPr="003C5B01">
        <w:rPr>
          <w:rFonts w:ascii="Times New Roman" w:hAnsi="Times New Roman" w:cs="Times New Roman"/>
          <w:sz w:val="24"/>
          <w:szCs w:val="24"/>
        </w:rPr>
        <w:t>создание условий для распространения моделей государственно-общественного управления образованием и поддержка программы развития регионально-муниципальных систем дошкольного образования;</w:t>
      </w:r>
    </w:p>
    <w:p w:rsidR="008F689F" w:rsidRPr="003C5B01" w:rsidRDefault="00FD729F" w:rsidP="008F6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8F689F" w:rsidRPr="003C5B01">
        <w:rPr>
          <w:rFonts w:ascii="Times New Roman" w:hAnsi="Times New Roman" w:cs="Times New Roman"/>
          <w:sz w:val="24"/>
          <w:szCs w:val="24"/>
        </w:rPr>
        <w:t>обучение и повышение квалификации педагогических и управленческих работников системы образования по государственно-общественному управлению образованием;</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-поощрение лучших учителей – план 2570,0 тыс. рублей, исполнение 2</w:t>
      </w:r>
      <w:r w:rsidR="00047382">
        <w:rPr>
          <w:rFonts w:ascii="Times New Roman" w:hAnsi="Times New Roman" w:cs="Times New Roman"/>
          <w:sz w:val="24"/>
          <w:szCs w:val="24"/>
        </w:rPr>
        <w:t>440,0</w:t>
      </w:r>
      <w:r w:rsidRPr="003C5B01">
        <w:rPr>
          <w:rFonts w:ascii="Times New Roman" w:hAnsi="Times New Roman" w:cs="Times New Roman"/>
          <w:sz w:val="24"/>
          <w:szCs w:val="24"/>
        </w:rPr>
        <w:t xml:space="preserve"> тыс. рублей, или 98,3 процента, в том числе:</w:t>
      </w:r>
    </w:p>
    <w:p w:rsidR="008F689F" w:rsidRPr="00FD729F" w:rsidRDefault="008F689F" w:rsidP="0014690C">
      <w:pPr>
        <w:pStyle w:val="afa"/>
        <w:numPr>
          <w:ilvl w:val="0"/>
          <w:numId w:val="44"/>
        </w:numPr>
        <w:tabs>
          <w:tab w:val="left" w:pos="993"/>
        </w:tabs>
        <w:ind w:left="0" w:firstLine="709"/>
        <w:jc w:val="both"/>
        <w:rPr>
          <w:sz w:val="24"/>
          <w:szCs w:val="24"/>
        </w:rPr>
      </w:pPr>
      <w:r w:rsidRPr="00FD729F">
        <w:rPr>
          <w:sz w:val="24"/>
          <w:szCs w:val="24"/>
        </w:rPr>
        <w:t>средства областного бюджета – план 1</w:t>
      </w:r>
      <w:r w:rsidR="00047382">
        <w:rPr>
          <w:sz w:val="24"/>
          <w:szCs w:val="24"/>
        </w:rPr>
        <w:t>170,0 тыс. рублей, исполнение 1040,0</w:t>
      </w:r>
      <w:r w:rsidRPr="00FD729F">
        <w:rPr>
          <w:sz w:val="24"/>
          <w:szCs w:val="24"/>
        </w:rPr>
        <w:t xml:space="preserve"> тыс. рублей, или 96,4 процента;</w:t>
      </w:r>
    </w:p>
    <w:p w:rsidR="008F689F" w:rsidRPr="00FD729F" w:rsidRDefault="008F689F" w:rsidP="0014690C">
      <w:pPr>
        <w:pStyle w:val="afa"/>
        <w:numPr>
          <w:ilvl w:val="0"/>
          <w:numId w:val="44"/>
        </w:numPr>
        <w:tabs>
          <w:tab w:val="left" w:pos="993"/>
        </w:tabs>
        <w:ind w:left="0" w:firstLine="709"/>
        <w:jc w:val="both"/>
        <w:rPr>
          <w:sz w:val="24"/>
          <w:szCs w:val="24"/>
        </w:rPr>
      </w:pPr>
      <w:r w:rsidRPr="00FD729F">
        <w:rPr>
          <w:sz w:val="24"/>
          <w:szCs w:val="24"/>
        </w:rPr>
        <w:t xml:space="preserve">средства федерального бюджета – план 1400,0 тыс. рублей, исполнение </w:t>
      </w:r>
      <w:r w:rsidRPr="00FD729F">
        <w:rPr>
          <w:sz w:val="24"/>
          <w:szCs w:val="24"/>
        </w:rPr>
        <w:br/>
        <w:t>100,0 процентов.</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Мероприятие направлено на повышение социального престижа и привлекательности педагогической профессии, а также решение такой задачи как обновление состава и компетенций педагогических кадров, создание механизмов мотивации педагогов к повышению качества работы и непрерыв</w:t>
      </w:r>
      <w:r>
        <w:rPr>
          <w:rFonts w:ascii="Times New Roman" w:hAnsi="Times New Roman" w:cs="Times New Roman"/>
          <w:sz w:val="24"/>
          <w:szCs w:val="24"/>
        </w:rPr>
        <w:t>ному профессиональному развитию;</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 xml:space="preserve">-обеспечение мер социальной поддержки работников государственных учреждений – план 812,4 тыс. рублей, исполнение 640,2 </w:t>
      </w:r>
      <w:r w:rsidR="00047382">
        <w:rPr>
          <w:rFonts w:ascii="Times New Roman" w:hAnsi="Times New Roman" w:cs="Times New Roman"/>
          <w:sz w:val="24"/>
          <w:szCs w:val="24"/>
        </w:rPr>
        <w:t>тыс. рублей, или 78,8 процента.</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В рамках мероприятия осуществляется выплата единовременного социального пособия, которое выплачивается:</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а) в сфере образования:</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выпускникам средних и высших учебных заведений при поступлении на работу в государственные образовательные организации на условиях трудового договора в год окончания учебного заведения;</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при высвобождении в связи с выходом на пенсию по старости или по инвалидности, приобретенной на производстве либо в результате профессионального заболевания (независимо от стажа работы);</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б) в сфере культуры:</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при выходе на пенсию по старости или по инвалидности, приобретенной на производстве или в результате профессионального заболевания (независимо от стажа работы);</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выпускникам средних и высших учебных заведений при поступлении в течение года после окончания учебного заведения на работу в государственные организации культуры и государственные образовательные организации в области культуры на условиях трудового договора.</w:t>
      </w:r>
    </w:p>
    <w:p w:rsidR="008F689F" w:rsidRPr="000D22FE" w:rsidRDefault="008F689F" w:rsidP="008F689F">
      <w:pPr>
        <w:spacing w:after="0" w:line="240" w:lineRule="auto"/>
        <w:ind w:firstLine="709"/>
        <w:jc w:val="both"/>
        <w:rPr>
          <w:rFonts w:ascii="Times New Roman" w:hAnsi="Times New Roman" w:cs="Times New Roman"/>
          <w:b/>
          <w:i/>
          <w:sz w:val="24"/>
          <w:szCs w:val="24"/>
        </w:rPr>
      </w:pPr>
      <w:r w:rsidRPr="000D22FE">
        <w:rPr>
          <w:rFonts w:ascii="Times New Roman" w:hAnsi="Times New Roman" w:cs="Times New Roman"/>
          <w:b/>
          <w:i/>
          <w:sz w:val="24"/>
          <w:szCs w:val="24"/>
        </w:rPr>
        <w:t>Кроме того, в 2015 году профинансированы расходы, плановые назначения по которым по данной подпрограмме утверждены сводной бюджетной росписью расходов областного бюджета, но государственной программой, как программное мероприятие, д</w:t>
      </w:r>
      <w:r w:rsidR="00FD729F">
        <w:rPr>
          <w:rFonts w:ascii="Times New Roman" w:hAnsi="Times New Roman" w:cs="Times New Roman"/>
          <w:b/>
          <w:i/>
          <w:sz w:val="24"/>
          <w:szCs w:val="24"/>
        </w:rPr>
        <w:t>анные расходы не предусмотрены:</w:t>
      </w:r>
    </w:p>
    <w:p w:rsidR="008F689F" w:rsidRPr="003C5B01" w:rsidRDefault="008F689F" w:rsidP="00FD729F">
      <w:pPr>
        <w:pStyle w:val="afa"/>
        <w:numPr>
          <w:ilvl w:val="0"/>
          <w:numId w:val="8"/>
        </w:numPr>
        <w:tabs>
          <w:tab w:val="left" w:pos="851"/>
        </w:tabs>
        <w:ind w:left="0" w:firstLine="709"/>
        <w:jc w:val="both"/>
        <w:rPr>
          <w:sz w:val="24"/>
          <w:szCs w:val="24"/>
        </w:rPr>
      </w:pPr>
      <w:r w:rsidRPr="003C5B01">
        <w:rPr>
          <w:sz w:val="24"/>
          <w:szCs w:val="24"/>
        </w:rPr>
        <w:t xml:space="preserve">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 план 680,0 тыс. рублей, исполнение </w:t>
      </w:r>
      <w:r w:rsidRPr="003C5B01">
        <w:rPr>
          <w:sz w:val="24"/>
          <w:szCs w:val="24"/>
        </w:rPr>
        <w:br/>
        <w:t>628,0 тыс. рублей, или 92,4 процента.</w:t>
      </w:r>
    </w:p>
    <w:p w:rsidR="008F689F" w:rsidRDefault="008F689F" w:rsidP="00FD729F">
      <w:pPr>
        <w:pStyle w:val="afa"/>
        <w:numPr>
          <w:ilvl w:val="0"/>
          <w:numId w:val="8"/>
        </w:numPr>
        <w:tabs>
          <w:tab w:val="left" w:pos="851"/>
        </w:tabs>
        <w:ind w:left="0" w:firstLine="709"/>
        <w:jc w:val="both"/>
        <w:rPr>
          <w:sz w:val="24"/>
          <w:szCs w:val="24"/>
        </w:rPr>
      </w:pPr>
      <w:r w:rsidRPr="003C5B01">
        <w:rPr>
          <w:sz w:val="24"/>
          <w:szCs w:val="24"/>
        </w:rPr>
        <w:t xml:space="preserve">Финансовое обеспечение мероприятий федеральной целевой программы развития образования на 2011-2015 годы – план 11336,0 тыс. рублей, исполнение </w:t>
      </w:r>
      <w:r>
        <w:rPr>
          <w:sz w:val="24"/>
          <w:szCs w:val="24"/>
        </w:rPr>
        <w:br/>
      </w:r>
      <w:r w:rsidRPr="003C5B01">
        <w:rPr>
          <w:sz w:val="24"/>
          <w:szCs w:val="24"/>
        </w:rPr>
        <w:t>100</w:t>
      </w:r>
      <w:r>
        <w:rPr>
          <w:sz w:val="24"/>
          <w:szCs w:val="24"/>
        </w:rPr>
        <w:t>,0</w:t>
      </w:r>
      <w:r w:rsidRPr="003C5B01">
        <w:rPr>
          <w:sz w:val="24"/>
          <w:szCs w:val="24"/>
        </w:rPr>
        <w:t xml:space="preserve"> процентов.</w:t>
      </w:r>
    </w:p>
    <w:p w:rsidR="008F689F" w:rsidRPr="003C5B01" w:rsidRDefault="008F689F" w:rsidP="00F60552">
      <w:pPr>
        <w:pStyle w:val="afa"/>
        <w:numPr>
          <w:ilvl w:val="0"/>
          <w:numId w:val="7"/>
        </w:numPr>
        <w:ind w:left="0" w:firstLine="709"/>
        <w:jc w:val="both"/>
        <w:rPr>
          <w:i/>
          <w:sz w:val="24"/>
          <w:szCs w:val="24"/>
        </w:rPr>
      </w:pPr>
      <w:r w:rsidRPr="003C5B01">
        <w:rPr>
          <w:i/>
          <w:sz w:val="24"/>
          <w:szCs w:val="24"/>
        </w:rPr>
        <w:t>Подпрограмма «Развитие дошкольного, общего и дополнительного образования детей»</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 xml:space="preserve">Бюджетные ассигнования по подпрограмме «Развитие дошкольного, общего и дополнительного образования детей» утверждены в расходах областного бюджета по целевой статье расходов 1220000 в сумме 6826521,0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r>
      <w:r w:rsidRPr="003C5B01">
        <w:rPr>
          <w:rFonts w:ascii="Times New Roman" w:hAnsi="Times New Roman" w:cs="Times New Roman"/>
          <w:sz w:val="24"/>
          <w:szCs w:val="24"/>
        </w:rPr>
        <w:t>80,3 процента.</w:t>
      </w:r>
    </w:p>
    <w:p w:rsidR="008F689F" w:rsidRPr="003C5B01" w:rsidRDefault="008F689F" w:rsidP="008F689F">
      <w:pPr>
        <w:spacing w:after="0" w:line="240" w:lineRule="auto"/>
        <w:ind w:firstLine="709"/>
        <w:jc w:val="both"/>
        <w:rPr>
          <w:rFonts w:ascii="Times New Roman" w:hAnsi="Times New Roman" w:cs="Times New Roman"/>
          <w:sz w:val="24"/>
          <w:szCs w:val="24"/>
        </w:rPr>
      </w:pPr>
      <w:r w:rsidRPr="003C5B01">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99,5 процента (объем неисполненных ассигнований составил 31073,5 тыс. рублей).</w:t>
      </w:r>
    </w:p>
    <w:p w:rsidR="008F689F" w:rsidRPr="00F15F84" w:rsidRDefault="008F689F" w:rsidP="008F689F">
      <w:pPr>
        <w:spacing w:after="0" w:line="240" w:lineRule="auto"/>
        <w:ind w:firstLine="709"/>
        <w:jc w:val="both"/>
        <w:rPr>
          <w:rFonts w:ascii="Times New Roman" w:hAnsi="Times New Roman" w:cs="Times New Roman"/>
          <w:sz w:val="24"/>
          <w:szCs w:val="24"/>
        </w:rPr>
      </w:pPr>
      <w:r w:rsidRPr="00F15F84">
        <w:rPr>
          <w:rFonts w:ascii="Times New Roman" w:hAnsi="Times New Roman" w:cs="Times New Roman"/>
          <w:sz w:val="24"/>
          <w:szCs w:val="24"/>
        </w:rPr>
        <w:lastRenderedPageBreak/>
        <w:t xml:space="preserve">Наибольшую долю в объеме расходов подпрограммы – </w:t>
      </w:r>
      <w:r>
        <w:rPr>
          <w:rFonts w:ascii="Times New Roman" w:hAnsi="Times New Roman" w:cs="Times New Roman"/>
          <w:sz w:val="24"/>
          <w:szCs w:val="24"/>
        </w:rPr>
        <w:t>84,7</w:t>
      </w:r>
      <w:r w:rsidRPr="00F15F84">
        <w:rPr>
          <w:rFonts w:ascii="Times New Roman" w:hAnsi="Times New Roman" w:cs="Times New Roman"/>
          <w:sz w:val="24"/>
          <w:szCs w:val="24"/>
        </w:rPr>
        <w:t xml:space="preserve"> процента составляют 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w:t>
      </w:r>
      <w:r w:rsidR="00FD729F">
        <w:rPr>
          <w:rFonts w:ascii="Times New Roman" w:hAnsi="Times New Roman" w:cs="Times New Roman"/>
          <w:sz w:val="24"/>
          <w:szCs w:val="24"/>
        </w:rPr>
        <w:t>же дополнительного образования.</w:t>
      </w:r>
    </w:p>
    <w:p w:rsidR="008F689F" w:rsidRPr="00F15F84" w:rsidRDefault="008F689F" w:rsidP="008F689F">
      <w:pPr>
        <w:spacing w:after="0" w:line="240" w:lineRule="auto"/>
        <w:ind w:firstLine="709"/>
        <w:jc w:val="both"/>
        <w:rPr>
          <w:rFonts w:ascii="Times New Roman" w:hAnsi="Times New Roman" w:cs="Times New Roman"/>
          <w:sz w:val="24"/>
          <w:szCs w:val="24"/>
        </w:rPr>
      </w:pPr>
      <w:r w:rsidRPr="00F15F84">
        <w:rPr>
          <w:rFonts w:ascii="Times New Roman" w:hAnsi="Times New Roman" w:cs="Times New Roman"/>
          <w:sz w:val="24"/>
          <w:szCs w:val="24"/>
        </w:rPr>
        <w:t>Данные расходы предусмотрены в форме межбюджетных трансфертов муниципальным образованиям области и субсидий частным организациям в общем объеме 5782866,9 тыс. рублей.</w:t>
      </w:r>
    </w:p>
    <w:p w:rsidR="008F689F" w:rsidRPr="00394916" w:rsidRDefault="008F689F" w:rsidP="008F689F">
      <w:pPr>
        <w:spacing w:after="0" w:line="240" w:lineRule="auto"/>
        <w:ind w:firstLine="709"/>
        <w:jc w:val="both"/>
        <w:rPr>
          <w:rFonts w:ascii="Times New Roman" w:hAnsi="Times New Roman" w:cs="Times New Roman"/>
          <w:sz w:val="24"/>
          <w:szCs w:val="24"/>
        </w:rPr>
      </w:pPr>
      <w:r w:rsidRPr="00394916">
        <w:rPr>
          <w:rFonts w:ascii="Times New Roman" w:hAnsi="Times New Roman" w:cs="Times New Roman"/>
          <w:sz w:val="24"/>
          <w:szCs w:val="24"/>
        </w:rPr>
        <w:t>Исполнение сложилось следующим образом:</w:t>
      </w:r>
    </w:p>
    <w:p w:rsidR="008F689F" w:rsidRPr="00394916" w:rsidRDefault="008F689F" w:rsidP="008F689F">
      <w:pPr>
        <w:spacing w:after="0" w:line="240" w:lineRule="auto"/>
        <w:ind w:firstLine="709"/>
        <w:jc w:val="both"/>
        <w:rPr>
          <w:rFonts w:ascii="Times New Roman" w:hAnsi="Times New Roman" w:cs="Times New Roman"/>
          <w:sz w:val="24"/>
          <w:szCs w:val="24"/>
        </w:rPr>
      </w:pPr>
      <w:r w:rsidRPr="00394916">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при плане 4360806,5 тыс. рублей исполнение составило 99,9 процента;</w:t>
      </w:r>
    </w:p>
    <w:p w:rsidR="008F689F" w:rsidRPr="00394916" w:rsidRDefault="008F689F" w:rsidP="008F689F">
      <w:pPr>
        <w:spacing w:after="0" w:line="240" w:lineRule="auto"/>
        <w:ind w:firstLine="709"/>
        <w:jc w:val="both"/>
        <w:rPr>
          <w:rFonts w:ascii="Times New Roman" w:hAnsi="Times New Roman" w:cs="Times New Roman"/>
          <w:sz w:val="24"/>
          <w:szCs w:val="24"/>
        </w:rPr>
      </w:pPr>
      <w:r w:rsidRPr="00394916">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при плане 1377250,3 тыс. рублей исполнение составило </w:t>
      </w:r>
      <w:r>
        <w:rPr>
          <w:rFonts w:ascii="Times New Roman" w:hAnsi="Times New Roman" w:cs="Times New Roman"/>
          <w:sz w:val="24"/>
          <w:szCs w:val="24"/>
        </w:rPr>
        <w:br/>
      </w:r>
      <w:r w:rsidRPr="00394916">
        <w:rPr>
          <w:rFonts w:ascii="Times New Roman" w:hAnsi="Times New Roman" w:cs="Times New Roman"/>
          <w:sz w:val="24"/>
          <w:szCs w:val="24"/>
        </w:rPr>
        <w:t>98,8 процента;</w:t>
      </w:r>
    </w:p>
    <w:p w:rsidR="008F689F" w:rsidRPr="00394916" w:rsidRDefault="008F689F" w:rsidP="008F689F">
      <w:pPr>
        <w:spacing w:after="0" w:line="240" w:lineRule="auto"/>
        <w:ind w:firstLine="709"/>
        <w:jc w:val="both"/>
        <w:rPr>
          <w:rFonts w:ascii="Times New Roman" w:hAnsi="Times New Roman" w:cs="Times New Roman"/>
          <w:sz w:val="24"/>
          <w:szCs w:val="24"/>
        </w:rPr>
      </w:pPr>
      <w:r w:rsidRPr="00394916">
        <w:rPr>
          <w:rFonts w:ascii="Times New Roman" w:hAnsi="Times New Roman" w:cs="Times New Roman"/>
          <w:sz w:val="24"/>
          <w:szCs w:val="24"/>
        </w:rPr>
        <w:t>-финансовое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 при плане 22752,5 тыс. рублей, исполнение составило 100,0 процентов;</w:t>
      </w:r>
    </w:p>
    <w:p w:rsidR="008F689F" w:rsidRPr="00394916" w:rsidRDefault="008F689F" w:rsidP="008F689F">
      <w:pPr>
        <w:spacing w:after="0" w:line="240" w:lineRule="auto"/>
        <w:ind w:firstLine="709"/>
        <w:jc w:val="both"/>
        <w:rPr>
          <w:rFonts w:ascii="Times New Roman" w:hAnsi="Times New Roman" w:cs="Times New Roman"/>
          <w:sz w:val="24"/>
          <w:szCs w:val="24"/>
        </w:rPr>
      </w:pPr>
      <w:r w:rsidRPr="00394916">
        <w:rPr>
          <w:rFonts w:ascii="Times New Roman" w:hAnsi="Times New Roman" w:cs="Times New Roman"/>
          <w:sz w:val="24"/>
          <w:szCs w:val="24"/>
        </w:rPr>
        <w:t>-финансовое обеспечение получения дошкольного образования в частных дошкольных образовательных организациях – при плане 22057,6 тыс. рублей исполнение составило 100,0 процентов.</w:t>
      </w:r>
    </w:p>
    <w:p w:rsidR="008F689F" w:rsidRPr="000938DD" w:rsidRDefault="008F689F" w:rsidP="008F689F">
      <w:pPr>
        <w:spacing w:after="0" w:line="240" w:lineRule="auto"/>
        <w:ind w:firstLine="709"/>
        <w:jc w:val="both"/>
        <w:rPr>
          <w:rFonts w:ascii="Times New Roman" w:hAnsi="Times New Roman" w:cs="Times New Roman"/>
          <w:sz w:val="24"/>
          <w:szCs w:val="24"/>
        </w:rPr>
      </w:pPr>
      <w:r w:rsidRPr="000938DD">
        <w:rPr>
          <w:rFonts w:ascii="Times New Roman" w:hAnsi="Times New Roman" w:cs="Times New Roman"/>
          <w:sz w:val="24"/>
          <w:szCs w:val="24"/>
        </w:rPr>
        <w:t>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муниципальным образованиям области направлены межбюджетные трансферты в сумме 239458,4 тыс. рублей, или 99,1 процента плана.</w:t>
      </w:r>
    </w:p>
    <w:p w:rsidR="008F689F" w:rsidRPr="000938DD" w:rsidRDefault="008F689F" w:rsidP="008F689F">
      <w:pPr>
        <w:spacing w:after="0" w:line="240" w:lineRule="auto"/>
        <w:ind w:firstLine="709"/>
        <w:jc w:val="both"/>
        <w:rPr>
          <w:rFonts w:ascii="Times New Roman" w:hAnsi="Times New Roman" w:cs="Times New Roman"/>
          <w:sz w:val="24"/>
          <w:szCs w:val="24"/>
        </w:rPr>
      </w:pPr>
      <w:r w:rsidRPr="000938DD">
        <w:rPr>
          <w:rFonts w:ascii="Times New Roman" w:hAnsi="Times New Roman" w:cs="Times New Roman"/>
          <w:sz w:val="24"/>
          <w:szCs w:val="24"/>
        </w:rPr>
        <w:t>На реализацию мероприятия «Модернизация региональных систем дошкольного образования» направлено 102146,3 тыс. рублей, или 100 процентов плана, в том числе:</w:t>
      </w:r>
    </w:p>
    <w:p w:rsidR="008F689F" w:rsidRPr="000938DD" w:rsidRDefault="008F689F" w:rsidP="008F689F">
      <w:pPr>
        <w:spacing w:after="0" w:line="240" w:lineRule="auto"/>
        <w:ind w:firstLine="709"/>
        <w:jc w:val="both"/>
        <w:rPr>
          <w:rFonts w:ascii="Times New Roman" w:hAnsi="Times New Roman" w:cs="Times New Roman"/>
          <w:sz w:val="24"/>
          <w:szCs w:val="24"/>
        </w:rPr>
      </w:pPr>
      <w:r w:rsidRPr="000938DD">
        <w:rPr>
          <w:rFonts w:ascii="Times New Roman" w:hAnsi="Times New Roman" w:cs="Times New Roman"/>
          <w:sz w:val="24"/>
          <w:szCs w:val="24"/>
        </w:rPr>
        <w:t>за счет средств областного бюджета – 30643,9,0 тыс. рублей;</w:t>
      </w:r>
    </w:p>
    <w:p w:rsidR="008F689F" w:rsidRPr="000938DD" w:rsidRDefault="008F689F" w:rsidP="008F689F">
      <w:pPr>
        <w:spacing w:after="0" w:line="240" w:lineRule="auto"/>
        <w:ind w:firstLine="709"/>
        <w:jc w:val="both"/>
        <w:rPr>
          <w:rFonts w:ascii="Times New Roman" w:hAnsi="Times New Roman" w:cs="Times New Roman"/>
          <w:sz w:val="24"/>
          <w:szCs w:val="24"/>
        </w:rPr>
      </w:pPr>
      <w:r w:rsidRPr="000938DD">
        <w:rPr>
          <w:rFonts w:ascii="Times New Roman" w:hAnsi="Times New Roman" w:cs="Times New Roman"/>
          <w:sz w:val="24"/>
          <w:szCs w:val="24"/>
        </w:rPr>
        <w:t>за счет средств федерального</w:t>
      </w:r>
      <w:r w:rsidR="00FD729F">
        <w:rPr>
          <w:rFonts w:ascii="Times New Roman" w:hAnsi="Times New Roman" w:cs="Times New Roman"/>
          <w:sz w:val="24"/>
          <w:szCs w:val="24"/>
        </w:rPr>
        <w:t xml:space="preserve"> бюджета – 71502,4 тыс. рублей.</w:t>
      </w:r>
    </w:p>
    <w:p w:rsidR="008F689F" w:rsidRPr="000938DD" w:rsidRDefault="008F689F" w:rsidP="008F689F">
      <w:pPr>
        <w:spacing w:after="0" w:line="240" w:lineRule="auto"/>
        <w:ind w:firstLine="709"/>
        <w:jc w:val="both"/>
        <w:rPr>
          <w:rFonts w:ascii="Times New Roman" w:hAnsi="Times New Roman" w:cs="Times New Roman"/>
          <w:sz w:val="24"/>
          <w:szCs w:val="24"/>
        </w:rPr>
      </w:pPr>
      <w:r w:rsidRPr="000938DD">
        <w:rPr>
          <w:rFonts w:ascii="Times New Roman" w:hAnsi="Times New Roman" w:cs="Times New Roman"/>
          <w:sz w:val="24"/>
          <w:szCs w:val="24"/>
        </w:rPr>
        <w:t>На реализацию мероприятий федеральной целевой программы «Культура России (2012-2018 годы)» по подпрограмме предусмотрено 4258,7 тыс. рублей, которые исполнены в полном об</w:t>
      </w:r>
      <w:r w:rsidR="00FD729F">
        <w:rPr>
          <w:rFonts w:ascii="Times New Roman" w:hAnsi="Times New Roman" w:cs="Times New Roman"/>
          <w:sz w:val="24"/>
          <w:szCs w:val="24"/>
        </w:rPr>
        <w:t>ъеме 100,0 процентов.</w:t>
      </w:r>
    </w:p>
    <w:p w:rsidR="008F689F" w:rsidRPr="000938DD" w:rsidRDefault="008F689F" w:rsidP="008F689F">
      <w:pPr>
        <w:spacing w:after="0" w:line="240" w:lineRule="auto"/>
        <w:ind w:firstLine="709"/>
        <w:jc w:val="both"/>
        <w:rPr>
          <w:rFonts w:ascii="Times New Roman" w:hAnsi="Times New Roman" w:cs="Times New Roman"/>
          <w:sz w:val="24"/>
          <w:szCs w:val="24"/>
        </w:rPr>
      </w:pPr>
      <w:r w:rsidRPr="000938DD">
        <w:rPr>
          <w:rFonts w:ascii="Times New Roman" w:hAnsi="Times New Roman" w:cs="Times New Roman"/>
          <w:sz w:val="24"/>
          <w:szCs w:val="24"/>
        </w:rPr>
        <w:t xml:space="preserve">Программное мероприятие «Расходы на обеспечение деятельности (оказание услуг) государственных учреждений» при плановых показателях 637462,1 тыс. рублей, исполнены в сумме 629056,6 </w:t>
      </w:r>
      <w:r w:rsidR="00FD729F">
        <w:rPr>
          <w:rFonts w:ascii="Times New Roman" w:hAnsi="Times New Roman" w:cs="Times New Roman"/>
          <w:sz w:val="24"/>
          <w:szCs w:val="24"/>
        </w:rPr>
        <w:t>тыс. рублей, или 98,7 процента.</w:t>
      </w:r>
    </w:p>
    <w:p w:rsidR="008F689F" w:rsidRPr="00A97F9F" w:rsidRDefault="008F689F" w:rsidP="008F689F">
      <w:pPr>
        <w:spacing w:after="0" w:line="240" w:lineRule="auto"/>
        <w:ind w:firstLine="709"/>
        <w:jc w:val="both"/>
        <w:rPr>
          <w:rFonts w:ascii="Times New Roman" w:hAnsi="Times New Roman" w:cs="Times New Roman"/>
          <w:sz w:val="24"/>
          <w:szCs w:val="24"/>
        </w:rPr>
      </w:pPr>
      <w:r w:rsidRPr="00A97F9F">
        <w:rPr>
          <w:rFonts w:ascii="Times New Roman" w:hAnsi="Times New Roman" w:cs="Times New Roman"/>
          <w:sz w:val="24"/>
          <w:szCs w:val="24"/>
        </w:rPr>
        <w:t>В полном объеме профинансировано мероприятие «Создание в общеобразовательных организациях, расположенных в сельской местности, условий для занятий физической культурой и спортом», в том числе:</w:t>
      </w:r>
    </w:p>
    <w:p w:rsidR="008F689F" w:rsidRPr="00A97F9F" w:rsidRDefault="008F689F" w:rsidP="008F689F">
      <w:pPr>
        <w:spacing w:after="0" w:line="240" w:lineRule="auto"/>
        <w:ind w:firstLine="709"/>
        <w:jc w:val="both"/>
        <w:rPr>
          <w:rFonts w:ascii="Times New Roman" w:hAnsi="Times New Roman" w:cs="Times New Roman"/>
          <w:sz w:val="24"/>
          <w:szCs w:val="24"/>
        </w:rPr>
      </w:pPr>
      <w:r w:rsidRPr="00A97F9F">
        <w:rPr>
          <w:rFonts w:ascii="Times New Roman" w:hAnsi="Times New Roman" w:cs="Times New Roman"/>
          <w:sz w:val="24"/>
          <w:szCs w:val="24"/>
        </w:rPr>
        <w:t>за счет средств областного бюджета в сумме 8500,0тыс. рублей;</w:t>
      </w:r>
    </w:p>
    <w:p w:rsidR="008F689F" w:rsidRPr="00A97F9F" w:rsidRDefault="008F689F" w:rsidP="008F689F">
      <w:pPr>
        <w:spacing w:after="0" w:line="240" w:lineRule="auto"/>
        <w:ind w:firstLine="709"/>
        <w:jc w:val="both"/>
        <w:rPr>
          <w:rFonts w:ascii="Times New Roman" w:hAnsi="Times New Roman" w:cs="Times New Roman"/>
          <w:sz w:val="24"/>
          <w:szCs w:val="24"/>
        </w:rPr>
      </w:pPr>
      <w:r w:rsidRPr="00A97F9F">
        <w:rPr>
          <w:rFonts w:ascii="Times New Roman" w:hAnsi="Times New Roman" w:cs="Times New Roman"/>
          <w:sz w:val="24"/>
          <w:szCs w:val="24"/>
        </w:rPr>
        <w:t>за счет средств федерального бюдже</w:t>
      </w:r>
      <w:r w:rsidR="00FD729F">
        <w:rPr>
          <w:rFonts w:ascii="Times New Roman" w:hAnsi="Times New Roman" w:cs="Times New Roman"/>
          <w:sz w:val="24"/>
          <w:szCs w:val="24"/>
        </w:rPr>
        <w:t>та в сумме 27768,7 тыс. рублей.</w:t>
      </w:r>
    </w:p>
    <w:p w:rsidR="008F689F" w:rsidRPr="00A97F9F" w:rsidRDefault="008F689F" w:rsidP="00F60552">
      <w:pPr>
        <w:pStyle w:val="afa"/>
        <w:numPr>
          <w:ilvl w:val="0"/>
          <w:numId w:val="7"/>
        </w:numPr>
        <w:ind w:left="0" w:firstLine="709"/>
        <w:jc w:val="both"/>
        <w:rPr>
          <w:i/>
          <w:sz w:val="24"/>
          <w:szCs w:val="24"/>
        </w:rPr>
      </w:pPr>
      <w:r w:rsidRPr="00A97F9F">
        <w:rPr>
          <w:i/>
          <w:sz w:val="24"/>
          <w:szCs w:val="24"/>
        </w:rPr>
        <w:t>Подпрограмма «Развитие системы защиты прав детей»</w:t>
      </w:r>
    </w:p>
    <w:p w:rsidR="008F689F" w:rsidRPr="00A97F9F" w:rsidRDefault="008F689F" w:rsidP="008F689F">
      <w:pPr>
        <w:spacing w:after="0" w:line="240" w:lineRule="auto"/>
        <w:ind w:firstLine="709"/>
        <w:jc w:val="both"/>
        <w:rPr>
          <w:rFonts w:ascii="Times New Roman" w:hAnsi="Times New Roman" w:cs="Times New Roman"/>
          <w:sz w:val="24"/>
          <w:szCs w:val="24"/>
        </w:rPr>
      </w:pPr>
      <w:r w:rsidRPr="00A97F9F">
        <w:rPr>
          <w:rFonts w:ascii="Times New Roman" w:hAnsi="Times New Roman" w:cs="Times New Roman"/>
          <w:sz w:val="24"/>
          <w:szCs w:val="24"/>
        </w:rPr>
        <w:t>Бюджетные ассигнования по подпрограмме «Развитие системы защиты прав детей» утверждены в расходах областного бюджета по целевой статье расходов 1230000 в сумме 400178,7 тыс. рублей.</w:t>
      </w:r>
    </w:p>
    <w:p w:rsidR="008F689F" w:rsidRPr="00A97F9F" w:rsidRDefault="008F689F" w:rsidP="008F689F">
      <w:pPr>
        <w:spacing w:after="0" w:line="240" w:lineRule="auto"/>
        <w:ind w:firstLine="709"/>
        <w:jc w:val="both"/>
        <w:rPr>
          <w:rFonts w:ascii="Times New Roman" w:hAnsi="Times New Roman" w:cs="Times New Roman"/>
          <w:sz w:val="24"/>
          <w:szCs w:val="24"/>
        </w:rPr>
      </w:pPr>
      <w:r w:rsidRPr="00A97F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99,0 процентов (объем неисполненных ассигнований составил 3983,4 тыс. рублей).</w:t>
      </w:r>
    </w:p>
    <w:p w:rsidR="008F689F" w:rsidRPr="00A97F9F" w:rsidRDefault="008F689F" w:rsidP="008F689F">
      <w:pPr>
        <w:spacing w:after="0" w:line="240" w:lineRule="auto"/>
        <w:ind w:firstLine="709"/>
        <w:jc w:val="both"/>
        <w:rPr>
          <w:rFonts w:ascii="Times New Roman" w:hAnsi="Times New Roman" w:cs="Times New Roman"/>
          <w:sz w:val="24"/>
          <w:szCs w:val="24"/>
        </w:rPr>
      </w:pPr>
      <w:r w:rsidRPr="00A97F9F">
        <w:rPr>
          <w:rFonts w:ascii="Times New Roman" w:hAnsi="Times New Roman" w:cs="Times New Roman"/>
          <w:sz w:val="24"/>
          <w:szCs w:val="24"/>
        </w:rPr>
        <w:t>В рамках данной подпрограммы исключительно за счет средств областного бюджета осуществлялось финансирование следующих мероприятий:</w:t>
      </w:r>
    </w:p>
    <w:p w:rsidR="008F689F" w:rsidRDefault="008F689F" w:rsidP="008F689F">
      <w:pPr>
        <w:spacing w:after="0" w:line="240" w:lineRule="auto"/>
        <w:ind w:firstLine="709"/>
        <w:jc w:val="both"/>
        <w:rPr>
          <w:rFonts w:ascii="Times New Roman" w:hAnsi="Times New Roman" w:cs="Times New Roman"/>
          <w:sz w:val="24"/>
          <w:szCs w:val="24"/>
        </w:rPr>
      </w:pPr>
      <w:r w:rsidRPr="00A97F9F">
        <w:rPr>
          <w:rFonts w:ascii="Times New Roman" w:hAnsi="Times New Roman" w:cs="Times New Roman"/>
          <w:sz w:val="24"/>
          <w:szCs w:val="24"/>
        </w:rPr>
        <w:lastRenderedPageBreak/>
        <w:t>-организация и проведение областных профильных смен в сумме 10761,5 тыс. рублей, или 88,4 процента</w:t>
      </w:r>
      <w:r>
        <w:rPr>
          <w:rFonts w:ascii="Times New Roman" w:hAnsi="Times New Roman" w:cs="Times New Roman"/>
          <w:sz w:val="24"/>
          <w:szCs w:val="24"/>
        </w:rPr>
        <w:t xml:space="preserve"> плана</w:t>
      </w:r>
      <w:r w:rsidRPr="00A97F9F">
        <w:rPr>
          <w:rFonts w:ascii="Times New Roman" w:hAnsi="Times New Roman" w:cs="Times New Roman"/>
          <w:sz w:val="24"/>
          <w:szCs w:val="24"/>
        </w:rPr>
        <w:t>;</w:t>
      </w:r>
    </w:p>
    <w:p w:rsidR="008F689F" w:rsidRPr="00A97F9F" w:rsidRDefault="008F689F" w:rsidP="008F6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-мероприятия по проведению оздоровительной кампании детей </w:t>
      </w:r>
      <w:r w:rsidRPr="00A97F9F">
        <w:rPr>
          <w:rFonts w:ascii="Times New Roman" w:hAnsi="Times New Roman" w:cs="Times New Roman"/>
          <w:sz w:val="24"/>
          <w:szCs w:val="24"/>
        </w:rPr>
        <w:t xml:space="preserve">в сумме </w:t>
      </w:r>
      <w:r>
        <w:rPr>
          <w:rFonts w:ascii="Times New Roman" w:hAnsi="Times New Roman" w:cs="Times New Roman"/>
          <w:sz w:val="24"/>
          <w:szCs w:val="24"/>
        </w:rPr>
        <w:t>99573,0</w:t>
      </w:r>
      <w:r w:rsidRPr="00A97F9F">
        <w:rPr>
          <w:rFonts w:ascii="Times New Roman" w:hAnsi="Times New Roman" w:cs="Times New Roman"/>
          <w:sz w:val="24"/>
          <w:szCs w:val="24"/>
        </w:rPr>
        <w:t xml:space="preserve"> тыс. рублей, или </w:t>
      </w:r>
      <w:r>
        <w:rPr>
          <w:rFonts w:ascii="Times New Roman" w:hAnsi="Times New Roman" w:cs="Times New Roman"/>
          <w:sz w:val="24"/>
          <w:szCs w:val="24"/>
        </w:rPr>
        <w:t xml:space="preserve">99,8 </w:t>
      </w:r>
      <w:r w:rsidRPr="00A97F9F">
        <w:rPr>
          <w:rFonts w:ascii="Times New Roman" w:hAnsi="Times New Roman" w:cs="Times New Roman"/>
          <w:sz w:val="24"/>
          <w:szCs w:val="24"/>
        </w:rPr>
        <w:t>процента</w:t>
      </w:r>
      <w:r>
        <w:rPr>
          <w:rFonts w:ascii="Times New Roman" w:hAnsi="Times New Roman" w:cs="Times New Roman"/>
          <w:sz w:val="24"/>
          <w:szCs w:val="24"/>
        </w:rPr>
        <w:t xml:space="preserve"> плана</w:t>
      </w:r>
      <w:r w:rsidRPr="00A97F9F">
        <w:rPr>
          <w:rFonts w:ascii="Times New Roman" w:hAnsi="Times New Roman" w:cs="Times New Roman"/>
          <w:sz w:val="24"/>
          <w:szCs w:val="24"/>
        </w:rPr>
        <w:t>;</w:t>
      </w:r>
    </w:p>
    <w:p w:rsidR="008F689F" w:rsidRPr="00A97F9F" w:rsidRDefault="008F689F" w:rsidP="008F689F">
      <w:pPr>
        <w:spacing w:after="0" w:line="240" w:lineRule="auto"/>
        <w:ind w:firstLine="709"/>
        <w:jc w:val="both"/>
        <w:rPr>
          <w:rFonts w:ascii="Times New Roman" w:hAnsi="Times New Roman" w:cs="Times New Roman"/>
          <w:sz w:val="24"/>
          <w:szCs w:val="24"/>
        </w:rPr>
      </w:pPr>
      <w:r w:rsidRPr="00A97F9F">
        <w:rPr>
          <w:rFonts w:ascii="Times New Roman" w:hAnsi="Times New Roman" w:cs="Times New Roman"/>
          <w:sz w:val="24"/>
          <w:szCs w:val="24"/>
        </w:rP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организациях профессионального образования в сумме 225340,2 тыс. рублей, или 96,2 процента плана;</w:t>
      </w:r>
    </w:p>
    <w:p w:rsidR="008F689F" w:rsidRPr="00A97F9F" w:rsidRDefault="008F689F" w:rsidP="008F689F">
      <w:pPr>
        <w:spacing w:after="0" w:line="240" w:lineRule="auto"/>
        <w:ind w:firstLine="709"/>
        <w:jc w:val="both"/>
        <w:rPr>
          <w:rFonts w:ascii="Times New Roman" w:hAnsi="Times New Roman" w:cs="Times New Roman"/>
          <w:sz w:val="24"/>
          <w:szCs w:val="24"/>
        </w:rPr>
      </w:pPr>
      <w:r w:rsidRPr="00A97F9F">
        <w:rPr>
          <w:rFonts w:ascii="Times New Roman" w:hAnsi="Times New Roman" w:cs="Times New Roman"/>
          <w:sz w:val="24"/>
          <w:szCs w:val="24"/>
        </w:rPr>
        <w:t>-организация деятельности комиссий по делам несовершеннолетних и защите их прав в сумме 19665,7 тыс. рублей, или 95,0 процентов плана. По данному мероприятию предусмотрено предоставление субвенций бюджетам муниципальных образований для осуществления полномочий по реализации Закона Амурской области «О комиссиях по делам несовершеннолетних и защите их прав» от 14 декабря 2005 г. № 103-ОЗ;</w:t>
      </w:r>
    </w:p>
    <w:p w:rsidR="008F689F" w:rsidRPr="00A97F9F" w:rsidRDefault="008F689F" w:rsidP="008F689F">
      <w:pPr>
        <w:spacing w:after="0" w:line="240" w:lineRule="auto"/>
        <w:ind w:firstLine="709"/>
        <w:jc w:val="both"/>
        <w:rPr>
          <w:rFonts w:ascii="Times New Roman" w:hAnsi="Times New Roman" w:cs="Times New Roman"/>
          <w:sz w:val="24"/>
          <w:szCs w:val="24"/>
        </w:rPr>
      </w:pPr>
      <w:r w:rsidRPr="00A97F9F">
        <w:rPr>
          <w:rFonts w:ascii="Times New Roman" w:hAnsi="Times New Roman" w:cs="Times New Roman"/>
          <w:sz w:val="24"/>
          <w:szCs w:val="24"/>
        </w:rPr>
        <w:t xml:space="preserve">-частичная оплата стоимости путевок для детей работающих граждан в организации отдыха и оздоровления детей в каникулярное время путем предоставления субсидии муниципальным образованиям в сумме </w:t>
      </w:r>
      <w:r>
        <w:rPr>
          <w:rFonts w:ascii="Times New Roman" w:hAnsi="Times New Roman" w:cs="Times New Roman"/>
          <w:sz w:val="24"/>
          <w:szCs w:val="24"/>
        </w:rPr>
        <w:t>42099,0</w:t>
      </w:r>
      <w:r w:rsidRPr="00A97F9F">
        <w:rPr>
          <w:rFonts w:ascii="Times New Roman" w:hAnsi="Times New Roman" w:cs="Times New Roman"/>
          <w:sz w:val="24"/>
          <w:szCs w:val="24"/>
        </w:rPr>
        <w:t xml:space="preserve"> тыс. рублей, или </w:t>
      </w:r>
      <w:r>
        <w:rPr>
          <w:rFonts w:ascii="Times New Roman" w:hAnsi="Times New Roman" w:cs="Times New Roman"/>
          <w:sz w:val="24"/>
          <w:szCs w:val="24"/>
        </w:rPr>
        <w:t>98,0 процентов плана</w:t>
      </w:r>
      <w:r w:rsidRPr="00A97F9F">
        <w:rPr>
          <w:rFonts w:ascii="Times New Roman" w:hAnsi="Times New Roman" w:cs="Times New Roman"/>
          <w:sz w:val="24"/>
          <w:szCs w:val="24"/>
        </w:rPr>
        <w:t>.</w:t>
      </w:r>
      <w:r w:rsidRPr="00A97F9F">
        <w:t xml:space="preserve"> </w:t>
      </w:r>
      <w:r w:rsidRPr="00A97F9F">
        <w:rPr>
          <w:rFonts w:ascii="Times New Roman" w:hAnsi="Times New Roman" w:cs="Times New Roman"/>
          <w:sz w:val="24"/>
          <w:szCs w:val="24"/>
        </w:rPr>
        <w:t>По данному мероприятию предусмотрено предоставление субсидий бюджетам муниципальных образований</w:t>
      </w:r>
      <w:r>
        <w:rPr>
          <w:rFonts w:ascii="Times New Roman" w:hAnsi="Times New Roman" w:cs="Times New Roman"/>
          <w:sz w:val="24"/>
          <w:szCs w:val="24"/>
        </w:rPr>
        <w:t>.</w:t>
      </w:r>
    </w:p>
    <w:p w:rsidR="008F689F" w:rsidRPr="003A6BE9" w:rsidRDefault="008F689F" w:rsidP="00F60552">
      <w:pPr>
        <w:pStyle w:val="afa"/>
        <w:numPr>
          <w:ilvl w:val="0"/>
          <w:numId w:val="7"/>
        </w:numPr>
        <w:ind w:left="0" w:firstLine="709"/>
        <w:jc w:val="both"/>
        <w:rPr>
          <w:i/>
          <w:sz w:val="24"/>
          <w:szCs w:val="24"/>
        </w:rPr>
      </w:pPr>
      <w:r w:rsidRPr="003A6BE9">
        <w:rPr>
          <w:i/>
          <w:sz w:val="24"/>
          <w:szCs w:val="24"/>
        </w:rPr>
        <w:t>Подпрограмма «Вовлечение молодежи в социальную практику»</w:t>
      </w:r>
    </w:p>
    <w:p w:rsidR="008F689F" w:rsidRPr="003A6BE9" w:rsidRDefault="008F689F" w:rsidP="008F689F">
      <w:pPr>
        <w:spacing w:after="0" w:line="240" w:lineRule="auto"/>
        <w:ind w:firstLine="709"/>
        <w:jc w:val="both"/>
        <w:rPr>
          <w:rFonts w:ascii="Times New Roman" w:hAnsi="Times New Roman" w:cs="Times New Roman"/>
          <w:sz w:val="24"/>
          <w:szCs w:val="24"/>
        </w:rPr>
      </w:pPr>
      <w:r w:rsidRPr="003A6BE9">
        <w:rPr>
          <w:rFonts w:ascii="Times New Roman" w:hAnsi="Times New Roman" w:cs="Times New Roman"/>
          <w:sz w:val="24"/>
          <w:szCs w:val="24"/>
        </w:rPr>
        <w:t>Бюджетные ассигнования по подпрограмме «Вовлечение молодежи в социальную практику» утверждены в расходах областного бюджета по целевой статье расходов 1240000 в сумме 1512,0 тыс. рублей.</w:t>
      </w:r>
    </w:p>
    <w:p w:rsidR="008F689F" w:rsidRPr="003A6BE9" w:rsidRDefault="008F689F" w:rsidP="008F689F">
      <w:pPr>
        <w:spacing w:after="0" w:line="240" w:lineRule="auto"/>
        <w:ind w:firstLine="709"/>
        <w:jc w:val="both"/>
        <w:rPr>
          <w:rFonts w:ascii="Times New Roman" w:hAnsi="Times New Roman" w:cs="Times New Roman"/>
          <w:sz w:val="24"/>
          <w:szCs w:val="24"/>
        </w:rPr>
      </w:pPr>
      <w:r w:rsidRPr="003A6BE9">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93,8 процента (объем неисполненных ассигнований составил </w:t>
      </w:r>
      <w:r>
        <w:rPr>
          <w:rFonts w:ascii="Times New Roman" w:hAnsi="Times New Roman" w:cs="Times New Roman"/>
          <w:sz w:val="24"/>
          <w:szCs w:val="24"/>
        </w:rPr>
        <w:br/>
      </w:r>
      <w:r w:rsidRPr="003A6BE9">
        <w:rPr>
          <w:rFonts w:ascii="Times New Roman" w:hAnsi="Times New Roman" w:cs="Times New Roman"/>
          <w:sz w:val="24"/>
          <w:szCs w:val="24"/>
        </w:rPr>
        <w:t>93,4 тыс. рублей).</w:t>
      </w:r>
    </w:p>
    <w:p w:rsidR="008F689F" w:rsidRPr="003A6BE9" w:rsidRDefault="008F689F" w:rsidP="008F689F">
      <w:pPr>
        <w:spacing w:after="0" w:line="240" w:lineRule="auto"/>
        <w:ind w:firstLine="709"/>
        <w:jc w:val="both"/>
        <w:rPr>
          <w:rFonts w:ascii="Times New Roman" w:hAnsi="Times New Roman" w:cs="Times New Roman"/>
          <w:sz w:val="24"/>
          <w:szCs w:val="24"/>
        </w:rPr>
      </w:pPr>
      <w:r w:rsidRPr="003A6BE9">
        <w:rPr>
          <w:rFonts w:ascii="Times New Roman" w:hAnsi="Times New Roman" w:cs="Times New Roman"/>
          <w:sz w:val="24"/>
          <w:szCs w:val="24"/>
        </w:rPr>
        <w:t>Данная подпрограмма включает два программных мероприятия, в том числе:</w:t>
      </w:r>
    </w:p>
    <w:p w:rsidR="008F689F" w:rsidRPr="003A6BE9" w:rsidRDefault="008F689F" w:rsidP="008F689F">
      <w:pPr>
        <w:spacing w:after="0" w:line="240" w:lineRule="auto"/>
        <w:ind w:firstLine="709"/>
        <w:jc w:val="both"/>
        <w:rPr>
          <w:rFonts w:ascii="Times New Roman" w:hAnsi="Times New Roman" w:cs="Times New Roman"/>
          <w:sz w:val="24"/>
          <w:szCs w:val="24"/>
        </w:rPr>
      </w:pPr>
      <w:r w:rsidRPr="003A6BE9">
        <w:rPr>
          <w:rFonts w:ascii="Times New Roman" w:hAnsi="Times New Roman" w:cs="Times New Roman"/>
          <w:sz w:val="24"/>
          <w:szCs w:val="24"/>
        </w:rPr>
        <w:t>-реализация мероприятий по привлечению молодежных общественных организаций с объемом финансирования 466,0 тыс. рублей, исполнение 100,0 процентов. Мероприятие предусматривает проведение конкурсов молодежных проектов различной направленности, с дальнейшей поддержкой семи проектов-победителей;</w:t>
      </w:r>
    </w:p>
    <w:p w:rsidR="008F689F" w:rsidRPr="003A6BE9" w:rsidRDefault="008F689F" w:rsidP="008F689F">
      <w:pPr>
        <w:spacing w:after="0" w:line="240" w:lineRule="auto"/>
        <w:ind w:firstLine="709"/>
        <w:jc w:val="both"/>
        <w:rPr>
          <w:rFonts w:ascii="Times New Roman" w:hAnsi="Times New Roman" w:cs="Times New Roman"/>
          <w:sz w:val="24"/>
          <w:szCs w:val="24"/>
        </w:rPr>
      </w:pPr>
      <w:r w:rsidRPr="003A6BE9">
        <w:rPr>
          <w:rFonts w:ascii="Times New Roman" w:hAnsi="Times New Roman" w:cs="Times New Roman"/>
          <w:sz w:val="24"/>
          <w:szCs w:val="24"/>
        </w:rPr>
        <w:t>-</w:t>
      </w:r>
      <w:r w:rsidRPr="003A6BE9">
        <w:t>о</w:t>
      </w:r>
      <w:r w:rsidRPr="003A6BE9">
        <w:rPr>
          <w:rFonts w:ascii="Times New Roman" w:hAnsi="Times New Roman" w:cs="Times New Roman"/>
          <w:sz w:val="24"/>
          <w:szCs w:val="24"/>
        </w:rPr>
        <w:t>рганизация и проведение мероприятий по реализации государственной подпрограммы с объемом плановых назначений – 1046,0 тыс. рублей, исполнение составило 952,6 тыс. рублей, или 91,1 процента. В рамках данного мероприятия проводятся областные мероприятия по основным направлениям реализации государственной молодежной политики.</w:t>
      </w:r>
    </w:p>
    <w:p w:rsidR="008F689F" w:rsidRPr="003A6BE9" w:rsidRDefault="008F689F" w:rsidP="00F60552">
      <w:pPr>
        <w:pStyle w:val="afa"/>
        <w:numPr>
          <w:ilvl w:val="0"/>
          <w:numId w:val="7"/>
        </w:numPr>
        <w:ind w:left="0" w:firstLine="709"/>
        <w:jc w:val="both"/>
        <w:rPr>
          <w:i/>
          <w:sz w:val="24"/>
          <w:szCs w:val="24"/>
        </w:rPr>
      </w:pPr>
      <w:r w:rsidRPr="003A6BE9">
        <w:rPr>
          <w:i/>
          <w:sz w:val="24"/>
          <w:szCs w:val="24"/>
        </w:rPr>
        <w:t>Подпрограмма «Обеспечение реализации государственной программы «Развитие образования Амурской области на 2014–2020 годы» и прочие мероприятия в области образования»</w:t>
      </w:r>
    </w:p>
    <w:p w:rsidR="008F689F" w:rsidRPr="003A6BE9" w:rsidRDefault="008F689F" w:rsidP="008F689F">
      <w:pPr>
        <w:spacing w:after="0" w:line="240" w:lineRule="auto"/>
        <w:ind w:firstLine="709"/>
        <w:jc w:val="both"/>
        <w:rPr>
          <w:rFonts w:ascii="Times New Roman" w:hAnsi="Times New Roman" w:cs="Times New Roman"/>
          <w:sz w:val="24"/>
          <w:szCs w:val="24"/>
        </w:rPr>
      </w:pPr>
      <w:r w:rsidRPr="003A6BE9">
        <w:rPr>
          <w:rFonts w:ascii="Times New Roman" w:hAnsi="Times New Roman" w:cs="Times New Roman"/>
          <w:sz w:val="24"/>
          <w:szCs w:val="24"/>
        </w:rPr>
        <w:t>Бюджетные ассигнования по подпрограмме «Обеспечение реализации государственной программы «Развитие образования Амурской области на 2014–2020 годы» и прочие мероприятия в области образования» утверждены в расходах областного бюджета по целевой статье расходов 1250000 в сумме 49871,1 тыс. рублей.</w:t>
      </w:r>
    </w:p>
    <w:p w:rsidR="008F689F" w:rsidRPr="003A6BE9" w:rsidRDefault="008F689F" w:rsidP="008F689F">
      <w:pPr>
        <w:spacing w:after="0" w:line="240" w:lineRule="auto"/>
        <w:ind w:firstLine="709"/>
        <w:jc w:val="both"/>
        <w:rPr>
          <w:rFonts w:ascii="Times New Roman" w:hAnsi="Times New Roman" w:cs="Times New Roman"/>
          <w:sz w:val="24"/>
          <w:szCs w:val="24"/>
        </w:rPr>
      </w:pPr>
      <w:r w:rsidRPr="003A6BE9">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99,1 процента (объем неисполненных ассигнований составил </w:t>
      </w:r>
      <w:r>
        <w:rPr>
          <w:rFonts w:ascii="Times New Roman" w:hAnsi="Times New Roman" w:cs="Times New Roman"/>
          <w:sz w:val="24"/>
          <w:szCs w:val="24"/>
        </w:rPr>
        <w:br/>
      </w:r>
      <w:r w:rsidRPr="003A6BE9">
        <w:rPr>
          <w:rFonts w:ascii="Times New Roman" w:hAnsi="Times New Roman" w:cs="Times New Roman"/>
          <w:sz w:val="24"/>
          <w:szCs w:val="24"/>
        </w:rPr>
        <w:t>471,7 тыс. рублей).</w:t>
      </w:r>
    </w:p>
    <w:p w:rsidR="008F689F" w:rsidRPr="003A6BE9" w:rsidRDefault="008F689F" w:rsidP="008F689F">
      <w:pPr>
        <w:spacing w:after="0" w:line="240" w:lineRule="auto"/>
        <w:ind w:firstLine="709"/>
        <w:jc w:val="both"/>
        <w:rPr>
          <w:rFonts w:ascii="Times New Roman" w:hAnsi="Times New Roman" w:cs="Times New Roman"/>
          <w:sz w:val="24"/>
          <w:szCs w:val="24"/>
        </w:rPr>
      </w:pPr>
      <w:r w:rsidRPr="003A6BE9">
        <w:rPr>
          <w:rFonts w:ascii="Times New Roman" w:hAnsi="Times New Roman" w:cs="Times New Roman"/>
          <w:sz w:val="24"/>
          <w:szCs w:val="24"/>
        </w:rPr>
        <w:t>Подпрограммой предусмотрена реализация трех мероприятий, в том числе:</w:t>
      </w:r>
    </w:p>
    <w:p w:rsidR="008F689F" w:rsidRPr="003A6BE9" w:rsidRDefault="008F689F" w:rsidP="008F689F">
      <w:pPr>
        <w:spacing w:after="0" w:line="240" w:lineRule="auto"/>
        <w:ind w:firstLine="709"/>
        <w:jc w:val="both"/>
        <w:rPr>
          <w:rFonts w:ascii="Times New Roman" w:hAnsi="Times New Roman" w:cs="Times New Roman"/>
          <w:sz w:val="24"/>
          <w:szCs w:val="24"/>
        </w:rPr>
      </w:pPr>
      <w:r w:rsidRPr="003A6BE9">
        <w:rPr>
          <w:rFonts w:ascii="Times New Roman" w:hAnsi="Times New Roman" w:cs="Times New Roman"/>
          <w:sz w:val="24"/>
          <w:szCs w:val="24"/>
        </w:rPr>
        <w:t xml:space="preserve">-финансовое обеспечение функций министерства образования и науки Амурской области в сумме </w:t>
      </w:r>
      <w:r>
        <w:rPr>
          <w:rFonts w:ascii="Times New Roman" w:hAnsi="Times New Roman" w:cs="Times New Roman"/>
          <w:sz w:val="24"/>
          <w:szCs w:val="24"/>
        </w:rPr>
        <w:t>33606,1</w:t>
      </w:r>
      <w:r w:rsidRPr="003A6BE9">
        <w:rPr>
          <w:rFonts w:ascii="Times New Roman" w:hAnsi="Times New Roman" w:cs="Times New Roman"/>
          <w:sz w:val="24"/>
          <w:szCs w:val="24"/>
        </w:rPr>
        <w:t xml:space="preserve"> тыс. рублей, исполнение составило </w:t>
      </w:r>
      <w:r>
        <w:rPr>
          <w:rFonts w:ascii="Times New Roman" w:hAnsi="Times New Roman" w:cs="Times New Roman"/>
          <w:sz w:val="24"/>
          <w:szCs w:val="24"/>
        </w:rPr>
        <w:t>33327,3</w:t>
      </w:r>
      <w:r w:rsidRPr="003A6BE9">
        <w:rPr>
          <w:rFonts w:ascii="Times New Roman" w:hAnsi="Times New Roman" w:cs="Times New Roman"/>
          <w:sz w:val="24"/>
          <w:szCs w:val="24"/>
        </w:rPr>
        <w:t xml:space="preserve">тыс. рублей, или </w:t>
      </w:r>
      <w:r>
        <w:rPr>
          <w:rFonts w:ascii="Times New Roman" w:hAnsi="Times New Roman" w:cs="Times New Roman"/>
          <w:sz w:val="24"/>
          <w:szCs w:val="24"/>
        </w:rPr>
        <w:br/>
        <w:t>99,2</w:t>
      </w:r>
      <w:r w:rsidRPr="003A6BE9">
        <w:rPr>
          <w:rFonts w:ascii="Times New Roman" w:hAnsi="Times New Roman" w:cs="Times New Roman"/>
          <w:sz w:val="24"/>
          <w:szCs w:val="24"/>
        </w:rPr>
        <w:t xml:space="preserve"> процента;</w:t>
      </w:r>
    </w:p>
    <w:p w:rsidR="008F689F" w:rsidRPr="003A6BE9" w:rsidRDefault="008F689F" w:rsidP="008F689F">
      <w:pPr>
        <w:spacing w:after="0" w:line="240" w:lineRule="auto"/>
        <w:ind w:firstLine="709"/>
        <w:jc w:val="both"/>
        <w:rPr>
          <w:rFonts w:ascii="Times New Roman" w:hAnsi="Times New Roman" w:cs="Times New Roman"/>
          <w:sz w:val="24"/>
          <w:szCs w:val="24"/>
        </w:rPr>
      </w:pPr>
      <w:r w:rsidRPr="003A6BE9">
        <w:rPr>
          <w:rFonts w:ascii="Times New Roman" w:hAnsi="Times New Roman" w:cs="Times New Roman"/>
          <w:sz w:val="24"/>
          <w:szCs w:val="24"/>
        </w:rPr>
        <w:t>-финансовое обеспечение деятельности государственного бюджетного учреждения Амурской области «Централизованная бухгалтерия министерства образования и науки Амурской области» в сумме 9286,2 тыс. рублей, исполнение составило 100,0 процентов;</w:t>
      </w:r>
    </w:p>
    <w:p w:rsidR="008F689F" w:rsidRDefault="008F689F" w:rsidP="008F689F">
      <w:pPr>
        <w:spacing w:after="0" w:line="240" w:lineRule="auto"/>
        <w:ind w:firstLine="709"/>
        <w:jc w:val="both"/>
        <w:rPr>
          <w:rFonts w:ascii="Times New Roman" w:hAnsi="Times New Roman" w:cs="Times New Roman"/>
          <w:sz w:val="24"/>
          <w:szCs w:val="24"/>
        </w:rPr>
      </w:pPr>
      <w:r w:rsidRPr="003A6BE9">
        <w:rPr>
          <w:rFonts w:ascii="Times New Roman" w:hAnsi="Times New Roman" w:cs="Times New Roman"/>
          <w:sz w:val="24"/>
          <w:szCs w:val="24"/>
        </w:rPr>
        <w:lastRenderedPageBreak/>
        <w:t>-осуществление переданных органам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 в сумме 6978,8 тыс. рублей, исполнение составило 6785,9 тыс. рублей, или 97,2 процента.</w:t>
      </w:r>
    </w:p>
    <w:p w:rsidR="008F689F" w:rsidRDefault="008F689F" w:rsidP="008F6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 расходах государственной программы «Развитие образования Амурской области на 2014-2020 годы» по основным направлениям деятельности представлена на рисунке</w:t>
      </w:r>
      <w:r w:rsidR="00B931FF">
        <w:rPr>
          <w:rFonts w:ascii="Times New Roman" w:hAnsi="Times New Roman" w:cs="Times New Roman"/>
          <w:sz w:val="24"/>
          <w:szCs w:val="24"/>
        </w:rPr>
        <w:t xml:space="preserve"> 34.</w:t>
      </w:r>
    </w:p>
    <w:p w:rsidR="00B931FF" w:rsidRDefault="00B931FF" w:rsidP="008F689F">
      <w:pPr>
        <w:spacing w:after="0" w:line="240" w:lineRule="auto"/>
        <w:ind w:firstLine="709"/>
        <w:jc w:val="both"/>
        <w:rPr>
          <w:rFonts w:ascii="Times New Roman" w:hAnsi="Times New Roman" w:cs="Times New Roman"/>
          <w:sz w:val="24"/>
          <w:szCs w:val="24"/>
        </w:rPr>
      </w:pPr>
    </w:p>
    <w:p w:rsidR="008F689F" w:rsidRPr="003A6BE9" w:rsidRDefault="008F689F" w:rsidP="008F689F">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4C1EF52" wp14:editId="4F070D41">
            <wp:extent cx="6086475" cy="41529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8F689F" w:rsidRDefault="008F689F" w:rsidP="00B931FF">
      <w:pPr>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Рис</w:t>
      </w:r>
      <w:r w:rsidR="00B931FF">
        <w:rPr>
          <w:rFonts w:ascii="Times New Roman" w:hAnsi="Times New Roman" w:cs="Times New Roman"/>
          <w:b/>
          <w:sz w:val="24"/>
          <w:szCs w:val="24"/>
        </w:rPr>
        <w:t>. 34 -</w:t>
      </w:r>
      <w:r>
        <w:rPr>
          <w:rFonts w:ascii="Times New Roman" w:hAnsi="Times New Roman" w:cs="Times New Roman"/>
          <w:b/>
          <w:sz w:val="24"/>
          <w:szCs w:val="24"/>
        </w:rPr>
        <w:t xml:space="preserve"> </w:t>
      </w:r>
      <w:r w:rsidR="00B931FF">
        <w:rPr>
          <w:rFonts w:ascii="Times New Roman" w:hAnsi="Times New Roman" w:cs="Times New Roman"/>
          <w:b/>
          <w:sz w:val="24"/>
          <w:szCs w:val="24"/>
        </w:rPr>
        <w:t>О</w:t>
      </w:r>
      <w:r>
        <w:rPr>
          <w:rFonts w:ascii="Times New Roman" w:hAnsi="Times New Roman" w:cs="Times New Roman"/>
          <w:b/>
          <w:sz w:val="24"/>
          <w:szCs w:val="24"/>
        </w:rPr>
        <w:t xml:space="preserve">сновные направления расходов областного бюджета по </w:t>
      </w:r>
      <w:r w:rsidRPr="00F9325F">
        <w:rPr>
          <w:rFonts w:ascii="Times New Roman" w:hAnsi="Times New Roman" w:cs="Times New Roman"/>
          <w:b/>
          <w:sz w:val="24"/>
          <w:szCs w:val="24"/>
        </w:rPr>
        <w:t>государственной программ</w:t>
      </w:r>
      <w:r>
        <w:rPr>
          <w:rFonts w:ascii="Times New Roman" w:hAnsi="Times New Roman" w:cs="Times New Roman"/>
          <w:b/>
          <w:sz w:val="24"/>
          <w:szCs w:val="24"/>
        </w:rPr>
        <w:t>е</w:t>
      </w:r>
      <w:r w:rsidRPr="00F9325F">
        <w:rPr>
          <w:rFonts w:ascii="Times New Roman" w:hAnsi="Times New Roman" w:cs="Times New Roman"/>
          <w:b/>
          <w:sz w:val="24"/>
          <w:szCs w:val="24"/>
        </w:rPr>
        <w:t xml:space="preserve"> «Развитие образования Амурской области на </w:t>
      </w:r>
      <w:r w:rsidR="00B931FF">
        <w:rPr>
          <w:rFonts w:ascii="Times New Roman" w:hAnsi="Times New Roman" w:cs="Times New Roman"/>
          <w:b/>
          <w:sz w:val="24"/>
          <w:szCs w:val="24"/>
        </w:rPr>
        <w:br/>
      </w:r>
      <w:r w:rsidRPr="00F9325F">
        <w:rPr>
          <w:rFonts w:ascii="Times New Roman" w:hAnsi="Times New Roman" w:cs="Times New Roman"/>
          <w:b/>
          <w:sz w:val="24"/>
          <w:szCs w:val="24"/>
        </w:rPr>
        <w:t>2014-2020 годы»</w:t>
      </w:r>
      <w:r w:rsidR="00FD729F">
        <w:rPr>
          <w:rFonts w:ascii="Times New Roman" w:hAnsi="Times New Roman" w:cs="Times New Roman"/>
          <w:b/>
          <w:sz w:val="24"/>
          <w:szCs w:val="24"/>
        </w:rPr>
        <w:t>, млн. руб.</w:t>
      </w:r>
    </w:p>
    <w:p w:rsidR="00D13E8E" w:rsidRPr="00D13E8E" w:rsidRDefault="00D13E8E" w:rsidP="00D13E8E">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D13E8E">
        <w:rPr>
          <w:rFonts w:ascii="Times New Roman" w:eastAsia="Times New Roman" w:hAnsi="Times New Roman" w:cs="Times New Roman"/>
          <w:b/>
          <w:sz w:val="24"/>
          <w:szCs w:val="24"/>
          <w:lang w:eastAsia="ru-RU"/>
        </w:rPr>
        <w:t>5.13. Исполнение расходов областного бюджета за 2015 год в рамках государственной программы «Развитие транспортной системы Амурской области на 2014–2020 годы»</w:t>
      </w:r>
    </w:p>
    <w:p w:rsidR="00D13E8E" w:rsidRPr="00D13E8E" w:rsidRDefault="00D13E8E" w:rsidP="00D13E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Государственная программа «Развитие транспортной системы Амурской области на 2014–2020 годы» в составе четырех подпрограмм утверждена постановлением Правительства Амурской области от 25.09.2013 № 450 с объемом ассигнований на 2015 год – 5868866,2</w:t>
      </w:r>
      <w:r>
        <w:rPr>
          <w:rFonts w:ascii="Times New Roman" w:eastAsia="Times New Roman" w:hAnsi="Times New Roman" w:cs="Times New Roman"/>
          <w:sz w:val="24"/>
          <w:szCs w:val="24"/>
          <w:lang w:eastAsia="ru-RU"/>
        </w:rPr>
        <w:t xml:space="preserve"> тыс. рублей, в том числе </w:t>
      </w:r>
      <w:r w:rsidRPr="00D13E8E">
        <w:rPr>
          <w:rFonts w:ascii="Times New Roman" w:eastAsia="Times New Roman" w:hAnsi="Times New Roman" w:cs="Times New Roman"/>
          <w:sz w:val="24"/>
          <w:szCs w:val="24"/>
          <w:lang w:eastAsia="ru-RU"/>
        </w:rPr>
        <w:t>за счет средств федерального бюджета – 3286925,5 тыс. рублей</w:t>
      </w:r>
      <w:r>
        <w:rPr>
          <w:rFonts w:ascii="Times New Roman" w:eastAsia="Times New Roman" w:hAnsi="Times New Roman" w:cs="Times New Roman"/>
          <w:sz w:val="24"/>
          <w:szCs w:val="24"/>
          <w:lang w:eastAsia="ru-RU"/>
        </w:rPr>
        <w:t xml:space="preserve">, </w:t>
      </w:r>
      <w:r w:rsidRPr="00D13E8E">
        <w:rPr>
          <w:rFonts w:ascii="Times New Roman" w:eastAsia="Times New Roman" w:hAnsi="Times New Roman" w:cs="Times New Roman"/>
          <w:sz w:val="24"/>
          <w:szCs w:val="24"/>
          <w:lang w:eastAsia="ru-RU"/>
        </w:rPr>
        <w:t>за счет средств областного бюджета – 2581940,7 тыс. рублей</w:t>
      </w:r>
    </w:p>
    <w:p w:rsidR="00D13E8E" w:rsidRPr="00D13E8E" w:rsidRDefault="00D13E8E" w:rsidP="00D13E8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13E8E">
        <w:rPr>
          <w:rFonts w:ascii="Times New Roman" w:eastAsia="Times New Roman" w:hAnsi="Times New Roman" w:cs="Times New Roman"/>
          <w:sz w:val="24"/>
          <w:szCs w:val="24"/>
          <w:lang w:eastAsia="ru-RU"/>
        </w:rPr>
        <w:t>Координатор программы – министерство транспорта и строительства Амурской области, координаторы подпрограмм - министерство транспорта и строительства Амурской области; управление информатизации Амурской области, участники – министерство здравоохранения Амурской области; министерство лесного хозяйства и пожарной безопасности Амурской области; государственная инспекция по надзору за техническим состоянием самоходных машин и других видов техники Амурской области.</w:t>
      </w:r>
    </w:p>
    <w:p w:rsidR="00D13E8E" w:rsidRPr="00D13E8E" w:rsidRDefault="00D13E8E" w:rsidP="00D13E8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13E8E">
        <w:rPr>
          <w:rFonts w:ascii="Times New Roman" w:eastAsia="Times New Roman" w:hAnsi="Times New Roman" w:cs="Times New Roman"/>
          <w:sz w:val="24"/>
          <w:szCs w:val="24"/>
          <w:lang w:eastAsia="ru-RU"/>
        </w:rPr>
        <w:t xml:space="preserve">Законом Амурской области «Об областном бюджете на 2015 год и плановый период 2016 и 2017 годов утверждены ассигнования на реализацию трех подпрограмм, входящих в состав государственной программы «Развитие транспортной системы Амурской области на </w:t>
      </w:r>
      <w:r w:rsidRPr="00D13E8E">
        <w:rPr>
          <w:rFonts w:ascii="Times New Roman" w:eastAsia="Times New Roman" w:hAnsi="Times New Roman" w:cs="Times New Roman"/>
          <w:sz w:val="24"/>
          <w:szCs w:val="24"/>
          <w:lang w:eastAsia="ru-RU"/>
        </w:rPr>
        <w:lastRenderedPageBreak/>
        <w:t xml:space="preserve">2014–2020 годы» на общую сумму 5302366,1 тыс. рублей, в том числе </w:t>
      </w:r>
      <w:r w:rsidRPr="00D13E8E">
        <w:rPr>
          <w:rFonts w:ascii="Times New Roman" w:eastAsia="Calibri" w:hAnsi="Times New Roman" w:cs="Times New Roman"/>
          <w:sz w:val="24"/>
          <w:szCs w:val="24"/>
        </w:rPr>
        <w:t xml:space="preserve">за счет средств областного бюджета – 2581940,7 тыс. рублей, </w:t>
      </w:r>
      <w:r w:rsidRPr="00D13E8E">
        <w:rPr>
          <w:rFonts w:ascii="Times New Roman" w:eastAsia="Times New Roman" w:hAnsi="Times New Roman" w:cs="Times New Roman"/>
          <w:sz w:val="24"/>
          <w:szCs w:val="24"/>
          <w:lang w:eastAsia="ru-RU"/>
        </w:rPr>
        <w:t>за счет средств федерального бюджета – 2720425,4 тыс. рублей</w:t>
      </w:r>
      <w:r w:rsidRPr="00D13E8E">
        <w:rPr>
          <w:rFonts w:ascii="Times New Roman" w:eastAsia="Calibri" w:hAnsi="Times New Roman" w:cs="Times New Roman"/>
          <w:sz w:val="24"/>
          <w:szCs w:val="24"/>
        </w:rPr>
        <w:t xml:space="preserve"> (подпрограмма </w:t>
      </w:r>
      <w:r w:rsidRPr="00D13E8E">
        <w:rPr>
          <w:rFonts w:ascii="Times New Roman" w:eastAsia="Times New Roman" w:hAnsi="Times New Roman" w:cs="Times New Roman"/>
          <w:sz w:val="24"/>
          <w:szCs w:val="24"/>
          <w:lang w:eastAsia="ru-RU"/>
        </w:rPr>
        <w:t>«</w:t>
      </w:r>
      <w:r w:rsidRPr="00D13E8E">
        <w:rPr>
          <w:rFonts w:ascii="Times New Roman" w:eastAsia="Calibri" w:hAnsi="Times New Roman" w:cs="Times New Roman"/>
          <w:sz w:val="24"/>
          <w:szCs w:val="24"/>
        </w:rPr>
        <w:t>Развитие сети автомобильных дорог общего пользования Амурской области»).</w:t>
      </w:r>
    </w:p>
    <w:p w:rsidR="00D13E8E" w:rsidRPr="00D13E8E" w:rsidRDefault="00D13E8E" w:rsidP="00D13E8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3E8E">
        <w:rPr>
          <w:rFonts w:ascii="Times New Roman" w:eastAsia="Calibri" w:hAnsi="Times New Roman" w:cs="Times New Roman"/>
          <w:sz w:val="24"/>
          <w:szCs w:val="24"/>
        </w:rPr>
        <w:t xml:space="preserve">Финансирование подпрограммы </w:t>
      </w:r>
      <w:r w:rsidRPr="00D13E8E">
        <w:rPr>
          <w:rFonts w:ascii="Times New Roman" w:eastAsia="Calibri" w:hAnsi="Times New Roman" w:cs="Times New Roman"/>
          <w:b/>
          <w:sz w:val="24"/>
          <w:szCs w:val="24"/>
        </w:rPr>
        <w:t>«</w:t>
      </w:r>
      <w:r w:rsidRPr="00D13E8E">
        <w:rPr>
          <w:rFonts w:ascii="Times New Roman" w:eastAsia="Calibri" w:hAnsi="Times New Roman" w:cs="Times New Roman"/>
          <w:sz w:val="24"/>
          <w:szCs w:val="24"/>
        </w:rPr>
        <w:t xml:space="preserve">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Амурской области» в </w:t>
      </w:r>
      <w:r>
        <w:rPr>
          <w:rFonts w:ascii="Times New Roman" w:eastAsia="Calibri" w:hAnsi="Times New Roman" w:cs="Times New Roman"/>
          <w:sz w:val="24"/>
          <w:szCs w:val="24"/>
        </w:rPr>
        <w:br/>
      </w:r>
      <w:r w:rsidR="00227CC6">
        <w:rPr>
          <w:rFonts w:ascii="Times New Roman" w:eastAsia="Calibri" w:hAnsi="Times New Roman" w:cs="Times New Roman"/>
          <w:sz w:val="24"/>
          <w:szCs w:val="24"/>
        </w:rPr>
        <w:t>2015 году не предусмотрено.</w:t>
      </w:r>
    </w:p>
    <w:p w:rsidR="00D13E8E" w:rsidRPr="00D13E8E" w:rsidRDefault="00D13E8E" w:rsidP="00D13E8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3E8E">
        <w:rPr>
          <w:rFonts w:ascii="Times New Roman" w:eastAsia="Times New Roman" w:hAnsi="Times New Roman" w:cs="Times New Roman"/>
          <w:sz w:val="24"/>
          <w:szCs w:val="24"/>
          <w:lang w:eastAsia="ru-RU"/>
        </w:rPr>
        <w:t xml:space="preserve">Финансирование подпрограммы </w:t>
      </w:r>
      <w:r w:rsidRPr="00D13E8E">
        <w:rPr>
          <w:rFonts w:ascii="Times New Roman" w:eastAsia="Calibri" w:hAnsi="Times New Roman" w:cs="Times New Roman"/>
          <w:bCs/>
          <w:sz w:val="24"/>
          <w:szCs w:val="24"/>
        </w:rPr>
        <w:t>«</w:t>
      </w:r>
      <w:r w:rsidRPr="00D13E8E">
        <w:rPr>
          <w:rFonts w:ascii="Times New Roman" w:eastAsia="Calibri" w:hAnsi="Times New Roman" w:cs="Times New Roman"/>
          <w:sz w:val="24"/>
          <w:szCs w:val="24"/>
        </w:rPr>
        <w:t xml:space="preserve">Развитие транспортного комплекса» в соответствии с Законом </w:t>
      </w:r>
      <w:r w:rsidRPr="00D13E8E">
        <w:rPr>
          <w:rFonts w:ascii="Times New Roman" w:eastAsia="Times New Roman" w:hAnsi="Times New Roman" w:cs="Times New Roman"/>
          <w:sz w:val="24"/>
          <w:szCs w:val="24"/>
          <w:lang w:eastAsia="ru-RU"/>
        </w:rPr>
        <w:t>Амурской области «Об областном бюджете на 2015 год и плановый период 2016 и 2017 годов</w:t>
      </w:r>
      <w:r w:rsidRPr="00D13E8E">
        <w:rPr>
          <w:rFonts w:ascii="Times New Roman" w:eastAsia="Calibri" w:hAnsi="Times New Roman" w:cs="Times New Roman"/>
          <w:sz w:val="24"/>
          <w:szCs w:val="24"/>
        </w:rPr>
        <w:t xml:space="preserve"> предусмотрено за счет средств области в сумме 144221,7 тыс. рублей. В то же время, в соответствии с ресурсным обеспечением расходов на реализацию мероприятий подпрограммы </w:t>
      </w:r>
      <w:r w:rsidRPr="00D13E8E">
        <w:rPr>
          <w:rFonts w:ascii="Times New Roman" w:eastAsia="Calibri" w:hAnsi="Times New Roman" w:cs="Times New Roman"/>
          <w:bCs/>
          <w:sz w:val="24"/>
          <w:szCs w:val="24"/>
        </w:rPr>
        <w:t>«</w:t>
      </w:r>
      <w:r w:rsidRPr="00D13E8E">
        <w:rPr>
          <w:rFonts w:ascii="Times New Roman" w:eastAsia="Calibri" w:hAnsi="Times New Roman" w:cs="Times New Roman"/>
          <w:sz w:val="24"/>
          <w:szCs w:val="24"/>
        </w:rPr>
        <w:t xml:space="preserve">Развитие транспортного комплекса» предусмотрено финансирование в общей сумме 710721,7 тыс. рублей, в том числе за счет средств областного бюджета </w:t>
      </w:r>
      <w:r>
        <w:rPr>
          <w:rFonts w:ascii="Times New Roman" w:eastAsia="Calibri" w:hAnsi="Times New Roman" w:cs="Times New Roman"/>
          <w:sz w:val="24"/>
          <w:szCs w:val="24"/>
        </w:rPr>
        <w:br/>
      </w:r>
      <w:r w:rsidRPr="00D13E8E">
        <w:rPr>
          <w:rFonts w:ascii="Times New Roman" w:eastAsia="Calibri" w:hAnsi="Times New Roman" w:cs="Times New Roman"/>
          <w:sz w:val="24"/>
          <w:szCs w:val="24"/>
        </w:rPr>
        <w:t>144221,7 тыс. рублей и за счет средств федерального бюджета в сумме 566500,0 тыс. рублей.</w:t>
      </w:r>
    </w:p>
    <w:p w:rsidR="00D13E8E" w:rsidRPr="00D13E8E" w:rsidRDefault="00D13E8E" w:rsidP="00D13E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 xml:space="preserve">Сводной бюджетной росписью расходов областного бюджета на 2015 год на реализацию программы предусмотрено 5302366,1 тыс. рублей, в том </w:t>
      </w:r>
      <w:r w:rsidRPr="00D13E8E">
        <w:rPr>
          <w:rFonts w:ascii="Times New Roman" w:eastAsia="Calibri" w:hAnsi="Times New Roman" w:cs="Times New Roman"/>
          <w:sz w:val="24"/>
          <w:szCs w:val="24"/>
        </w:rPr>
        <w:t xml:space="preserve">числе за счет средств областного бюджета – 2581940,7 тыс. рублей, федерального бюджета – 2720425,4 тыс. рублей. </w:t>
      </w:r>
      <w:r w:rsidRPr="00D13E8E">
        <w:rPr>
          <w:rFonts w:ascii="Times New Roman" w:eastAsia="Times New Roman" w:hAnsi="Times New Roman" w:cs="Times New Roman"/>
          <w:sz w:val="24"/>
          <w:szCs w:val="24"/>
          <w:lang w:eastAsia="ru-RU"/>
        </w:rPr>
        <w:t>Исполнение бюджетных назначений составило 5073947,2 тыс. рублей, что составляет 95,7 процента утвержденных бюджетных ассигнований (неисполненные назначения – 228418,9 тыс. рублей).</w:t>
      </w:r>
    </w:p>
    <w:p w:rsidR="00D13E8E" w:rsidRPr="00D13E8E" w:rsidRDefault="00D13E8E" w:rsidP="00D13E8E">
      <w:pPr>
        <w:spacing w:after="0" w:line="240" w:lineRule="auto"/>
        <w:ind w:firstLine="709"/>
        <w:jc w:val="both"/>
        <w:rPr>
          <w:rFonts w:ascii="Times New Roman" w:eastAsia="Calibri" w:hAnsi="Times New Roman" w:cs="Times New Roman"/>
          <w:sz w:val="24"/>
          <w:szCs w:val="24"/>
        </w:rPr>
      </w:pPr>
      <w:r w:rsidRPr="00D13E8E">
        <w:rPr>
          <w:rFonts w:ascii="Times New Roman" w:eastAsia="Calibri" w:hAnsi="Times New Roman" w:cs="Times New Roman"/>
          <w:sz w:val="24"/>
          <w:szCs w:val="24"/>
        </w:rPr>
        <w:t>Согласно приложению № 1 к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2015 год, объем исполненных ассигнований за счет средств федерального бюджета и области, отраженных в докладе, соответствует  результатам исполнения областного бюджета по государственной программе, отраженным в законопроекте.</w:t>
      </w:r>
    </w:p>
    <w:p w:rsidR="00D13E8E" w:rsidRDefault="00D13E8E" w:rsidP="00D13E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В таблице 16 представлена информация об исполнении государственной программы в разрезе действующих в 2015 году подпрограмм.</w:t>
      </w:r>
    </w:p>
    <w:p w:rsidR="00D13E8E" w:rsidRPr="00D13E8E" w:rsidRDefault="00D13E8E" w:rsidP="00D13E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3E8E" w:rsidRPr="00D13E8E" w:rsidRDefault="00D13E8E" w:rsidP="00D13E8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Таблица 16</w:t>
      </w:r>
    </w:p>
    <w:p w:rsidR="00D13E8E" w:rsidRPr="00D13E8E" w:rsidRDefault="00D13E8E" w:rsidP="00D13E8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13E8E">
        <w:rPr>
          <w:rFonts w:ascii="Times New Roman" w:eastAsia="Times New Roman" w:hAnsi="Times New Roman" w:cs="Times New Roman"/>
          <w:b/>
          <w:sz w:val="24"/>
          <w:szCs w:val="24"/>
          <w:lang w:eastAsia="ru-RU"/>
        </w:rPr>
        <w:t>Анализ исполнения государственной программы «Развитие транспортной системы Амурской области на 2014–2020 годы» в разрезе подпрограмм</w:t>
      </w:r>
    </w:p>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1481"/>
        <w:gridCol w:w="1531"/>
        <w:gridCol w:w="1505"/>
        <w:gridCol w:w="1425"/>
      </w:tblGrid>
      <w:tr w:rsidR="00D13E8E" w:rsidRPr="00D13E8E" w:rsidTr="00D13E8E">
        <w:trPr>
          <w:trHeight w:val="687"/>
        </w:trPr>
        <w:tc>
          <w:tcPr>
            <w:tcW w:w="3834" w:type="dxa"/>
            <w:shd w:val="clear" w:color="auto" w:fill="auto"/>
          </w:tcPr>
          <w:p w:rsidR="00D13E8E" w:rsidRPr="00D13E8E" w:rsidRDefault="00D13E8E" w:rsidP="00D13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3E8E">
              <w:rPr>
                <w:rFonts w:ascii="Times New Roman" w:eastAsia="Times New Roman" w:hAnsi="Times New Roman" w:cs="Times New Roman"/>
                <w:b/>
                <w:bCs/>
                <w:sz w:val="24"/>
                <w:szCs w:val="24"/>
                <w:lang w:eastAsia="ru-RU"/>
              </w:rPr>
              <w:t>Наименование государственной программы/подпрограммы</w:t>
            </w:r>
          </w:p>
        </w:tc>
        <w:tc>
          <w:tcPr>
            <w:tcW w:w="1481" w:type="dxa"/>
            <w:shd w:val="clear" w:color="auto" w:fill="auto"/>
            <w:noWrap/>
          </w:tcPr>
          <w:p w:rsidR="00D13E8E" w:rsidRPr="00D13E8E" w:rsidRDefault="00D13E8E" w:rsidP="00D13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3E8E">
              <w:rPr>
                <w:rFonts w:ascii="Times New Roman" w:eastAsia="Times New Roman" w:hAnsi="Times New Roman" w:cs="Times New Roman"/>
                <w:b/>
                <w:bCs/>
                <w:sz w:val="24"/>
                <w:szCs w:val="24"/>
                <w:lang w:eastAsia="ru-RU"/>
              </w:rPr>
              <w:t>План</w:t>
            </w:r>
          </w:p>
        </w:tc>
        <w:tc>
          <w:tcPr>
            <w:tcW w:w="1463" w:type="dxa"/>
            <w:shd w:val="clear" w:color="auto" w:fill="auto"/>
            <w:noWrap/>
          </w:tcPr>
          <w:p w:rsidR="00D13E8E" w:rsidRPr="00D13E8E" w:rsidRDefault="00D13E8E" w:rsidP="00D13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3E8E">
              <w:rPr>
                <w:rFonts w:ascii="Times New Roman" w:eastAsia="Times New Roman" w:hAnsi="Times New Roman" w:cs="Times New Roman"/>
                <w:b/>
                <w:bCs/>
                <w:sz w:val="24"/>
                <w:szCs w:val="24"/>
                <w:lang w:eastAsia="ru-RU"/>
              </w:rPr>
              <w:t>Исполнение</w:t>
            </w:r>
          </w:p>
        </w:tc>
        <w:tc>
          <w:tcPr>
            <w:tcW w:w="1422" w:type="dxa"/>
            <w:shd w:val="clear" w:color="auto" w:fill="auto"/>
            <w:noWrap/>
          </w:tcPr>
          <w:p w:rsidR="00D13E8E" w:rsidRPr="00D13E8E" w:rsidRDefault="00D13E8E" w:rsidP="00D13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3E8E">
              <w:rPr>
                <w:rFonts w:ascii="Times New Roman" w:eastAsia="Times New Roman" w:hAnsi="Times New Roman" w:cs="Times New Roman"/>
                <w:b/>
                <w:bCs/>
                <w:sz w:val="24"/>
                <w:szCs w:val="24"/>
                <w:lang w:eastAsia="ru-RU"/>
              </w:rPr>
              <w:t>Уровень исполнения</w:t>
            </w:r>
          </w:p>
        </w:tc>
        <w:tc>
          <w:tcPr>
            <w:tcW w:w="1371" w:type="dxa"/>
            <w:shd w:val="clear" w:color="auto" w:fill="auto"/>
            <w:noWrap/>
          </w:tcPr>
          <w:p w:rsidR="00D13E8E" w:rsidRPr="00D13E8E" w:rsidRDefault="00D13E8E" w:rsidP="00D13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3E8E">
              <w:rPr>
                <w:rFonts w:ascii="Times New Roman" w:eastAsia="Times New Roman" w:hAnsi="Times New Roman" w:cs="Times New Roman"/>
                <w:b/>
                <w:bCs/>
                <w:sz w:val="24"/>
                <w:szCs w:val="24"/>
                <w:lang w:eastAsia="ru-RU"/>
              </w:rPr>
              <w:t>Не исполнены</w:t>
            </w:r>
          </w:p>
        </w:tc>
      </w:tr>
      <w:tr w:rsidR="00D13E8E" w:rsidRPr="00D13E8E" w:rsidTr="00D13E8E">
        <w:trPr>
          <w:trHeight w:val="983"/>
        </w:trPr>
        <w:tc>
          <w:tcPr>
            <w:tcW w:w="3834" w:type="dxa"/>
            <w:shd w:val="clear" w:color="auto" w:fill="auto"/>
            <w:hideMark/>
          </w:tcPr>
          <w:p w:rsidR="00D13E8E" w:rsidRPr="00D13E8E" w:rsidRDefault="00D13E8E" w:rsidP="00D13E8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13E8E">
              <w:rPr>
                <w:rFonts w:ascii="Times New Roman" w:eastAsia="Times New Roman" w:hAnsi="Times New Roman" w:cs="Times New Roman"/>
                <w:b/>
                <w:bCs/>
                <w:sz w:val="24"/>
                <w:szCs w:val="24"/>
                <w:lang w:eastAsia="ru-RU"/>
              </w:rPr>
              <w:t>Государственная программа «</w:t>
            </w:r>
            <w:r w:rsidRPr="00D13E8E">
              <w:rPr>
                <w:rFonts w:ascii="Times New Roman" w:eastAsia="Times New Roman" w:hAnsi="Times New Roman" w:cs="Times New Roman"/>
                <w:b/>
                <w:sz w:val="24"/>
                <w:szCs w:val="24"/>
                <w:lang w:eastAsia="ru-RU"/>
              </w:rPr>
              <w:t>Развитие транспортной системы Амурской области на 2014–2020 годы</w:t>
            </w:r>
            <w:r w:rsidRPr="00D13E8E">
              <w:rPr>
                <w:rFonts w:ascii="Times New Roman" w:eastAsia="Times New Roman" w:hAnsi="Times New Roman" w:cs="Times New Roman"/>
                <w:b/>
                <w:bCs/>
                <w:sz w:val="24"/>
                <w:szCs w:val="24"/>
                <w:lang w:eastAsia="ru-RU"/>
              </w:rPr>
              <w:t xml:space="preserve">», </w:t>
            </w:r>
            <w:r w:rsidRPr="00D13E8E">
              <w:rPr>
                <w:rFonts w:ascii="Times New Roman" w:eastAsia="Times New Roman" w:hAnsi="Times New Roman" w:cs="Times New Roman"/>
                <w:bCs/>
                <w:sz w:val="24"/>
                <w:szCs w:val="24"/>
                <w:lang w:eastAsia="ru-RU"/>
              </w:rPr>
              <w:t>в том числе:</w:t>
            </w:r>
          </w:p>
        </w:tc>
        <w:tc>
          <w:tcPr>
            <w:tcW w:w="1481" w:type="dxa"/>
            <w:shd w:val="clear" w:color="auto" w:fill="auto"/>
            <w:noWrap/>
            <w:hideMark/>
          </w:tcPr>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D13E8E">
              <w:rPr>
                <w:rFonts w:ascii="Times New Roman" w:eastAsia="Times New Roman" w:hAnsi="Times New Roman" w:cs="Times New Roman"/>
                <w:b/>
                <w:bCs/>
                <w:sz w:val="24"/>
                <w:szCs w:val="24"/>
                <w:lang w:eastAsia="ru-RU"/>
              </w:rPr>
              <w:t>5302366,1</w:t>
            </w:r>
          </w:p>
        </w:tc>
        <w:tc>
          <w:tcPr>
            <w:tcW w:w="1463" w:type="dxa"/>
            <w:shd w:val="clear" w:color="auto" w:fill="auto"/>
            <w:noWrap/>
            <w:hideMark/>
          </w:tcPr>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D13E8E">
              <w:rPr>
                <w:rFonts w:ascii="Times New Roman" w:eastAsia="Times New Roman" w:hAnsi="Times New Roman" w:cs="Times New Roman"/>
                <w:b/>
                <w:bCs/>
                <w:sz w:val="24"/>
                <w:szCs w:val="24"/>
                <w:lang w:eastAsia="ru-RU"/>
              </w:rPr>
              <w:t>5073947,2</w:t>
            </w:r>
          </w:p>
        </w:tc>
        <w:tc>
          <w:tcPr>
            <w:tcW w:w="1422" w:type="dxa"/>
            <w:shd w:val="clear" w:color="auto" w:fill="auto"/>
            <w:noWrap/>
            <w:hideMark/>
          </w:tcPr>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D13E8E">
              <w:rPr>
                <w:rFonts w:ascii="Times New Roman" w:eastAsia="Times New Roman" w:hAnsi="Times New Roman" w:cs="Times New Roman"/>
                <w:b/>
                <w:bCs/>
                <w:sz w:val="24"/>
                <w:szCs w:val="24"/>
                <w:lang w:eastAsia="ru-RU"/>
              </w:rPr>
              <w:t>95,7</w:t>
            </w:r>
          </w:p>
        </w:tc>
        <w:tc>
          <w:tcPr>
            <w:tcW w:w="1371" w:type="dxa"/>
            <w:shd w:val="clear" w:color="auto" w:fill="auto"/>
            <w:noWrap/>
            <w:hideMark/>
          </w:tcPr>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D13E8E">
              <w:rPr>
                <w:rFonts w:ascii="Times New Roman" w:eastAsia="Times New Roman" w:hAnsi="Times New Roman" w:cs="Times New Roman"/>
                <w:b/>
                <w:bCs/>
                <w:sz w:val="24"/>
                <w:szCs w:val="24"/>
                <w:lang w:eastAsia="ru-RU"/>
              </w:rPr>
              <w:t>-228418,9</w:t>
            </w:r>
          </w:p>
        </w:tc>
      </w:tr>
      <w:tr w:rsidR="00D13E8E" w:rsidRPr="00D13E8E" w:rsidTr="00D13E8E">
        <w:trPr>
          <w:trHeight w:val="635"/>
        </w:trPr>
        <w:tc>
          <w:tcPr>
            <w:tcW w:w="3834" w:type="dxa"/>
            <w:shd w:val="clear" w:color="auto" w:fill="auto"/>
            <w:hideMark/>
          </w:tcPr>
          <w:p w:rsidR="00D13E8E" w:rsidRPr="00D13E8E" w:rsidRDefault="00D13E8E" w:rsidP="00D13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Подпрограмма «Развитие транспортного комплекса»</w:t>
            </w:r>
          </w:p>
        </w:tc>
        <w:tc>
          <w:tcPr>
            <w:tcW w:w="1481" w:type="dxa"/>
            <w:shd w:val="clear" w:color="auto" w:fill="auto"/>
            <w:noWrap/>
            <w:hideMark/>
          </w:tcPr>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144221,6</w:t>
            </w:r>
          </w:p>
        </w:tc>
        <w:tc>
          <w:tcPr>
            <w:tcW w:w="1463" w:type="dxa"/>
            <w:shd w:val="clear" w:color="auto" w:fill="auto"/>
            <w:noWrap/>
            <w:hideMark/>
          </w:tcPr>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144030,2</w:t>
            </w:r>
          </w:p>
        </w:tc>
        <w:tc>
          <w:tcPr>
            <w:tcW w:w="1422" w:type="dxa"/>
            <w:shd w:val="clear" w:color="auto" w:fill="auto"/>
            <w:noWrap/>
            <w:hideMark/>
          </w:tcPr>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99,9</w:t>
            </w:r>
          </w:p>
        </w:tc>
        <w:tc>
          <w:tcPr>
            <w:tcW w:w="1371" w:type="dxa"/>
            <w:shd w:val="clear" w:color="auto" w:fill="auto"/>
            <w:noWrap/>
            <w:hideMark/>
          </w:tcPr>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-191,4</w:t>
            </w:r>
          </w:p>
        </w:tc>
      </w:tr>
      <w:tr w:rsidR="00D13E8E" w:rsidRPr="00D13E8E" w:rsidTr="00D13E8E">
        <w:trPr>
          <w:trHeight w:val="945"/>
        </w:trPr>
        <w:tc>
          <w:tcPr>
            <w:tcW w:w="3834" w:type="dxa"/>
            <w:shd w:val="clear" w:color="auto" w:fill="auto"/>
            <w:hideMark/>
          </w:tcPr>
          <w:p w:rsidR="00D13E8E" w:rsidRPr="00D13E8E" w:rsidRDefault="00D13E8E" w:rsidP="00D13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Подпрограмма «Развитие сети автомобильных дорог общего пользования Амурской области»</w:t>
            </w:r>
          </w:p>
        </w:tc>
        <w:tc>
          <w:tcPr>
            <w:tcW w:w="1481" w:type="dxa"/>
            <w:shd w:val="clear" w:color="auto" w:fill="auto"/>
            <w:noWrap/>
            <w:hideMark/>
          </w:tcPr>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5077713,8</w:t>
            </w:r>
          </w:p>
        </w:tc>
        <w:tc>
          <w:tcPr>
            <w:tcW w:w="1463" w:type="dxa"/>
            <w:shd w:val="clear" w:color="auto" w:fill="auto"/>
            <w:noWrap/>
            <w:hideMark/>
          </w:tcPr>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4850920,3</w:t>
            </w:r>
          </w:p>
        </w:tc>
        <w:tc>
          <w:tcPr>
            <w:tcW w:w="1422" w:type="dxa"/>
            <w:shd w:val="clear" w:color="auto" w:fill="auto"/>
            <w:noWrap/>
            <w:hideMark/>
          </w:tcPr>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95,5</w:t>
            </w:r>
          </w:p>
        </w:tc>
        <w:tc>
          <w:tcPr>
            <w:tcW w:w="1371" w:type="dxa"/>
            <w:shd w:val="clear" w:color="auto" w:fill="auto"/>
            <w:noWrap/>
            <w:hideMark/>
          </w:tcPr>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-226793,5</w:t>
            </w:r>
          </w:p>
        </w:tc>
      </w:tr>
      <w:tr w:rsidR="00D13E8E" w:rsidRPr="00D13E8E" w:rsidTr="00D13E8E">
        <w:trPr>
          <w:trHeight w:val="543"/>
        </w:trPr>
        <w:tc>
          <w:tcPr>
            <w:tcW w:w="3834" w:type="dxa"/>
            <w:shd w:val="clear" w:color="auto" w:fill="auto"/>
            <w:hideMark/>
          </w:tcPr>
          <w:p w:rsidR="00D13E8E" w:rsidRPr="00D13E8E" w:rsidRDefault="00D13E8E" w:rsidP="00D13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481" w:type="dxa"/>
            <w:shd w:val="clear" w:color="auto" w:fill="auto"/>
            <w:noWrap/>
            <w:hideMark/>
          </w:tcPr>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80430,7</w:t>
            </w:r>
          </w:p>
        </w:tc>
        <w:tc>
          <w:tcPr>
            <w:tcW w:w="1463" w:type="dxa"/>
            <w:shd w:val="clear" w:color="auto" w:fill="auto"/>
            <w:noWrap/>
            <w:hideMark/>
          </w:tcPr>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78996,7</w:t>
            </w:r>
          </w:p>
        </w:tc>
        <w:tc>
          <w:tcPr>
            <w:tcW w:w="1422" w:type="dxa"/>
            <w:shd w:val="clear" w:color="auto" w:fill="auto"/>
            <w:noWrap/>
            <w:hideMark/>
          </w:tcPr>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98,2</w:t>
            </w:r>
          </w:p>
        </w:tc>
        <w:tc>
          <w:tcPr>
            <w:tcW w:w="1371" w:type="dxa"/>
            <w:shd w:val="clear" w:color="auto" w:fill="auto"/>
            <w:noWrap/>
            <w:hideMark/>
          </w:tcPr>
          <w:p w:rsidR="00D13E8E" w:rsidRPr="00D13E8E" w:rsidRDefault="00D13E8E" w:rsidP="00D13E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-1434,0</w:t>
            </w:r>
          </w:p>
        </w:tc>
      </w:tr>
    </w:tbl>
    <w:p w:rsidR="00D13E8E" w:rsidRDefault="00D13E8E" w:rsidP="00D13E8E">
      <w:pPr>
        <w:widowControl w:val="0"/>
        <w:autoSpaceDE w:val="0"/>
        <w:autoSpaceDN w:val="0"/>
        <w:adjustRightInd w:val="0"/>
        <w:spacing w:after="0" w:line="240" w:lineRule="auto"/>
        <w:ind w:left="709"/>
        <w:contextualSpacing/>
        <w:rPr>
          <w:rFonts w:ascii="Times New Roman" w:eastAsia="Times New Roman" w:hAnsi="Times New Roman" w:cs="Times New Roman"/>
          <w:i/>
          <w:sz w:val="24"/>
          <w:szCs w:val="24"/>
          <w:lang w:eastAsia="ru-RU"/>
        </w:rPr>
      </w:pPr>
    </w:p>
    <w:p w:rsidR="00227CC6" w:rsidRDefault="00227CC6" w:rsidP="00D13E8E">
      <w:pPr>
        <w:widowControl w:val="0"/>
        <w:autoSpaceDE w:val="0"/>
        <w:autoSpaceDN w:val="0"/>
        <w:adjustRightInd w:val="0"/>
        <w:spacing w:after="0" w:line="240" w:lineRule="auto"/>
        <w:ind w:left="709"/>
        <w:contextualSpacing/>
        <w:rPr>
          <w:rFonts w:ascii="Times New Roman" w:eastAsia="Times New Roman" w:hAnsi="Times New Roman" w:cs="Times New Roman"/>
          <w:i/>
          <w:sz w:val="24"/>
          <w:szCs w:val="24"/>
          <w:lang w:eastAsia="ru-RU"/>
        </w:rPr>
      </w:pPr>
    </w:p>
    <w:p w:rsidR="00D13E8E" w:rsidRPr="00D13E8E" w:rsidRDefault="00D13E8E" w:rsidP="00D13E8E">
      <w:pPr>
        <w:widowControl w:val="0"/>
        <w:numPr>
          <w:ilvl w:val="0"/>
          <w:numId w:val="7"/>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D13E8E">
        <w:rPr>
          <w:rFonts w:ascii="Times New Roman" w:eastAsia="Times New Roman" w:hAnsi="Times New Roman" w:cs="Times New Roman"/>
          <w:i/>
          <w:sz w:val="24"/>
          <w:szCs w:val="24"/>
          <w:lang w:eastAsia="ru-RU"/>
        </w:rPr>
        <w:lastRenderedPageBreak/>
        <w:t>Подпрограмма «Развитие транспортного комплекса»</w:t>
      </w:r>
    </w:p>
    <w:p w:rsidR="00D13E8E" w:rsidRPr="00D13E8E" w:rsidRDefault="00D13E8E" w:rsidP="00D13E8E">
      <w:pPr>
        <w:spacing w:after="0" w:line="240" w:lineRule="auto"/>
        <w:ind w:firstLine="709"/>
        <w:jc w:val="both"/>
        <w:rPr>
          <w:rFonts w:ascii="Times New Roman" w:eastAsia="Calibri" w:hAnsi="Times New Roman" w:cs="Times New Roman"/>
          <w:sz w:val="24"/>
          <w:szCs w:val="24"/>
        </w:rPr>
      </w:pPr>
      <w:r w:rsidRPr="00D13E8E">
        <w:rPr>
          <w:rFonts w:ascii="Times New Roman" w:eastAsia="Times New Roman" w:hAnsi="Times New Roman" w:cs="Times New Roman"/>
          <w:sz w:val="24"/>
          <w:szCs w:val="24"/>
          <w:lang w:eastAsia="ru-RU"/>
        </w:rPr>
        <w:t>Сводной бюджетной росписью н</w:t>
      </w:r>
      <w:r w:rsidRPr="00D13E8E">
        <w:rPr>
          <w:rFonts w:ascii="Times New Roman" w:eastAsia="Calibri" w:hAnsi="Times New Roman" w:cs="Times New Roman"/>
          <w:sz w:val="24"/>
          <w:szCs w:val="24"/>
        </w:rPr>
        <w:t xml:space="preserve">а реализацию подпрограммы в 2015 году по целевой статье расходов 0310000 утверждены ассигнования областного бюджета в </w:t>
      </w:r>
      <w:r w:rsidRPr="00D13E8E">
        <w:rPr>
          <w:rFonts w:ascii="Times New Roman" w:eastAsia="Calibri" w:hAnsi="Times New Roman" w:cs="Times New Roman"/>
          <w:sz w:val="24"/>
          <w:szCs w:val="24"/>
        </w:rPr>
        <w:br/>
        <w:t>сумме 144221,6 тыс. рублей. В общем объеме расходов государственной программы доля расходов по данной подпрограмме составляет 2,8 процента.</w:t>
      </w:r>
    </w:p>
    <w:p w:rsidR="00D13E8E" w:rsidRPr="00D13E8E" w:rsidRDefault="00D13E8E" w:rsidP="00D13E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Уровень исполнения расходов, предусмотренных на реализацию мероприятий подпрограммы, составил 99,9 процента.</w:t>
      </w:r>
    </w:p>
    <w:p w:rsidR="00D13E8E" w:rsidRPr="00D13E8E" w:rsidRDefault="00D13E8E" w:rsidP="00D13E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3E8E">
        <w:rPr>
          <w:rFonts w:ascii="Times New Roman" w:eastAsia="Calibri" w:hAnsi="Times New Roman" w:cs="Times New Roman"/>
          <w:sz w:val="24"/>
          <w:szCs w:val="24"/>
        </w:rPr>
        <w:t>Стопроцентное исполнение ассигнований, предусмотренных в виде межбюджетных трансфертов, сложилось по мероприятиям: «Оказание государственной поддержки юридическим лицам и индивидуальным предпринимателям в целях обеспечения населения транспортными услугами на железнодорожном, автомобильном и внутреннем водном видах транспорта» и «Осуществление переданных государственных полномочий Амурской области по организации транспортного обслуживания населения автомобиль</w:t>
      </w:r>
      <w:r w:rsidR="00227CC6">
        <w:rPr>
          <w:rFonts w:ascii="Times New Roman" w:eastAsia="Calibri" w:hAnsi="Times New Roman" w:cs="Times New Roman"/>
          <w:sz w:val="24"/>
          <w:szCs w:val="24"/>
        </w:rPr>
        <w:t>ным транспортом».</w:t>
      </w:r>
    </w:p>
    <w:p w:rsidR="00D13E8E" w:rsidRPr="00D13E8E" w:rsidRDefault="00D13E8E" w:rsidP="00D13E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3E8E">
        <w:rPr>
          <w:rFonts w:ascii="Times New Roman" w:eastAsia="Calibri" w:hAnsi="Times New Roman" w:cs="Times New Roman"/>
          <w:sz w:val="24"/>
          <w:szCs w:val="24"/>
        </w:rPr>
        <w:t>Низкий уровень исполнения расходов областного бюджета (97,1 процента) сложился по мероприятию «Обеспечение безопасности дорожного движения».</w:t>
      </w:r>
    </w:p>
    <w:p w:rsidR="00D13E8E" w:rsidRPr="00D13E8E" w:rsidRDefault="00D13E8E" w:rsidP="00D13E8E">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D13E8E">
        <w:rPr>
          <w:rFonts w:ascii="Times New Roman" w:eastAsia="Times New Roman" w:hAnsi="Times New Roman" w:cs="Times New Roman"/>
          <w:i/>
          <w:sz w:val="24"/>
          <w:szCs w:val="24"/>
          <w:lang w:eastAsia="ru-RU"/>
        </w:rPr>
        <w:t>Подпрограмма «Развитие сети автомобильных дорог общего пользования Амурской области»</w:t>
      </w:r>
    </w:p>
    <w:p w:rsidR="00D13E8E" w:rsidRPr="00D13E8E" w:rsidRDefault="00D13E8E" w:rsidP="00D13E8E">
      <w:pPr>
        <w:spacing w:after="0" w:line="240" w:lineRule="auto"/>
        <w:ind w:firstLine="709"/>
        <w:jc w:val="both"/>
        <w:rPr>
          <w:rFonts w:ascii="Times New Roman" w:eastAsia="Calibri" w:hAnsi="Times New Roman" w:cs="Times New Roman"/>
          <w:sz w:val="24"/>
          <w:szCs w:val="24"/>
        </w:rPr>
      </w:pPr>
      <w:r w:rsidRPr="00D13E8E">
        <w:rPr>
          <w:rFonts w:ascii="Times New Roman" w:eastAsia="Calibri" w:hAnsi="Times New Roman" w:cs="Times New Roman"/>
          <w:sz w:val="24"/>
          <w:szCs w:val="24"/>
        </w:rPr>
        <w:t>В соответствии с Порядком формирования и использования бюджетных ассигнований дорожного фонда Амурской области, утвержденным постановлением Правительства Амурской области от 28.12.2011 № 956, финансирование мероприятий подпрограммы «Развитие сети автомобильных дорог общего пользования» осуществляется за счет ассигнований дорожного фонда области. Бюджетные ассигнования по подпрограмме утверждены в расходах областного бюджета по целевой статье расходов 1320000 в сумме 5077713,8 тыс. рублей, в том числе за счет средств федерального бюджета – 2720425,4 тыс. рублей, областного бюджета – 2357288,4 тыс. рублей, и соответствуют ассигнованиям государственной программы. В общем объеме расходов государственной программы доля расходов по подпрограмме составляет 95,6 процента.</w:t>
      </w:r>
    </w:p>
    <w:p w:rsidR="00D13E8E" w:rsidRPr="00D13E8E" w:rsidRDefault="00D13E8E" w:rsidP="00D13E8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Уровень исполнения расходов, предусмотренных на реализацию мероприятий подпрограммы, составил 95,5 процента.</w:t>
      </w:r>
    </w:p>
    <w:p w:rsidR="00D13E8E" w:rsidRPr="00D13E8E" w:rsidRDefault="00D13E8E" w:rsidP="00D13E8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3E8E">
        <w:rPr>
          <w:rFonts w:ascii="Times New Roman" w:eastAsia="Calibri" w:hAnsi="Times New Roman" w:cs="Times New Roman"/>
          <w:sz w:val="24"/>
          <w:szCs w:val="24"/>
        </w:rPr>
        <w:t xml:space="preserve">Ассигнования, предусмотренные на обеспечение деятельности (оказание услуг) государственных учреждений исполнены в объеме 385377,5 тыс. рублей, или на </w:t>
      </w:r>
      <w:r w:rsidRPr="00D13E8E">
        <w:rPr>
          <w:rFonts w:ascii="Times New Roman" w:eastAsia="Calibri" w:hAnsi="Times New Roman" w:cs="Times New Roman"/>
          <w:sz w:val="24"/>
          <w:szCs w:val="24"/>
        </w:rPr>
        <w:br/>
        <w:t>99,6 процента.</w:t>
      </w:r>
    </w:p>
    <w:p w:rsidR="00D13E8E" w:rsidRPr="00D13E8E" w:rsidRDefault="00D13E8E" w:rsidP="00D13E8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3E8E">
        <w:rPr>
          <w:rFonts w:ascii="Times New Roman" w:eastAsia="Calibri" w:hAnsi="Times New Roman" w:cs="Times New Roman"/>
          <w:sz w:val="24"/>
          <w:szCs w:val="24"/>
        </w:rPr>
        <w:t>Исполнение ассигнований на мероприятие «Обеспечение содержания, ремонта автомобильных дорог общего пользования регионального или межмуниципального значения» составило 815586,7 тыс. рублей, что составляет 97,9 процента.</w:t>
      </w:r>
    </w:p>
    <w:p w:rsidR="00D13E8E" w:rsidRPr="00D13E8E" w:rsidRDefault="00D13E8E" w:rsidP="00D13E8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3E8E">
        <w:rPr>
          <w:rFonts w:ascii="Times New Roman" w:eastAsia="Calibri" w:hAnsi="Times New Roman" w:cs="Times New Roman"/>
          <w:sz w:val="24"/>
          <w:szCs w:val="24"/>
        </w:rPr>
        <w:t>Ассигнования по мероприятию «Капитальные вложения в объекты государственной собственности» исполнены в сумме 362596,9 тыс. рублей (99,9 процента).</w:t>
      </w:r>
    </w:p>
    <w:p w:rsidR="00D13E8E" w:rsidRPr="00D13E8E" w:rsidRDefault="00D13E8E" w:rsidP="00D13E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3E8E">
        <w:rPr>
          <w:rFonts w:ascii="Times New Roman" w:eastAsia="Calibri" w:hAnsi="Times New Roman" w:cs="Times New Roman"/>
          <w:sz w:val="24"/>
          <w:szCs w:val="24"/>
        </w:rPr>
        <w:t>В полном объеме исполнены ассигнования на следующие мероприятия:</w:t>
      </w:r>
    </w:p>
    <w:p w:rsidR="00D13E8E" w:rsidRPr="00D13E8E" w:rsidRDefault="00D13E8E" w:rsidP="0014690C">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«Капитальный ремонт автомобильных дорог общего пользования регионального или межмуниципального значения» - 48815,4 тыс. рублей;</w:t>
      </w:r>
    </w:p>
    <w:p w:rsidR="00D13E8E" w:rsidRPr="00D13E8E" w:rsidRDefault="00D13E8E" w:rsidP="0014690C">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«Финансовое обеспечение дорожной деятельности» - 148139,3 тыс. рублей;</w:t>
      </w:r>
    </w:p>
    <w:p w:rsidR="00D13E8E" w:rsidRPr="00D13E8E" w:rsidRDefault="00D13E8E" w:rsidP="0014690C">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- 726278,8 тыс. рублей.</w:t>
      </w:r>
    </w:p>
    <w:p w:rsidR="00D13E8E" w:rsidRPr="00D13E8E" w:rsidRDefault="00D13E8E" w:rsidP="00D13E8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3E8E">
        <w:rPr>
          <w:rFonts w:ascii="Times New Roman" w:eastAsia="Calibri" w:hAnsi="Times New Roman" w:cs="Times New Roman"/>
          <w:sz w:val="24"/>
          <w:szCs w:val="24"/>
        </w:rPr>
        <w:t xml:space="preserve">Низкий уровень исполнения (86,3 процента) сложился по мероприятиям «Реализация мероприятий региональных программ в сфере дорожного хозяйства по решениям Правительства Российской Федерации» и «Финансовое обеспечение мероприятий по экономическому и социальному развитию Дальнего Востока и Байкальского региона на период до 2018 года» (92,7 процента), источником финансирования которого являлись средства федерального бюджета. Объем исполненных ассигнований по мероприятию «Реализация мероприятий региональных программ в сфере дорожного хозяйства по решениям Правительства Российской Федерации» составил 282163,1 тыс. рублей при </w:t>
      </w:r>
      <w:r w:rsidRPr="00D13E8E">
        <w:rPr>
          <w:rFonts w:ascii="Times New Roman" w:eastAsia="Calibri" w:hAnsi="Times New Roman" w:cs="Times New Roman"/>
          <w:sz w:val="24"/>
          <w:szCs w:val="24"/>
        </w:rPr>
        <w:lastRenderedPageBreak/>
        <w:t>доведенных плановых назначениях – 326786,1 тыс. рублей. По мероприятию «Финансовое обеспечение мероприятий по экономическому и социальному развитию Дальнего Востока и Байкальского региона на период до 2018 года» исполнение составило 2081962,6 тыс. рублей при доведенных плановых назначениях - 2245500,1 тыс. рублей.</w:t>
      </w:r>
    </w:p>
    <w:p w:rsidR="00D13E8E" w:rsidRPr="00D13E8E" w:rsidRDefault="00D13E8E" w:rsidP="00D13E8E">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D13E8E">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D13E8E" w:rsidRPr="00D13E8E" w:rsidRDefault="00D13E8E" w:rsidP="00D13E8E">
      <w:pPr>
        <w:spacing w:after="0" w:line="240" w:lineRule="auto"/>
        <w:ind w:firstLine="709"/>
        <w:jc w:val="both"/>
        <w:rPr>
          <w:rFonts w:ascii="Times New Roman" w:eastAsia="Calibri" w:hAnsi="Times New Roman" w:cs="Times New Roman"/>
          <w:sz w:val="24"/>
          <w:szCs w:val="24"/>
        </w:rPr>
      </w:pPr>
      <w:r w:rsidRPr="00D13E8E">
        <w:rPr>
          <w:rFonts w:ascii="Times New Roman" w:eastAsia="Calibri" w:hAnsi="Times New Roman" w:cs="Times New Roman"/>
          <w:sz w:val="24"/>
          <w:szCs w:val="24"/>
        </w:rPr>
        <w:t>Ассигнования областного бюджета по подпрограмме утверждены в расходах областного бюджета по целевой статье расходов 1340000 в сумме 80430,7 тыс. рублей. В общем объеме расходов государственной программы доля расходов по данной подпрограмме составляет 1,6 процента. Уровень исполнения расходов, предусмотренных на реализацию мероприятий подпрограммы, составил 98,2 процента. В рамках подпрограммы</w:t>
      </w:r>
      <w:r w:rsidRPr="00D13E8E">
        <w:rPr>
          <w:rFonts w:ascii="Calibri" w:eastAsia="Calibri" w:hAnsi="Calibri" w:cs="Times New Roman"/>
          <w:sz w:val="24"/>
          <w:szCs w:val="24"/>
        </w:rPr>
        <w:t xml:space="preserve"> </w:t>
      </w:r>
      <w:r w:rsidRPr="00D13E8E">
        <w:rPr>
          <w:rFonts w:ascii="Times New Roman" w:eastAsia="Calibri" w:hAnsi="Times New Roman" w:cs="Times New Roman"/>
          <w:sz w:val="24"/>
          <w:szCs w:val="24"/>
        </w:rPr>
        <w:t>осуществлялось финансирование расходов на обеспечение функций исполнительных органов государственной власти – министерства транспорта и строительства Амурской области</w:t>
      </w:r>
      <w:r w:rsidRPr="00D13E8E">
        <w:rPr>
          <w:rFonts w:ascii="Calibri" w:eastAsia="Calibri" w:hAnsi="Calibri" w:cs="Times New Roman"/>
        </w:rPr>
        <w:t xml:space="preserve"> </w:t>
      </w:r>
      <w:r w:rsidRPr="00D13E8E">
        <w:rPr>
          <w:rFonts w:ascii="Times New Roman" w:eastAsia="Calibri" w:hAnsi="Times New Roman" w:cs="Times New Roman"/>
          <w:sz w:val="24"/>
          <w:szCs w:val="24"/>
        </w:rPr>
        <w:t>и государственной инспекции по надзору за техническим состоянием самоходных машин и других видов техники Амурской области.</w:t>
      </w:r>
    </w:p>
    <w:p w:rsidR="00D13E8E" w:rsidRPr="001F70B3" w:rsidRDefault="00D13E8E" w:rsidP="00D13E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3E8E">
        <w:rPr>
          <w:rFonts w:ascii="Times New Roman" w:eastAsia="Times New Roman" w:hAnsi="Times New Roman" w:cs="Times New Roman"/>
          <w:sz w:val="24"/>
          <w:szCs w:val="24"/>
          <w:lang w:eastAsia="ru-RU"/>
        </w:rPr>
        <w:t xml:space="preserve">Основные направления расходов по государственной программе представлены на </w:t>
      </w:r>
      <w:r w:rsidRPr="001F70B3">
        <w:rPr>
          <w:rFonts w:ascii="Times New Roman" w:eastAsia="Times New Roman" w:hAnsi="Times New Roman" w:cs="Times New Roman"/>
          <w:sz w:val="24"/>
          <w:szCs w:val="24"/>
          <w:lang w:eastAsia="ru-RU"/>
        </w:rPr>
        <w:t xml:space="preserve">рисунке </w:t>
      </w:r>
      <w:r w:rsidR="001F70B3" w:rsidRPr="001F70B3">
        <w:rPr>
          <w:rFonts w:ascii="Times New Roman" w:eastAsia="Times New Roman" w:hAnsi="Times New Roman" w:cs="Times New Roman"/>
          <w:sz w:val="24"/>
          <w:szCs w:val="24"/>
          <w:lang w:eastAsia="ru-RU"/>
        </w:rPr>
        <w:t>3</w:t>
      </w:r>
      <w:r w:rsidRPr="001F70B3">
        <w:rPr>
          <w:rFonts w:ascii="Times New Roman" w:eastAsia="Times New Roman" w:hAnsi="Times New Roman" w:cs="Times New Roman"/>
          <w:sz w:val="24"/>
          <w:szCs w:val="24"/>
          <w:lang w:eastAsia="ru-RU"/>
        </w:rPr>
        <w:t>5.</w:t>
      </w:r>
    </w:p>
    <w:p w:rsidR="00D13E8E" w:rsidRPr="00D13E8E" w:rsidRDefault="00D13E8E" w:rsidP="00227CC6">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6153150" cy="4286250"/>
            <wp:effectExtent l="0" t="0" r="0" b="0"/>
            <wp:docPr id="42"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13E8E" w:rsidRPr="00D13E8E" w:rsidRDefault="00D13E8E" w:rsidP="00D13E8E">
      <w:pPr>
        <w:spacing w:after="0" w:line="240" w:lineRule="auto"/>
        <w:ind w:firstLine="709"/>
        <w:jc w:val="center"/>
        <w:rPr>
          <w:rFonts w:ascii="Times New Roman" w:eastAsia="Calibri" w:hAnsi="Times New Roman" w:cs="Times New Roman"/>
          <w:b/>
          <w:noProof/>
          <w:sz w:val="24"/>
          <w:szCs w:val="24"/>
          <w:lang w:eastAsia="ru-RU"/>
        </w:rPr>
      </w:pPr>
      <w:r w:rsidRPr="00D13E8E">
        <w:rPr>
          <w:rFonts w:ascii="Times New Roman" w:eastAsia="Calibri" w:hAnsi="Times New Roman" w:cs="Times New Roman"/>
          <w:b/>
          <w:noProof/>
          <w:sz w:val="24"/>
          <w:szCs w:val="24"/>
          <w:lang w:eastAsia="ru-RU"/>
        </w:rPr>
        <w:t>Рис.</w:t>
      </w:r>
      <w:r>
        <w:rPr>
          <w:rFonts w:ascii="Times New Roman" w:eastAsia="Calibri" w:hAnsi="Times New Roman" w:cs="Times New Roman"/>
          <w:b/>
          <w:noProof/>
          <w:sz w:val="24"/>
          <w:szCs w:val="24"/>
          <w:lang w:eastAsia="ru-RU"/>
        </w:rPr>
        <w:t xml:space="preserve"> </w:t>
      </w:r>
      <w:r w:rsidR="001F70B3">
        <w:rPr>
          <w:rFonts w:ascii="Times New Roman" w:eastAsia="Calibri" w:hAnsi="Times New Roman" w:cs="Times New Roman"/>
          <w:b/>
          <w:noProof/>
          <w:sz w:val="24"/>
          <w:szCs w:val="24"/>
          <w:lang w:eastAsia="ru-RU"/>
        </w:rPr>
        <w:t xml:space="preserve">35 </w:t>
      </w:r>
      <w:r w:rsidRPr="00D13E8E">
        <w:rPr>
          <w:rFonts w:ascii="Times New Roman" w:eastAsia="Calibri" w:hAnsi="Times New Roman" w:cs="Times New Roman"/>
          <w:b/>
          <w:noProof/>
          <w:sz w:val="24"/>
          <w:szCs w:val="24"/>
          <w:lang w:eastAsia="ru-RU"/>
        </w:rPr>
        <w:t xml:space="preserve">– Основные направления расходов по государственной программе </w:t>
      </w:r>
      <w:r w:rsidRPr="00D13E8E">
        <w:rPr>
          <w:rFonts w:ascii="Times New Roman" w:eastAsia="Times New Roman" w:hAnsi="Times New Roman" w:cs="Times New Roman"/>
          <w:b/>
          <w:sz w:val="24"/>
          <w:szCs w:val="24"/>
          <w:lang w:eastAsia="ru-RU"/>
        </w:rPr>
        <w:t>«Развитие транспортной системы Амурской области на 2014–2020 годы»</w:t>
      </w:r>
      <w:r>
        <w:rPr>
          <w:rFonts w:ascii="Times New Roman" w:eastAsia="Calibri" w:hAnsi="Times New Roman" w:cs="Times New Roman"/>
          <w:b/>
          <w:noProof/>
          <w:sz w:val="24"/>
          <w:szCs w:val="24"/>
          <w:lang w:eastAsia="ru-RU"/>
        </w:rPr>
        <w:t xml:space="preserve"> в 2015 году</w:t>
      </w:r>
      <w:r w:rsidR="00227CC6">
        <w:rPr>
          <w:rFonts w:ascii="Times New Roman" w:eastAsia="Calibri" w:hAnsi="Times New Roman" w:cs="Times New Roman"/>
          <w:b/>
          <w:noProof/>
          <w:sz w:val="24"/>
          <w:szCs w:val="24"/>
          <w:lang w:eastAsia="ru-RU"/>
        </w:rPr>
        <w:t>, млн. руб.</w:t>
      </w:r>
    </w:p>
    <w:p w:rsidR="00D13E8E" w:rsidRPr="00D13E8E" w:rsidRDefault="00D13E8E" w:rsidP="00D13E8E">
      <w:pPr>
        <w:spacing w:after="0" w:line="240" w:lineRule="auto"/>
        <w:ind w:firstLine="709"/>
        <w:rPr>
          <w:rFonts w:ascii="Calibri" w:eastAsia="Calibri" w:hAnsi="Calibri" w:cs="Times New Roman"/>
        </w:rPr>
      </w:pPr>
    </w:p>
    <w:p w:rsidR="008F689F" w:rsidRPr="00820AE7" w:rsidRDefault="002056F5" w:rsidP="008F689F">
      <w:pPr>
        <w:spacing w:after="0" w:line="240" w:lineRule="auto"/>
        <w:ind w:firstLine="709"/>
        <w:jc w:val="both"/>
        <w:rPr>
          <w:rFonts w:ascii="Times New Roman" w:hAnsi="Times New Roman" w:cs="Times New Roman"/>
          <w:b/>
          <w:sz w:val="24"/>
          <w:szCs w:val="24"/>
        </w:rPr>
      </w:pPr>
      <w:r w:rsidRPr="00D13E8E">
        <w:rPr>
          <w:rFonts w:ascii="Times New Roman" w:eastAsia="Times New Roman" w:hAnsi="Times New Roman" w:cs="Times New Roman"/>
          <w:b/>
          <w:sz w:val="24"/>
          <w:szCs w:val="24"/>
          <w:lang w:eastAsia="ru-RU"/>
        </w:rPr>
        <w:t>5.1</w:t>
      </w:r>
      <w:r>
        <w:rPr>
          <w:rFonts w:ascii="Times New Roman" w:eastAsia="Times New Roman" w:hAnsi="Times New Roman" w:cs="Times New Roman"/>
          <w:b/>
          <w:sz w:val="24"/>
          <w:szCs w:val="24"/>
          <w:lang w:eastAsia="ru-RU"/>
        </w:rPr>
        <w:t>4</w:t>
      </w:r>
      <w:r w:rsidRPr="00D13E8E">
        <w:rPr>
          <w:rFonts w:ascii="Times New Roman" w:eastAsia="Times New Roman" w:hAnsi="Times New Roman" w:cs="Times New Roman"/>
          <w:b/>
          <w:sz w:val="24"/>
          <w:szCs w:val="24"/>
          <w:lang w:eastAsia="ru-RU"/>
        </w:rPr>
        <w:t xml:space="preserve">. Исполнение расходов областного бюджета за 2015 год </w:t>
      </w:r>
      <w:r>
        <w:rPr>
          <w:rFonts w:ascii="Times New Roman" w:eastAsia="Times New Roman" w:hAnsi="Times New Roman" w:cs="Times New Roman"/>
          <w:b/>
          <w:sz w:val="24"/>
          <w:szCs w:val="24"/>
          <w:lang w:eastAsia="ru-RU"/>
        </w:rPr>
        <w:t>по н</w:t>
      </w:r>
      <w:r w:rsidR="008F689F" w:rsidRPr="00820AE7">
        <w:rPr>
          <w:rFonts w:ascii="Times New Roman" w:hAnsi="Times New Roman" w:cs="Times New Roman"/>
          <w:b/>
          <w:sz w:val="24"/>
          <w:szCs w:val="24"/>
        </w:rPr>
        <w:t>епрограммны</w:t>
      </w:r>
      <w:r>
        <w:rPr>
          <w:rFonts w:ascii="Times New Roman" w:hAnsi="Times New Roman" w:cs="Times New Roman"/>
          <w:b/>
          <w:sz w:val="24"/>
          <w:szCs w:val="24"/>
        </w:rPr>
        <w:t>м</w:t>
      </w:r>
      <w:r w:rsidR="008F689F" w:rsidRPr="00820AE7">
        <w:rPr>
          <w:rFonts w:ascii="Times New Roman" w:hAnsi="Times New Roman" w:cs="Times New Roman"/>
          <w:b/>
          <w:sz w:val="24"/>
          <w:szCs w:val="24"/>
        </w:rPr>
        <w:t xml:space="preserve"> расход</w:t>
      </w:r>
      <w:r>
        <w:rPr>
          <w:rFonts w:ascii="Times New Roman" w:hAnsi="Times New Roman" w:cs="Times New Roman"/>
          <w:b/>
          <w:sz w:val="24"/>
          <w:szCs w:val="24"/>
        </w:rPr>
        <w:t>ам</w:t>
      </w:r>
      <w:r w:rsidR="008F689F" w:rsidRPr="00820AE7">
        <w:rPr>
          <w:rFonts w:ascii="Times New Roman" w:hAnsi="Times New Roman" w:cs="Times New Roman"/>
          <w:b/>
          <w:sz w:val="24"/>
          <w:szCs w:val="24"/>
        </w:rPr>
        <w:t xml:space="preserve"> областного бюджета</w:t>
      </w:r>
    </w:p>
    <w:p w:rsidR="008F689F" w:rsidRPr="00820AE7" w:rsidRDefault="008F689F" w:rsidP="008F689F">
      <w:pPr>
        <w:spacing w:after="0" w:line="240" w:lineRule="auto"/>
        <w:ind w:firstLine="709"/>
        <w:jc w:val="both"/>
        <w:rPr>
          <w:rFonts w:ascii="Times New Roman" w:hAnsi="Times New Roman" w:cs="Times New Roman"/>
          <w:sz w:val="24"/>
          <w:szCs w:val="24"/>
        </w:rPr>
      </w:pPr>
      <w:r w:rsidRPr="00820AE7">
        <w:rPr>
          <w:rFonts w:ascii="Times New Roman" w:hAnsi="Times New Roman" w:cs="Times New Roman"/>
          <w:sz w:val="24"/>
          <w:szCs w:val="24"/>
        </w:rPr>
        <w:t xml:space="preserve">Законом области об областном бюджете на 2015 год и плановый период 2016 и </w:t>
      </w:r>
      <w:r>
        <w:rPr>
          <w:rFonts w:ascii="Times New Roman" w:hAnsi="Times New Roman" w:cs="Times New Roman"/>
          <w:sz w:val="24"/>
          <w:szCs w:val="24"/>
        </w:rPr>
        <w:br/>
      </w:r>
      <w:r w:rsidRPr="00820AE7">
        <w:rPr>
          <w:rFonts w:ascii="Times New Roman" w:hAnsi="Times New Roman" w:cs="Times New Roman"/>
          <w:sz w:val="24"/>
          <w:szCs w:val="24"/>
        </w:rPr>
        <w:t xml:space="preserve">2017 годов непрограммные расходы на 2015 год утверждены в сумме </w:t>
      </w:r>
      <w:r>
        <w:rPr>
          <w:rFonts w:ascii="Times New Roman" w:hAnsi="Times New Roman" w:cs="Times New Roman"/>
          <w:sz w:val="24"/>
          <w:szCs w:val="24"/>
        </w:rPr>
        <w:t>777176,1</w:t>
      </w:r>
      <w:r w:rsidRPr="00820AE7">
        <w:rPr>
          <w:rFonts w:ascii="Times New Roman" w:hAnsi="Times New Roman" w:cs="Times New Roman"/>
          <w:sz w:val="24"/>
          <w:szCs w:val="24"/>
        </w:rPr>
        <w:t xml:space="preserve"> тыс. рублей.</w:t>
      </w:r>
    </w:p>
    <w:p w:rsidR="008F689F" w:rsidRPr="00820AE7" w:rsidRDefault="008F689F" w:rsidP="008F689F">
      <w:pPr>
        <w:spacing w:after="0" w:line="240" w:lineRule="auto"/>
        <w:ind w:firstLine="709"/>
        <w:jc w:val="both"/>
        <w:rPr>
          <w:rFonts w:ascii="Times New Roman" w:hAnsi="Times New Roman" w:cs="Times New Roman"/>
          <w:sz w:val="24"/>
          <w:szCs w:val="24"/>
        </w:rPr>
      </w:pPr>
      <w:r w:rsidRPr="00820AE7">
        <w:rPr>
          <w:rFonts w:ascii="Times New Roman" w:hAnsi="Times New Roman" w:cs="Times New Roman"/>
          <w:sz w:val="24"/>
          <w:szCs w:val="24"/>
        </w:rPr>
        <w:t xml:space="preserve">Согласно бюджетной росписи расходов областного бюджета на 2015 год объем непрограммных расходов утвержден в сумме </w:t>
      </w:r>
      <w:r>
        <w:rPr>
          <w:rFonts w:ascii="Times New Roman" w:hAnsi="Times New Roman" w:cs="Times New Roman"/>
          <w:sz w:val="24"/>
          <w:szCs w:val="24"/>
        </w:rPr>
        <w:t>800188,3</w:t>
      </w:r>
      <w:r w:rsidRPr="00820AE7">
        <w:rPr>
          <w:rFonts w:ascii="Times New Roman" w:hAnsi="Times New Roman" w:cs="Times New Roman"/>
          <w:b/>
          <w:sz w:val="24"/>
          <w:szCs w:val="24"/>
        </w:rPr>
        <w:t xml:space="preserve"> </w:t>
      </w:r>
      <w:r w:rsidR="00530C30">
        <w:rPr>
          <w:rFonts w:ascii="Times New Roman" w:hAnsi="Times New Roman" w:cs="Times New Roman"/>
          <w:sz w:val="24"/>
          <w:szCs w:val="24"/>
        </w:rPr>
        <w:t>тыс. рублей.</w:t>
      </w:r>
    </w:p>
    <w:p w:rsidR="008F689F" w:rsidRPr="00820AE7" w:rsidRDefault="008F689F" w:rsidP="008F689F">
      <w:pPr>
        <w:spacing w:after="0" w:line="240" w:lineRule="auto"/>
        <w:ind w:firstLine="709"/>
        <w:jc w:val="both"/>
        <w:rPr>
          <w:rFonts w:ascii="Times New Roman" w:hAnsi="Times New Roman" w:cs="Times New Roman"/>
          <w:sz w:val="24"/>
          <w:szCs w:val="24"/>
        </w:rPr>
      </w:pPr>
      <w:r w:rsidRPr="00820AE7">
        <w:rPr>
          <w:rFonts w:ascii="Times New Roman" w:hAnsi="Times New Roman" w:cs="Times New Roman"/>
          <w:sz w:val="24"/>
          <w:szCs w:val="24"/>
        </w:rPr>
        <w:lastRenderedPageBreak/>
        <w:t>Общий объем ассигнований, предусмотренный сводной бюджетной росписью расходов, больше объема ассигнований, утвержденных законом области об областном бюджете, на 23012,2 тыс. рублей, или 3,0 процента.</w:t>
      </w:r>
    </w:p>
    <w:p w:rsidR="008F689F" w:rsidRPr="00820AE7" w:rsidRDefault="008F689F" w:rsidP="008F689F">
      <w:pPr>
        <w:spacing w:after="0" w:line="240" w:lineRule="auto"/>
        <w:ind w:firstLine="709"/>
        <w:jc w:val="both"/>
        <w:rPr>
          <w:rFonts w:ascii="Times New Roman" w:hAnsi="Times New Roman" w:cs="Times New Roman"/>
          <w:sz w:val="24"/>
          <w:szCs w:val="24"/>
        </w:rPr>
      </w:pPr>
      <w:r w:rsidRPr="00820AE7">
        <w:rPr>
          <w:rFonts w:ascii="Times New Roman" w:hAnsi="Times New Roman" w:cs="Times New Roman"/>
          <w:sz w:val="24"/>
          <w:szCs w:val="24"/>
        </w:rPr>
        <w:t>В сводную бюджетную роспись внесены изменения, без внесения изменений в закон о бюджете, по следующим расходам:</w:t>
      </w:r>
    </w:p>
    <w:p w:rsidR="008F689F" w:rsidRPr="00820AE7" w:rsidRDefault="00530C30" w:rsidP="008F6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F689F" w:rsidRPr="00820AE7">
        <w:rPr>
          <w:rFonts w:ascii="Times New Roman" w:hAnsi="Times New Roman" w:cs="Times New Roman"/>
          <w:sz w:val="24"/>
          <w:szCs w:val="24"/>
        </w:rPr>
        <w:t>резервному фонду Правительства Российской Федерации по предупреждению и ликвидации чрезвычайных ситуаций и последствий стихийных бедствий в сумме 600,0 тыс. рублей;</w:t>
      </w:r>
    </w:p>
    <w:p w:rsidR="008F689F" w:rsidRPr="00B108D0" w:rsidRDefault="00530C30" w:rsidP="008F6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F689F" w:rsidRPr="00B108D0">
        <w:rPr>
          <w:rFonts w:ascii="Times New Roman" w:hAnsi="Times New Roman" w:cs="Times New Roman"/>
          <w:sz w:val="24"/>
          <w:szCs w:val="24"/>
        </w:rPr>
        <w:t>на обеспечение деятельности депутатов Государственной Думы и их помощников в избирательных округах в сумме 6581,4 тыс. рублей;</w:t>
      </w:r>
    </w:p>
    <w:p w:rsidR="008F689F" w:rsidRPr="00B108D0" w:rsidRDefault="00530C30" w:rsidP="008F6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F689F" w:rsidRPr="00B108D0">
        <w:rPr>
          <w:rFonts w:ascii="Times New Roman" w:hAnsi="Times New Roman" w:cs="Times New Roman"/>
          <w:sz w:val="24"/>
          <w:szCs w:val="24"/>
        </w:rPr>
        <w:t>на обеспечение членов Совета Федерации и их помощников в субъектах Российской Федерации в сумме 1873,1 тыс. рублей;</w:t>
      </w:r>
    </w:p>
    <w:p w:rsidR="008F689F" w:rsidRPr="00B108D0" w:rsidRDefault="00530C30" w:rsidP="008F6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F689F" w:rsidRPr="00B108D0">
        <w:rPr>
          <w:rFonts w:ascii="Times New Roman" w:hAnsi="Times New Roman" w:cs="Times New Roman"/>
          <w:sz w:val="24"/>
          <w:szCs w:val="24"/>
        </w:rPr>
        <w:t>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сумме 3675,3 тыс. рублей;</w:t>
      </w:r>
    </w:p>
    <w:p w:rsidR="008F689F" w:rsidRPr="00B108D0" w:rsidRDefault="00530C30" w:rsidP="008F6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F689F" w:rsidRPr="00B108D0">
        <w:rPr>
          <w:rFonts w:ascii="Times New Roman" w:hAnsi="Times New Roman" w:cs="Times New Roman"/>
          <w:sz w:val="24"/>
          <w:szCs w:val="24"/>
        </w:rPr>
        <w:t>на компенсацию расходов, связанн</w:t>
      </w:r>
      <w:r w:rsidR="008F689F">
        <w:rPr>
          <w:rFonts w:ascii="Times New Roman" w:hAnsi="Times New Roman" w:cs="Times New Roman"/>
          <w:sz w:val="24"/>
          <w:szCs w:val="24"/>
        </w:rPr>
        <w:t>ых</w:t>
      </w:r>
      <w:r w:rsidR="008F689F" w:rsidRPr="00B108D0">
        <w:rPr>
          <w:rFonts w:ascii="Times New Roman" w:hAnsi="Times New Roman" w:cs="Times New Roman"/>
          <w:sz w:val="24"/>
          <w:szCs w:val="24"/>
        </w:rPr>
        <w:t xml:space="preserve"> с оказанием в 2014-2015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в сумме 883,5 тыс. рублей;</w:t>
      </w:r>
    </w:p>
    <w:p w:rsidR="008F689F" w:rsidRPr="00B108D0" w:rsidRDefault="00530C30" w:rsidP="008F6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F689F" w:rsidRPr="00B108D0">
        <w:rPr>
          <w:rFonts w:ascii="Times New Roman" w:hAnsi="Times New Roman" w:cs="Times New Roman"/>
          <w:sz w:val="24"/>
          <w:szCs w:val="24"/>
        </w:rPr>
        <w:t>на 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w:t>
      </w:r>
      <w:r>
        <w:rPr>
          <w:rFonts w:ascii="Times New Roman" w:hAnsi="Times New Roman" w:cs="Times New Roman"/>
          <w:sz w:val="24"/>
          <w:szCs w:val="24"/>
        </w:rPr>
        <w:t>рации в сумме 786,9 тыс. рублей.</w:t>
      </w:r>
    </w:p>
    <w:p w:rsidR="008F689F" w:rsidRPr="00B108D0" w:rsidRDefault="008F689F" w:rsidP="008F689F">
      <w:pPr>
        <w:spacing w:after="0" w:line="240" w:lineRule="auto"/>
        <w:ind w:firstLine="709"/>
        <w:jc w:val="both"/>
        <w:rPr>
          <w:rFonts w:ascii="Times New Roman" w:hAnsi="Times New Roman" w:cs="Times New Roman"/>
          <w:sz w:val="24"/>
          <w:szCs w:val="24"/>
        </w:rPr>
      </w:pPr>
      <w:r w:rsidRPr="00B108D0">
        <w:rPr>
          <w:rFonts w:ascii="Times New Roman" w:hAnsi="Times New Roman" w:cs="Times New Roman"/>
          <w:sz w:val="24"/>
          <w:szCs w:val="24"/>
        </w:rPr>
        <w:t>Исполнение по расходам, отнесенным к непрограммным, составило 778611,1 тыс. рублей, или 97,3 процента плановых назначений, утвержденных сводной бюджетной росписью расходов.</w:t>
      </w:r>
    </w:p>
    <w:p w:rsidR="008F689F" w:rsidRPr="007F4875" w:rsidRDefault="008F689F" w:rsidP="008F689F">
      <w:pPr>
        <w:spacing w:after="0" w:line="240" w:lineRule="auto"/>
        <w:ind w:firstLine="709"/>
        <w:jc w:val="both"/>
        <w:rPr>
          <w:rFonts w:ascii="Times New Roman" w:hAnsi="Times New Roman" w:cs="Times New Roman"/>
          <w:sz w:val="24"/>
          <w:szCs w:val="24"/>
        </w:rPr>
      </w:pPr>
      <w:r w:rsidRPr="007F4875">
        <w:rPr>
          <w:rFonts w:ascii="Times New Roman" w:hAnsi="Times New Roman" w:cs="Times New Roman"/>
          <w:sz w:val="24"/>
          <w:szCs w:val="24"/>
        </w:rPr>
        <w:t>В рамках непрограммных расходов осуществляется финансирование обеспечения деятельности следующих органов власти:</w:t>
      </w:r>
    </w:p>
    <w:p w:rsidR="008F689F" w:rsidRPr="002056F5" w:rsidRDefault="008F689F" w:rsidP="0014690C">
      <w:pPr>
        <w:pStyle w:val="afa"/>
        <w:numPr>
          <w:ilvl w:val="0"/>
          <w:numId w:val="15"/>
        </w:numPr>
        <w:ind w:left="0" w:firstLine="709"/>
        <w:jc w:val="both"/>
        <w:rPr>
          <w:sz w:val="24"/>
          <w:szCs w:val="24"/>
        </w:rPr>
      </w:pPr>
      <w:r w:rsidRPr="002056F5">
        <w:rPr>
          <w:sz w:val="24"/>
          <w:szCs w:val="24"/>
        </w:rPr>
        <w:t>Правительства Амурской области, губернатора Амурской области и заместителей председателя Правительства области – при плане 169384,8 тыс. рублей, исполнение составило 163210,9 тыс. рублей, или 96,4 процента;</w:t>
      </w:r>
    </w:p>
    <w:p w:rsidR="008F689F" w:rsidRPr="002056F5" w:rsidRDefault="008F689F" w:rsidP="0014690C">
      <w:pPr>
        <w:pStyle w:val="afa"/>
        <w:numPr>
          <w:ilvl w:val="0"/>
          <w:numId w:val="15"/>
        </w:numPr>
        <w:ind w:left="0" w:firstLine="709"/>
        <w:jc w:val="both"/>
        <w:rPr>
          <w:sz w:val="24"/>
          <w:szCs w:val="24"/>
        </w:rPr>
      </w:pPr>
      <w:r w:rsidRPr="002056F5">
        <w:rPr>
          <w:sz w:val="24"/>
          <w:szCs w:val="24"/>
        </w:rPr>
        <w:t>Законодательного Собрания Амурской области, председателя Законодательного Собрания и депутатов – при плане 95601,1 тыс. рублей, исполнение составило 87920,2 тыс. рублей, или 92,0 процента;</w:t>
      </w:r>
    </w:p>
    <w:p w:rsidR="008F689F" w:rsidRPr="002056F5" w:rsidRDefault="008F689F" w:rsidP="0014690C">
      <w:pPr>
        <w:pStyle w:val="afa"/>
        <w:numPr>
          <w:ilvl w:val="0"/>
          <w:numId w:val="15"/>
        </w:numPr>
        <w:ind w:left="0" w:firstLine="709"/>
        <w:jc w:val="both"/>
        <w:rPr>
          <w:sz w:val="24"/>
          <w:szCs w:val="24"/>
        </w:rPr>
      </w:pPr>
      <w:r w:rsidRPr="002056F5">
        <w:rPr>
          <w:sz w:val="24"/>
          <w:szCs w:val="24"/>
        </w:rPr>
        <w:t>контрольно-счетной палаты Амурской области, председателя контрольно-счетной палаты, заместителя председателя – при плане 21221,8 тыс. рублей, исполнение составило 20893,1 тыс. рублей, или 98,5 процента;</w:t>
      </w:r>
    </w:p>
    <w:p w:rsidR="008F689F" w:rsidRPr="002056F5" w:rsidRDefault="008F689F" w:rsidP="0014690C">
      <w:pPr>
        <w:pStyle w:val="afa"/>
        <w:numPr>
          <w:ilvl w:val="0"/>
          <w:numId w:val="15"/>
        </w:numPr>
        <w:ind w:left="0" w:firstLine="709"/>
        <w:jc w:val="both"/>
        <w:rPr>
          <w:sz w:val="24"/>
          <w:szCs w:val="24"/>
        </w:rPr>
      </w:pPr>
      <w:r w:rsidRPr="002056F5">
        <w:rPr>
          <w:sz w:val="24"/>
          <w:szCs w:val="24"/>
        </w:rPr>
        <w:t xml:space="preserve">избирательной комиссии Амурской области, членов избирательной комиссии – при плане 48799,8 тыс. рублей, исполнение составило 48526,6 тыс. рублей, или </w:t>
      </w:r>
      <w:r w:rsidRPr="002056F5">
        <w:rPr>
          <w:sz w:val="24"/>
          <w:szCs w:val="24"/>
        </w:rPr>
        <w:br/>
        <w:t>99,4 процента;</w:t>
      </w:r>
    </w:p>
    <w:p w:rsidR="008F689F" w:rsidRPr="002056F5" w:rsidRDefault="008F689F" w:rsidP="0014690C">
      <w:pPr>
        <w:pStyle w:val="afa"/>
        <w:numPr>
          <w:ilvl w:val="0"/>
          <w:numId w:val="15"/>
        </w:numPr>
        <w:ind w:left="0" w:firstLine="709"/>
        <w:jc w:val="both"/>
        <w:rPr>
          <w:sz w:val="24"/>
          <w:szCs w:val="24"/>
        </w:rPr>
      </w:pPr>
      <w:r w:rsidRPr="002056F5">
        <w:rPr>
          <w:sz w:val="24"/>
          <w:szCs w:val="24"/>
        </w:rPr>
        <w:t xml:space="preserve">Уполномоченного по правам человека в Амурской области – при плане </w:t>
      </w:r>
      <w:r w:rsidRPr="002056F5">
        <w:rPr>
          <w:sz w:val="24"/>
          <w:szCs w:val="24"/>
        </w:rPr>
        <w:br/>
        <w:t>6014,6 тыс. рублей, исполнение составило 5779,4 тыс. рублей, или 96,1 процента;</w:t>
      </w:r>
    </w:p>
    <w:p w:rsidR="008F689F" w:rsidRPr="002056F5" w:rsidRDefault="008F689F" w:rsidP="0014690C">
      <w:pPr>
        <w:pStyle w:val="afa"/>
        <w:numPr>
          <w:ilvl w:val="0"/>
          <w:numId w:val="15"/>
        </w:numPr>
        <w:ind w:left="0" w:firstLine="709"/>
        <w:jc w:val="both"/>
        <w:rPr>
          <w:sz w:val="24"/>
          <w:szCs w:val="24"/>
        </w:rPr>
      </w:pPr>
      <w:r w:rsidRPr="002056F5">
        <w:rPr>
          <w:sz w:val="24"/>
          <w:szCs w:val="24"/>
        </w:rPr>
        <w:t>представительства Амурской области при Президенте Российской Федерации и Правительстве Российской Федерации – при плане 18499,8 тыс. рублей, исполнение составило 18019,8 тыс. рублей, или 97,4 процента.</w:t>
      </w:r>
    </w:p>
    <w:p w:rsidR="008F689F" w:rsidRPr="00172962" w:rsidRDefault="008F689F" w:rsidP="008F689F">
      <w:pPr>
        <w:spacing w:after="0" w:line="240" w:lineRule="auto"/>
        <w:ind w:firstLine="709"/>
        <w:jc w:val="both"/>
        <w:rPr>
          <w:rFonts w:ascii="Times New Roman" w:hAnsi="Times New Roman" w:cs="Times New Roman"/>
          <w:sz w:val="24"/>
          <w:szCs w:val="24"/>
        </w:rPr>
      </w:pPr>
      <w:r w:rsidRPr="00172962">
        <w:rPr>
          <w:rFonts w:ascii="Times New Roman" w:hAnsi="Times New Roman" w:cs="Times New Roman"/>
          <w:sz w:val="24"/>
          <w:szCs w:val="24"/>
        </w:rPr>
        <w:t>На обеспечение деятельности (оказание услуг) государственных учреждений, подведомственных Правительству области и Законодательному Собранию области, предусмотрены расходы в сумме 243446,9 тыс. рублей, исполнение составило 240986,7 тыс. рублей, или 99,0 процентов.</w:t>
      </w:r>
    </w:p>
    <w:p w:rsidR="008F689F" w:rsidRPr="005027DF" w:rsidRDefault="008F689F" w:rsidP="008F689F">
      <w:pPr>
        <w:spacing w:after="0" w:line="240" w:lineRule="auto"/>
        <w:ind w:firstLine="709"/>
        <w:jc w:val="both"/>
        <w:rPr>
          <w:rFonts w:ascii="Times New Roman" w:hAnsi="Times New Roman" w:cs="Times New Roman"/>
          <w:sz w:val="24"/>
          <w:szCs w:val="24"/>
        </w:rPr>
      </w:pPr>
      <w:r w:rsidRPr="005027DF">
        <w:rPr>
          <w:rFonts w:ascii="Times New Roman" w:hAnsi="Times New Roman" w:cs="Times New Roman"/>
          <w:sz w:val="24"/>
          <w:szCs w:val="24"/>
        </w:rPr>
        <w:t>На обеспечение деятельности депутатов Государственной Думы и их помощников в избирательных округах направлено 6581,4 тыс. рублей, или 100,0 процентов плана.</w:t>
      </w:r>
    </w:p>
    <w:p w:rsidR="008F689F" w:rsidRPr="005027DF" w:rsidRDefault="008F689F" w:rsidP="008F689F">
      <w:pPr>
        <w:spacing w:after="0" w:line="240" w:lineRule="auto"/>
        <w:ind w:firstLine="709"/>
        <w:jc w:val="both"/>
        <w:rPr>
          <w:rFonts w:ascii="Times New Roman" w:hAnsi="Times New Roman" w:cs="Times New Roman"/>
          <w:sz w:val="24"/>
          <w:szCs w:val="24"/>
        </w:rPr>
      </w:pPr>
      <w:r w:rsidRPr="005027DF">
        <w:rPr>
          <w:rFonts w:ascii="Times New Roman" w:hAnsi="Times New Roman" w:cs="Times New Roman"/>
          <w:sz w:val="24"/>
          <w:szCs w:val="24"/>
        </w:rPr>
        <w:lastRenderedPageBreak/>
        <w:t>На обеспечение членов Совета Федерации и их помощников в субъектах Российской Федерации направлено 1873,1 тыс. рублей, или 100,0 процентов плана.</w:t>
      </w:r>
    </w:p>
    <w:p w:rsidR="008F689F" w:rsidRPr="005027DF" w:rsidRDefault="008F689F" w:rsidP="008F689F">
      <w:pPr>
        <w:spacing w:after="0" w:line="240" w:lineRule="auto"/>
        <w:ind w:firstLine="709"/>
        <w:jc w:val="both"/>
        <w:rPr>
          <w:rFonts w:ascii="Times New Roman" w:hAnsi="Times New Roman" w:cs="Times New Roman"/>
          <w:sz w:val="24"/>
          <w:szCs w:val="24"/>
        </w:rPr>
      </w:pPr>
      <w:r w:rsidRPr="005027DF">
        <w:rPr>
          <w:rFonts w:ascii="Times New Roman" w:hAnsi="Times New Roman" w:cs="Times New Roman"/>
          <w:sz w:val="24"/>
          <w:szCs w:val="24"/>
        </w:rPr>
        <w:t>В непрограммной части областного бюджета предусмотрены расходы на поддержку социально ориентированных некоммерческих организаций в сумме 8612,0 тыс. рублей, исполнение по которым составило 100,0 процентов. Данные расходы</w:t>
      </w:r>
      <w:r w:rsidR="00530C30">
        <w:rPr>
          <w:rFonts w:ascii="Times New Roman" w:hAnsi="Times New Roman" w:cs="Times New Roman"/>
          <w:sz w:val="24"/>
          <w:szCs w:val="24"/>
        </w:rPr>
        <w:t xml:space="preserve"> предусмотрены в виде субсидий.</w:t>
      </w:r>
    </w:p>
    <w:p w:rsidR="008F689F" w:rsidRDefault="008F689F" w:rsidP="008F689F">
      <w:pPr>
        <w:spacing w:after="0" w:line="240" w:lineRule="auto"/>
        <w:ind w:firstLine="709"/>
        <w:jc w:val="both"/>
        <w:rPr>
          <w:rFonts w:ascii="Times New Roman" w:hAnsi="Times New Roman" w:cs="Times New Roman"/>
          <w:sz w:val="24"/>
          <w:szCs w:val="24"/>
        </w:rPr>
      </w:pPr>
      <w:r w:rsidRPr="00EA2BE4">
        <w:rPr>
          <w:rFonts w:ascii="Times New Roman" w:hAnsi="Times New Roman" w:cs="Times New Roman"/>
          <w:sz w:val="24"/>
          <w:szCs w:val="24"/>
        </w:rPr>
        <w:t>В рамках государственной программы «Повышение эффективности деятельности органов государственной власти и управления Амурской области на 2014–2020 годы» действует подпрограмма «Реализация единой внутренней политики на территории области и поддержка социально ориентированных некоммерческих организаций», которая предусматривает оказание финансовой поддержки деятельности</w:t>
      </w:r>
      <w:r w:rsidRPr="00EA2BE4">
        <w:t xml:space="preserve"> </w:t>
      </w:r>
      <w:r w:rsidRPr="00EA2BE4">
        <w:rPr>
          <w:rFonts w:ascii="Times New Roman" w:hAnsi="Times New Roman" w:cs="Times New Roman"/>
          <w:sz w:val="24"/>
          <w:szCs w:val="24"/>
        </w:rPr>
        <w:t>социально ориентированных некоммерческих организаций путем предоставления субсидий.</w:t>
      </w:r>
    </w:p>
    <w:p w:rsidR="008F689F" w:rsidRDefault="008F689F" w:rsidP="008F689F">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По мнению контрольно-счетной палаты </w:t>
      </w:r>
      <w:r w:rsidRPr="00EA2BE4">
        <w:rPr>
          <w:rFonts w:ascii="Times New Roman" w:hAnsi="Times New Roman" w:cs="Times New Roman"/>
          <w:b/>
          <w:i/>
          <w:sz w:val="24"/>
          <w:szCs w:val="24"/>
        </w:rPr>
        <w:t xml:space="preserve">непрограммные расходы на поддержку социально ориентированных некоммерческих организаций в сумме 8612,0 тыс. рублей </w:t>
      </w:r>
      <w:r>
        <w:rPr>
          <w:rFonts w:ascii="Times New Roman" w:hAnsi="Times New Roman" w:cs="Times New Roman"/>
          <w:b/>
          <w:i/>
          <w:sz w:val="24"/>
          <w:szCs w:val="24"/>
        </w:rPr>
        <w:t>целесообразнее предусматривать</w:t>
      </w:r>
      <w:r w:rsidRPr="00EA2BE4">
        <w:rPr>
          <w:rFonts w:ascii="Times New Roman" w:hAnsi="Times New Roman" w:cs="Times New Roman"/>
          <w:b/>
          <w:i/>
          <w:sz w:val="24"/>
          <w:szCs w:val="24"/>
        </w:rPr>
        <w:t xml:space="preserve"> в программной части областного бюджета</w:t>
      </w:r>
      <w:r>
        <w:rPr>
          <w:rFonts w:ascii="Times New Roman" w:hAnsi="Times New Roman" w:cs="Times New Roman"/>
          <w:b/>
          <w:i/>
          <w:sz w:val="24"/>
          <w:szCs w:val="24"/>
        </w:rPr>
        <w:t>. В данном случае - по соответствующей направлению расходов</w:t>
      </w:r>
      <w:r w:rsidRPr="00EA2BE4">
        <w:rPr>
          <w:rFonts w:ascii="Times New Roman" w:hAnsi="Times New Roman" w:cs="Times New Roman"/>
          <w:b/>
          <w:i/>
          <w:sz w:val="24"/>
          <w:szCs w:val="24"/>
        </w:rPr>
        <w:t xml:space="preserve"> подпрограмме «Реализация единой внутренней политики на территории области и поддержка социально ориентированных некоммерческих организаций» государственной программы «Повышение эффективности деятельности органов государственной власти и управления Амурской области на 2014–2020 годы».</w:t>
      </w:r>
    </w:p>
    <w:p w:rsidR="008F689F" w:rsidRPr="00532124" w:rsidRDefault="008F689F" w:rsidP="008F689F">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Также в непрограммной части областного бюджета</w:t>
      </w:r>
      <w:r w:rsidRPr="00532124">
        <w:rPr>
          <w:rFonts w:ascii="Times New Roman" w:hAnsi="Times New Roman" w:cs="Times New Roman"/>
          <w:b/>
          <w:i/>
          <w:sz w:val="24"/>
          <w:szCs w:val="24"/>
        </w:rPr>
        <w:t xml:space="preserve"> </w:t>
      </w:r>
      <w:r>
        <w:rPr>
          <w:rFonts w:ascii="Times New Roman" w:hAnsi="Times New Roman" w:cs="Times New Roman"/>
          <w:b/>
          <w:i/>
          <w:sz w:val="24"/>
          <w:szCs w:val="24"/>
        </w:rPr>
        <w:t>предусмотрены</w:t>
      </w:r>
      <w:r w:rsidRPr="00532124">
        <w:rPr>
          <w:rFonts w:ascii="Times New Roman" w:hAnsi="Times New Roman" w:cs="Times New Roman"/>
          <w:b/>
          <w:i/>
          <w:sz w:val="24"/>
          <w:szCs w:val="24"/>
        </w:rPr>
        <w:t xml:space="preserve"> расход</w:t>
      </w:r>
      <w:r>
        <w:rPr>
          <w:rFonts w:ascii="Times New Roman" w:hAnsi="Times New Roman" w:cs="Times New Roman"/>
          <w:b/>
          <w:i/>
          <w:sz w:val="24"/>
          <w:szCs w:val="24"/>
        </w:rPr>
        <w:t>ы</w:t>
      </w:r>
      <w:r w:rsidRPr="00532124">
        <w:rPr>
          <w:rFonts w:ascii="Times New Roman" w:hAnsi="Times New Roman" w:cs="Times New Roman"/>
          <w:b/>
          <w:i/>
          <w:sz w:val="24"/>
          <w:szCs w:val="24"/>
        </w:rPr>
        <w:t xml:space="preserve"> на предоставление субсидии </w:t>
      </w:r>
      <w:r>
        <w:rPr>
          <w:rFonts w:ascii="Times New Roman" w:hAnsi="Times New Roman" w:cs="Times New Roman"/>
          <w:b/>
          <w:i/>
          <w:sz w:val="24"/>
          <w:szCs w:val="24"/>
        </w:rPr>
        <w:t xml:space="preserve">в сумме 10000,0 тыс. рублей </w:t>
      </w:r>
      <w:r w:rsidRPr="00532124">
        <w:rPr>
          <w:rFonts w:ascii="Times New Roman" w:hAnsi="Times New Roman" w:cs="Times New Roman"/>
          <w:b/>
          <w:i/>
          <w:sz w:val="24"/>
          <w:szCs w:val="24"/>
        </w:rPr>
        <w:t>на финансовое обеспечение (возмещение) затрат по производству, публикации и распространению в периодических печатных изданиях информационно-публицистических материалов, имеющих социально-экономическое значение для Амурской области.</w:t>
      </w:r>
    </w:p>
    <w:p w:rsidR="008F689F" w:rsidRPr="00532124" w:rsidRDefault="008F689F" w:rsidP="008F689F">
      <w:pPr>
        <w:spacing w:after="0" w:line="240" w:lineRule="auto"/>
        <w:ind w:firstLine="709"/>
        <w:jc w:val="both"/>
        <w:rPr>
          <w:rFonts w:ascii="Times New Roman" w:hAnsi="Times New Roman" w:cs="Times New Roman"/>
          <w:b/>
          <w:i/>
          <w:sz w:val="24"/>
          <w:szCs w:val="24"/>
        </w:rPr>
      </w:pPr>
      <w:r w:rsidRPr="00532124">
        <w:rPr>
          <w:rFonts w:ascii="Times New Roman" w:hAnsi="Times New Roman" w:cs="Times New Roman"/>
          <w:b/>
          <w:i/>
          <w:sz w:val="24"/>
          <w:szCs w:val="24"/>
        </w:rPr>
        <w:t xml:space="preserve">Исходя из того, что областной бюджет </w:t>
      </w:r>
      <w:r>
        <w:rPr>
          <w:rFonts w:ascii="Times New Roman" w:hAnsi="Times New Roman" w:cs="Times New Roman"/>
          <w:b/>
          <w:i/>
          <w:sz w:val="24"/>
          <w:szCs w:val="24"/>
        </w:rPr>
        <w:t>формируется</w:t>
      </w:r>
      <w:r w:rsidRPr="00532124">
        <w:rPr>
          <w:rFonts w:ascii="Times New Roman" w:hAnsi="Times New Roman" w:cs="Times New Roman"/>
          <w:b/>
          <w:i/>
          <w:sz w:val="24"/>
          <w:szCs w:val="24"/>
        </w:rPr>
        <w:t xml:space="preserve"> в программном формате, позволяющем во взаимоувязке </w:t>
      </w:r>
      <w:r>
        <w:rPr>
          <w:rFonts w:ascii="Times New Roman" w:hAnsi="Times New Roman" w:cs="Times New Roman"/>
          <w:b/>
          <w:i/>
          <w:sz w:val="24"/>
          <w:szCs w:val="24"/>
        </w:rPr>
        <w:t xml:space="preserve">с </w:t>
      </w:r>
      <w:r w:rsidRPr="00532124">
        <w:rPr>
          <w:rFonts w:ascii="Times New Roman" w:hAnsi="Times New Roman" w:cs="Times New Roman"/>
          <w:b/>
          <w:i/>
          <w:sz w:val="24"/>
          <w:szCs w:val="24"/>
        </w:rPr>
        <w:t>определенными программами задач</w:t>
      </w:r>
      <w:r>
        <w:rPr>
          <w:rFonts w:ascii="Times New Roman" w:hAnsi="Times New Roman" w:cs="Times New Roman"/>
          <w:b/>
          <w:i/>
          <w:sz w:val="24"/>
          <w:szCs w:val="24"/>
        </w:rPr>
        <w:t>ами</w:t>
      </w:r>
      <w:r w:rsidRPr="00532124">
        <w:rPr>
          <w:rFonts w:ascii="Times New Roman" w:hAnsi="Times New Roman" w:cs="Times New Roman"/>
          <w:b/>
          <w:i/>
          <w:sz w:val="24"/>
          <w:szCs w:val="24"/>
        </w:rPr>
        <w:t xml:space="preserve"> и финансовы</w:t>
      </w:r>
      <w:r>
        <w:rPr>
          <w:rFonts w:ascii="Times New Roman" w:hAnsi="Times New Roman" w:cs="Times New Roman"/>
          <w:b/>
          <w:i/>
          <w:sz w:val="24"/>
          <w:szCs w:val="24"/>
        </w:rPr>
        <w:t>ми</w:t>
      </w:r>
      <w:r w:rsidRPr="00532124">
        <w:rPr>
          <w:rFonts w:ascii="Times New Roman" w:hAnsi="Times New Roman" w:cs="Times New Roman"/>
          <w:b/>
          <w:i/>
          <w:sz w:val="24"/>
          <w:szCs w:val="24"/>
        </w:rPr>
        <w:t xml:space="preserve"> ресурс</w:t>
      </w:r>
      <w:r>
        <w:rPr>
          <w:rFonts w:ascii="Times New Roman" w:hAnsi="Times New Roman" w:cs="Times New Roman"/>
          <w:b/>
          <w:i/>
          <w:sz w:val="24"/>
          <w:szCs w:val="24"/>
        </w:rPr>
        <w:t>ами</w:t>
      </w:r>
      <w:r w:rsidRPr="00532124">
        <w:rPr>
          <w:rFonts w:ascii="Times New Roman" w:hAnsi="Times New Roman" w:cs="Times New Roman"/>
          <w:b/>
          <w:i/>
          <w:sz w:val="24"/>
          <w:szCs w:val="24"/>
        </w:rPr>
        <w:t xml:space="preserve"> обеспечивать достижение </w:t>
      </w:r>
      <w:r>
        <w:rPr>
          <w:rFonts w:ascii="Times New Roman" w:hAnsi="Times New Roman" w:cs="Times New Roman"/>
          <w:b/>
          <w:i/>
          <w:sz w:val="24"/>
          <w:szCs w:val="24"/>
        </w:rPr>
        <w:t xml:space="preserve">установленных </w:t>
      </w:r>
      <w:r w:rsidRPr="00532124">
        <w:rPr>
          <w:rFonts w:ascii="Times New Roman" w:hAnsi="Times New Roman" w:cs="Times New Roman"/>
          <w:b/>
          <w:i/>
          <w:sz w:val="24"/>
          <w:szCs w:val="24"/>
        </w:rPr>
        <w:t xml:space="preserve">приоритетов и целей, контрольно-счетная палата </w:t>
      </w:r>
      <w:r>
        <w:rPr>
          <w:rFonts w:ascii="Times New Roman" w:hAnsi="Times New Roman" w:cs="Times New Roman"/>
          <w:b/>
          <w:i/>
          <w:sz w:val="24"/>
          <w:szCs w:val="24"/>
        </w:rPr>
        <w:t>считает</w:t>
      </w:r>
      <w:r w:rsidRPr="00532124">
        <w:rPr>
          <w:rFonts w:ascii="Times New Roman" w:hAnsi="Times New Roman" w:cs="Times New Roman"/>
          <w:b/>
          <w:i/>
          <w:sz w:val="24"/>
          <w:szCs w:val="24"/>
        </w:rPr>
        <w:t xml:space="preserve"> целесообразным расходы</w:t>
      </w:r>
      <w:r>
        <w:rPr>
          <w:rFonts w:ascii="Times New Roman" w:hAnsi="Times New Roman" w:cs="Times New Roman"/>
          <w:b/>
          <w:i/>
          <w:sz w:val="24"/>
          <w:szCs w:val="24"/>
        </w:rPr>
        <w:t>, связанные с обеспечением достижения определенных результатов и целей,</w:t>
      </w:r>
      <w:r w:rsidRPr="00532124">
        <w:rPr>
          <w:rFonts w:ascii="Times New Roman" w:hAnsi="Times New Roman" w:cs="Times New Roman"/>
          <w:b/>
          <w:i/>
          <w:sz w:val="24"/>
          <w:szCs w:val="24"/>
        </w:rPr>
        <w:t xml:space="preserve"> включать в соответству</w:t>
      </w:r>
      <w:r w:rsidR="002A7430">
        <w:rPr>
          <w:rFonts w:ascii="Times New Roman" w:hAnsi="Times New Roman" w:cs="Times New Roman"/>
          <w:b/>
          <w:i/>
          <w:sz w:val="24"/>
          <w:szCs w:val="24"/>
        </w:rPr>
        <w:t>ющие государственные программы.</w:t>
      </w:r>
    </w:p>
    <w:p w:rsidR="008F689F" w:rsidRDefault="008F689F" w:rsidP="008B0BA4">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пакете документов к проекту закона Амурской области «Об исполнении областного бюджета за 2015 год» представлены сведения о численности государственных гражданских служащих области и работников государственных учреждений области с указанием плановых и фактических затрат на их содержание (далее – Сведения).</w:t>
      </w:r>
    </w:p>
    <w:p w:rsidR="008F689F" w:rsidRDefault="008F689F" w:rsidP="008F6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Сведениям:</w:t>
      </w:r>
    </w:p>
    <w:p w:rsidR="008F689F" w:rsidRDefault="002A7430" w:rsidP="008F6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F689F">
        <w:rPr>
          <w:rFonts w:ascii="Times New Roman" w:hAnsi="Times New Roman" w:cs="Times New Roman"/>
          <w:sz w:val="24"/>
          <w:szCs w:val="24"/>
        </w:rPr>
        <w:t xml:space="preserve">Численность государственных гражданских служащих за 2015 год составила </w:t>
      </w:r>
      <w:r w:rsidR="008F689F">
        <w:rPr>
          <w:rFonts w:ascii="Times New Roman" w:hAnsi="Times New Roman" w:cs="Times New Roman"/>
          <w:sz w:val="24"/>
          <w:szCs w:val="24"/>
        </w:rPr>
        <w:br/>
        <w:t>1470 человек при плановом количестве 1562 штатные единицы. Количество вакантных должностей составило 92 единицы.</w:t>
      </w:r>
    </w:p>
    <w:p w:rsidR="008F689F" w:rsidRDefault="008F689F" w:rsidP="008F6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Плановое количество штатных единиц по отношению к аналогичному показателю за 2014 год сократилось на 63 единицы. Количество вакантных должностей в 2014 году составляло 56 единиц.</w:t>
      </w:r>
    </w:p>
    <w:p w:rsidR="008F689F" w:rsidRDefault="008F689F" w:rsidP="008F6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Фактический фонд оплаты труда на одного государственного служащего в месяц составил 26,8 тыс. рублей (справочно: за 2014 год – 28,5 тыс. рублей).</w:t>
      </w:r>
    </w:p>
    <w:p w:rsidR="008F689F" w:rsidRDefault="002A7430" w:rsidP="008F6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F689F">
        <w:rPr>
          <w:rFonts w:ascii="Times New Roman" w:hAnsi="Times New Roman" w:cs="Times New Roman"/>
          <w:sz w:val="24"/>
          <w:szCs w:val="24"/>
        </w:rPr>
        <w:t>Численность работников государственных учреждений, финансируемых из областного бюджета, за 2015 год составила 15721 человек при плановом количестве штатных единиц – 19325. Количество вакантных должностей составило 3604 единицы.</w:t>
      </w:r>
    </w:p>
    <w:p w:rsidR="008F689F" w:rsidRPr="00BD2388" w:rsidRDefault="008F689F" w:rsidP="008F689F">
      <w:pPr>
        <w:spacing w:after="0" w:line="240" w:lineRule="auto"/>
        <w:ind w:firstLine="709"/>
        <w:jc w:val="both"/>
        <w:rPr>
          <w:rFonts w:ascii="Times New Roman" w:hAnsi="Times New Roman" w:cs="Times New Roman"/>
          <w:sz w:val="24"/>
          <w:szCs w:val="24"/>
        </w:rPr>
      </w:pPr>
      <w:r w:rsidRPr="00BD2388">
        <w:rPr>
          <w:rFonts w:ascii="Times New Roman" w:hAnsi="Times New Roman" w:cs="Times New Roman"/>
          <w:sz w:val="24"/>
          <w:szCs w:val="24"/>
        </w:rPr>
        <w:t xml:space="preserve">Плановое количество штатных единиц по отношению к аналогичному показателю за 2014 год сократилось на </w:t>
      </w:r>
      <w:r>
        <w:rPr>
          <w:rFonts w:ascii="Times New Roman" w:hAnsi="Times New Roman" w:cs="Times New Roman"/>
          <w:sz w:val="24"/>
          <w:szCs w:val="24"/>
        </w:rPr>
        <w:t>2983</w:t>
      </w:r>
      <w:r w:rsidRPr="00BD2388">
        <w:rPr>
          <w:rFonts w:ascii="Times New Roman" w:hAnsi="Times New Roman" w:cs="Times New Roman"/>
          <w:sz w:val="24"/>
          <w:szCs w:val="24"/>
        </w:rPr>
        <w:t xml:space="preserve"> единицы. Количество вакантных должностей в 2014 году составляло </w:t>
      </w:r>
      <w:r>
        <w:rPr>
          <w:rFonts w:ascii="Times New Roman" w:hAnsi="Times New Roman" w:cs="Times New Roman"/>
          <w:sz w:val="24"/>
          <w:szCs w:val="24"/>
        </w:rPr>
        <w:t>4529</w:t>
      </w:r>
      <w:r w:rsidRPr="00BD2388">
        <w:rPr>
          <w:rFonts w:ascii="Times New Roman" w:hAnsi="Times New Roman" w:cs="Times New Roman"/>
          <w:sz w:val="24"/>
          <w:szCs w:val="24"/>
        </w:rPr>
        <w:t xml:space="preserve"> единиц.</w:t>
      </w:r>
    </w:p>
    <w:p w:rsidR="008F689F" w:rsidRPr="006E37E3" w:rsidRDefault="008F689F" w:rsidP="008F689F">
      <w:pPr>
        <w:spacing w:after="0" w:line="240" w:lineRule="auto"/>
        <w:ind w:firstLine="709"/>
        <w:jc w:val="both"/>
        <w:rPr>
          <w:rFonts w:ascii="Times New Roman" w:hAnsi="Times New Roman" w:cs="Times New Roman"/>
          <w:sz w:val="24"/>
          <w:szCs w:val="24"/>
        </w:rPr>
      </w:pPr>
      <w:r w:rsidRPr="00BD2388">
        <w:rPr>
          <w:rFonts w:ascii="Times New Roman" w:hAnsi="Times New Roman" w:cs="Times New Roman"/>
          <w:sz w:val="24"/>
          <w:szCs w:val="24"/>
        </w:rPr>
        <w:t xml:space="preserve">Фактический фонд оплаты труда на одного </w:t>
      </w:r>
      <w:r>
        <w:rPr>
          <w:rFonts w:ascii="Times New Roman" w:hAnsi="Times New Roman" w:cs="Times New Roman"/>
          <w:sz w:val="24"/>
          <w:szCs w:val="24"/>
        </w:rPr>
        <w:t xml:space="preserve">работника </w:t>
      </w:r>
      <w:r w:rsidRPr="00BD2388">
        <w:rPr>
          <w:rFonts w:ascii="Times New Roman" w:hAnsi="Times New Roman" w:cs="Times New Roman"/>
          <w:sz w:val="24"/>
          <w:szCs w:val="24"/>
        </w:rPr>
        <w:t xml:space="preserve">в месяц составил </w:t>
      </w:r>
      <w:r>
        <w:rPr>
          <w:rFonts w:ascii="Times New Roman" w:hAnsi="Times New Roman" w:cs="Times New Roman"/>
          <w:sz w:val="24"/>
          <w:szCs w:val="24"/>
        </w:rPr>
        <w:t>23,3</w:t>
      </w:r>
      <w:r w:rsidRPr="00BD2388">
        <w:rPr>
          <w:rFonts w:ascii="Times New Roman" w:hAnsi="Times New Roman" w:cs="Times New Roman"/>
          <w:sz w:val="24"/>
          <w:szCs w:val="24"/>
        </w:rPr>
        <w:t xml:space="preserve"> тыс. рублей (справочно: за 2014 год – </w:t>
      </w:r>
      <w:r>
        <w:rPr>
          <w:rFonts w:ascii="Times New Roman" w:hAnsi="Times New Roman" w:cs="Times New Roman"/>
          <w:sz w:val="24"/>
          <w:szCs w:val="24"/>
        </w:rPr>
        <w:t>22,4</w:t>
      </w:r>
      <w:r w:rsidRPr="00BD2388">
        <w:rPr>
          <w:rFonts w:ascii="Times New Roman" w:hAnsi="Times New Roman" w:cs="Times New Roman"/>
          <w:sz w:val="24"/>
          <w:szCs w:val="24"/>
        </w:rPr>
        <w:t xml:space="preserve"> тыс. рублей).</w:t>
      </w:r>
    </w:p>
    <w:p w:rsidR="00A75FEF" w:rsidRPr="002A7430" w:rsidRDefault="00A75FEF" w:rsidP="001A299F">
      <w:pPr>
        <w:spacing w:after="0" w:line="240" w:lineRule="auto"/>
        <w:ind w:firstLine="709"/>
        <w:jc w:val="both"/>
        <w:rPr>
          <w:rFonts w:ascii="Times New Roman" w:hAnsi="Times New Roman" w:cs="Times New Roman"/>
          <w:sz w:val="24"/>
          <w:szCs w:val="24"/>
        </w:rPr>
      </w:pPr>
    </w:p>
    <w:p w:rsidR="008B0BA4" w:rsidRPr="008B0BA4" w:rsidRDefault="008B0BA4" w:rsidP="008B0BA4">
      <w:pPr>
        <w:spacing w:after="0" w:line="240" w:lineRule="auto"/>
        <w:ind w:firstLine="709"/>
        <w:jc w:val="both"/>
        <w:rPr>
          <w:rFonts w:ascii="Times New Roman" w:eastAsia="Calibri" w:hAnsi="Times New Roman" w:cs="Times New Roman"/>
          <w:b/>
          <w:sz w:val="24"/>
          <w:szCs w:val="24"/>
        </w:rPr>
      </w:pPr>
      <w:r w:rsidRPr="008B0BA4">
        <w:rPr>
          <w:rFonts w:ascii="Times New Roman" w:eastAsia="Calibri" w:hAnsi="Times New Roman" w:cs="Times New Roman"/>
          <w:b/>
          <w:sz w:val="24"/>
          <w:szCs w:val="24"/>
        </w:rPr>
        <w:lastRenderedPageBreak/>
        <w:t>5.1</w:t>
      </w:r>
      <w:r>
        <w:rPr>
          <w:rFonts w:ascii="Times New Roman" w:eastAsia="Calibri" w:hAnsi="Times New Roman" w:cs="Times New Roman"/>
          <w:b/>
          <w:sz w:val="24"/>
          <w:szCs w:val="24"/>
        </w:rPr>
        <w:t>5</w:t>
      </w:r>
      <w:r w:rsidRPr="008B0BA4">
        <w:rPr>
          <w:rFonts w:ascii="Times New Roman" w:eastAsia="Calibri" w:hAnsi="Times New Roman" w:cs="Times New Roman"/>
          <w:b/>
          <w:sz w:val="24"/>
          <w:szCs w:val="24"/>
        </w:rPr>
        <w:t>. Исполнение областного бюджета в 2015 году в части расходов на осуществление бюджетных инвестиций и предоставление бюджетным и автономным учреждениям субсидий на осуществление капитальных вложений в объекты государственной собственности области</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0BA4">
        <w:rPr>
          <w:rFonts w:ascii="Times New Roman" w:eastAsia="Calibri" w:hAnsi="Times New Roman" w:cs="Times New Roman"/>
          <w:sz w:val="24"/>
          <w:szCs w:val="24"/>
        </w:rPr>
        <w:t xml:space="preserve">В соответствии со статьей 11 Закона Амурской области от 05.09.2007 № 374-ОЗ </w:t>
      </w:r>
      <w:r w:rsidRPr="008B0BA4">
        <w:rPr>
          <w:rFonts w:ascii="Times New Roman" w:eastAsia="Calibri" w:hAnsi="Times New Roman" w:cs="Times New Roman"/>
          <w:sz w:val="24"/>
          <w:szCs w:val="24"/>
        </w:rPr>
        <w:br/>
        <w:t>«Об инвестиционной деятельности в Амурской области» расходы на финансирование государственных инвестиций предусматриваются в областном бюджете при условии, что эти расходы являются частью расходов на реализацию государственных программ области, а также на основании нормативных правовых актов Правительства области.</w:t>
      </w:r>
    </w:p>
    <w:p w:rsidR="008B0BA4" w:rsidRPr="008B0BA4" w:rsidRDefault="008B0BA4" w:rsidP="008B0BA4">
      <w:pPr>
        <w:widowControl w:val="0"/>
        <w:tabs>
          <w:tab w:val="left" w:pos="540"/>
        </w:tabs>
        <w:spacing w:after="0" w:line="240" w:lineRule="auto"/>
        <w:ind w:firstLine="709"/>
        <w:jc w:val="both"/>
        <w:rPr>
          <w:rFonts w:ascii="Times New Roman" w:eastAsia="Calibri" w:hAnsi="Times New Roman" w:cs="Times New Roman"/>
          <w:bCs/>
          <w:iCs/>
          <w:sz w:val="24"/>
          <w:szCs w:val="24"/>
        </w:rPr>
      </w:pPr>
      <w:r w:rsidRPr="008B0BA4">
        <w:rPr>
          <w:rFonts w:ascii="Times New Roman" w:eastAsia="Calibri" w:hAnsi="Times New Roman" w:cs="Times New Roman"/>
          <w:bCs/>
          <w:iCs/>
          <w:sz w:val="24"/>
          <w:szCs w:val="24"/>
        </w:rPr>
        <w:t>Согласно представленным в составе законопроекта «Об исполнении областного бюджета за 2015 год</w:t>
      </w:r>
      <w:r w:rsidRPr="008B0BA4">
        <w:rPr>
          <w:rFonts w:ascii="Times New Roman" w:eastAsia="Calibri" w:hAnsi="Times New Roman" w:cs="Times New Roman"/>
          <w:sz w:val="24"/>
          <w:szCs w:val="24"/>
        </w:rPr>
        <w:t xml:space="preserve">» </w:t>
      </w:r>
      <w:r w:rsidRPr="008B0BA4">
        <w:rPr>
          <w:rFonts w:ascii="Times New Roman" w:eastAsia="Calibri" w:hAnsi="Times New Roman" w:cs="Times New Roman"/>
          <w:bCs/>
          <w:iCs/>
          <w:sz w:val="24"/>
          <w:szCs w:val="24"/>
        </w:rPr>
        <w:t xml:space="preserve">приложениям № 4 «Исполнение по расходам бюджета по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за 2015 год» и </w:t>
      </w:r>
      <w:r w:rsidRPr="008B0BA4">
        <w:rPr>
          <w:rFonts w:ascii="Times New Roman" w:eastAsia="Calibri" w:hAnsi="Times New Roman" w:cs="Times New Roman"/>
          <w:bCs/>
          <w:iCs/>
          <w:sz w:val="24"/>
          <w:szCs w:val="24"/>
        </w:rPr>
        <w:br/>
        <w:t>№ 5 «Исполнение по расходам бюджета по ведомственной структуре расходов областного бюджета за 2015 год» и</w:t>
      </w:r>
      <w:r w:rsidRPr="008B0BA4">
        <w:rPr>
          <w:rFonts w:ascii="Times New Roman" w:eastAsia="Calibri" w:hAnsi="Times New Roman" w:cs="Times New Roman"/>
          <w:sz w:val="24"/>
          <w:szCs w:val="24"/>
        </w:rPr>
        <w:t>сполнение областного бюджета в 2015 году в части расходов на осуществление бюджетных инвестиций и предоставление бюджетным и автономным учреждениям субсидий на осуществление капитальных вложений в объекты государственной собственности области осуществлено</w:t>
      </w:r>
      <w:r w:rsidRPr="008B0BA4">
        <w:rPr>
          <w:rFonts w:ascii="Times New Roman" w:eastAsia="Calibri" w:hAnsi="Times New Roman" w:cs="Times New Roman"/>
          <w:bCs/>
          <w:iCs/>
          <w:sz w:val="24"/>
          <w:szCs w:val="24"/>
        </w:rPr>
        <w:t xml:space="preserve"> в рамках шести государственных программ, одному непрограммному мероприятию, по расходам четырех главных распорядителей бюджетных средств.</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0BA4">
        <w:rPr>
          <w:rFonts w:ascii="Times New Roman" w:eastAsia="Calibri" w:hAnsi="Times New Roman" w:cs="Times New Roman"/>
          <w:sz w:val="24"/>
          <w:szCs w:val="24"/>
        </w:rPr>
        <w:t>Решения об осуществлении бюджетных инвестиций в объекты капитального строительства государственной собственности области за счет средств областного бюджета в 2015 году принимались в рамках государственных программ, утвержденных постановлениями Правительства Амурской области, по непрограммным расходам – на основании постановлений и распоряжений Правительства Амурской области, предусматривающих выделение средств, поступивших за счет добровольных взносов и пожертвований от физических и юридических лиц в связи с чрезвычайной ситуацией в Амурской области, на осуществление капитальных вложений в объекты.</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0BA4">
        <w:rPr>
          <w:rFonts w:ascii="Times New Roman" w:eastAsia="Calibri" w:hAnsi="Times New Roman" w:cs="Times New Roman"/>
          <w:sz w:val="24"/>
          <w:szCs w:val="24"/>
        </w:rPr>
        <w:t xml:space="preserve">В 2015 году расходы на осуществление бюджетных инвестиций предусмотрены в объеме 3314359,2 тыс. рублей, исполнение составило 3059803,7 тыс. рублей, или </w:t>
      </w:r>
      <w:r w:rsidRPr="008B0BA4">
        <w:rPr>
          <w:rFonts w:ascii="Times New Roman" w:eastAsia="Calibri" w:hAnsi="Times New Roman" w:cs="Times New Roman"/>
          <w:sz w:val="24"/>
          <w:szCs w:val="24"/>
        </w:rPr>
        <w:br/>
        <w:t xml:space="preserve">92,3 процента. Из общего объема капитальных вложений в объекты государственной собственности расходы по </w:t>
      </w:r>
      <w:r w:rsidRPr="008B0BA4">
        <w:rPr>
          <w:rFonts w:ascii="Times New Roman" w:eastAsia="Calibri" w:hAnsi="Times New Roman" w:cs="Times New Roman"/>
          <w:bCs/>
          <w:iCs/>
          <w:sz w:val="24"/>
          <w:szCs w:val="24"/>
        </w:rPr>
        <w:t>строительству и реконструкции автомобильных дорог общего пользования регионального или межмуниципального значения и сооружений на них составили 2723577,3 тыс. рублей при предусмотренных объемах 2931431,5 тыс. рублей, исполнение составило 92,9 процента.</w:t>
      </w:r>
    </w:p>
    <w:p w:rsidR="008B0BA4" w:rsidRPr="008B0BA4" w:rsidRDefault="008B0BA4" w:rsidP="008B0BA4">
      <w:pPr>
        <w:spacing w:after="0" w:line="240" w:lineRule="auto"/>
        <w:ind w:firstLine="709"/>
        <w:jc w:val="both"/>
        <w:rPr>
          <w:rFonts w:ascii="Times New Roman" w:eastAsia="Calibri" w:hAnsi="Times New Roman" w:cs="Times New Roman"/>
          <w:sz w:val="24"/>
          <w:szCs w:val="24"/>
        </w:rPr>
      </w:pPr>
      <w:r w:rsidRPr="008B0BA4">
        <w:rPr>
          <w:rFonts w:ascii="Times New Roman" w:eastAsia="Calibri" w:hAnsi="Times New Roman" w:cs="Times New Roman"/>
          <w:sz w:val="24"/>
          <w:szCs w:val="24"/>
        </w:rPr>
        <w:t>Средства областного бюджета в 2015 году в части расходов на осуществление бюджетных инвестиций и предоставление бюджетным и автономным учреждениям субсидий на осуществление капитальных вложений в объекты государственной собственности области были предусмотрены и исполнены следующими главными распорядителями бюджетных средств:</w:t>
      </w:r>
    </w:p>
    <w:p w:rsidR="008B0BA4" w:rsidRPr="008B0BA4" w:rsidRDefault="008B0BA4" w:rsidP="0014690C">
      <w:pPr>
        <w:widowControl w:val="0"/>
        <w:numPr>
          <w:ilvl w:val="0"/>
          <w:numId w:val="2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B0BA4">
        <w:rPr>
          <w:rFonts w:ascii="Times New Roman" w:eastAsia="Calibri" w:hAnsi="Times New Roman" w:cs="Times New Roman"/>
          <w:b/>
          <w:i/>
          <w:sz w:val="24"/>
          <w:szCs w:val="24"/>
        </w:rPr>
        <w:t xml:space="preserve">Министерство транспорта и строительства Амурской области – по четырем объектам государственной собственности области объектам </w:t>
      </w:r>
      <w:r w:rsidRPr="008B0BA4">
        <w:rPr>
          <w:rFonts w:ascii="Times New Roman" w:eastAsia="Calibri" w:hAnsi="Times New Roman" w:cs="Times New Roman"/>
          <w:sz w:val="24"/>
          <w:szCs w:val="24"/>
        </w:rPr>
        <w:t xml:space="preserve">(за исключением объектов по </w:t>
      </w:r>
      <w:r w:rsidRPr="008B0BA4">
        <w:rPr>
          <w:rFonts w:ascii="Times New Roman" w:eastAsia="Calibri" w:hAnsi="Times New Roman" w:cs="Times New Roman"/>
          <w:bCs/>
          <w:iCs/>
          <w:sz w:val="24"/>
          <w:szCs w:val="24"/>
        </w:rPr>
        <w:t>строительству и реконструкции автомобильных дорог общего пользования регионального или межмуниципального значения и сооружений на них)</w:t>
      </w:r>
      <w:r w:rsidRPr="008B0BA4">
        <w:rPr>
          <w:rFonts w:ascii="Times New Roman" w:eastAsia="Calibri" w:hAnsi="Times New Roman" w:cs="Times New Roman"/>
          <w:b/>
          <w:i/>
          <w:sz w:val="24"/>
          <w:szCs w:val="24"/>
        </w:rPr>
        <w:t>.</w:t>
      </w:r>
      <w:r w:rsidRPr="008B0BA4">
        <w:rPr>
          <w:rFonts w:ascii="Times New Roman" w:eastAsia="Calibri" w:hAnsi="Times New Roman" w:cs="Times New Roman"/>
          <w:bCs/>
          <w:iCs/>
          <w:sz w:val="24"/>
          <w:szCs w:val="24"/>
        </w:rPr>
        <w:t xml:space="preserve"> Анализ расходования бюджетных инвестиций представлен в блоке о результатах п</w:t>
      </w:r>
      <w:r w:rsidRPr="008B0BA4">
        <w:rPr>
          <w:rFonts w:ascii="Times New Roman" w:eastAsia="Calibri" w:hAnsi="Times New Roman" w:cs="Times New Roman"/>
          <w:sz w:val="24"/>
          <w:szCs w:val="24"/>
        </w:rPr>
        <w:t xml:space="preserve">роведенной проверки </w:t>
      </w:r>
      <w:r w:rsidRPr="008B0BA4">
        <w:rPr>
          <w:rFonts w:ascii="Times New Roman" w:hAnsi="Times New Roman" w:cs="Times New Roman"/>
          <w:sz w:val="24"/>
          <w:szCs w:val="24"/>
        </w:rPr>
        <w:t>использования средств областного бюджета, выделенных в 2015 году в виде бюджетных инвестиций в объекты капитального строительства государственной собственности области</w:t>
      </w:r>
      <w:r w:rsidRPr="008B0BA4">
        <w:rPr>
          <w:rFonts w:ascii="Times New Roman" w:eastAsia="Calibri" w:hAnsi="Times New Roman" w:cs="Times New Roman"/>
          <w:sz w:val="24"/>
          <w:szCs w:val="24"/>
        </w:rPr>
        <w:t xml:space="preserve">, функции заказчика по которым осуществлялись ГКУ Амурской области «Строитель», </w:t>
      </w:r>
      <w:r w:rsidRPr="008B0BA4">
        <w:rPr>
          <w:rFonts w:ascii="Times New Roman" w:eastAsia="Calibri" w:hAnsi="Times New Roman" w:cs="Times New Roman"/>
          <w:bCs/>
          <w:iCs/>
          <w:sz w:val="24"/>
          <w:szCs w:val="24"/>
        </w:rPr>
        <w:t>настоящего заключения</w:t>
      </w:r>
      <w:r w:rsidRPr="008B0BA4">
        <w:rPr>
          <w:rFonts w:ascii="Times New Roman" w:eastAsia="Calibri" w:hAnsi="Times New Roman" w:cs="Times New Roman"/>
          <w:sz w:val="24"/>
          <w:szCs w:val="24"/>
        </w:rPr>
        <w:t>.</w:t>
      </w:r>
    </w:p>
    <w:p w:rsidR="008B0BA4" w:rsidRPr="008B0BA4" w:rsidRDefault="008B0BA4" w:rsidP="0014690C">
      <w:pPr>
        <w:numPr>
          <w:ilvl w:val="0"/>
          <w:numId w:val="24"/>
        </w:numPr>
        <w:spacing w:after="0" w:line="240" w:lineRule="auto"/>
        <w:ind w:left="0" w:firstLine="709"/>
        <w:contextualSpacing/>
        <w:jc w:val="both"/>
        <w:rPr>
          <w:rFonts w:ascii="Times New Roman" w:eastAsia="Calibri" w:hAnsi="Times New Roman" w:cs="Times New Roman"/>
          <w:b/>
          <w:i/>
          <w:sz w:val="24"/>
          <w:szCs w:val="24"/>
        </w:rPr>
      </w:pPr>
      <w:r w:rsidRPr="008B0BA4">
        <w:rPr>
          <w:rFonts w:ascii="Times New Roman" w:eastAsia="Calibri" w:hAnsi="Times New Roman" w:cs="Times New Roman"/>
          <w:b/>
          <w:i/>
          <w:sz w:val="24"/>
          <w:szCs w:val="24"/>
        </w:rPr>
        <w:t xml:space="preserve">Министерство по физической культуре и спорту Амурской области – по </w:t>
      </w:r>
      <w:r w:rsidRPr="008B0BA4">
        <w:rPr>
          <w:rFonts w:ascii="Times New Roman" w:eastAsia="Calibri" w:hAnsi="Times New Roman" w:cs="Times New Roman"/>
          <w:b/>
          <w:i/>
          <w:sz w:val="24"/>
          <w:szCs w:val="24"/>
        </w:rPr>
        <w:br/>
        <w:t>одному объекту государственной собственности Амурской области:</w:t>
      </w:r>
    </w:p>
    <w:p w:rsidR="008B0BA4" w:rsidRPr="008B0BA4" w:rsidRDefault="008B0BA4" w:rsidP="0014690C">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8B0BA4">
        <w:rPr>
          <w:rFonts w:ascii="Times New Roman" w:eastAsia="Calibri" w:hAnsi="Times New Roman" w:cs="Times New Roman"/>
          <w:sz w:val="24"/>
          <w:szCs w:val="24"/>
        </w:rPr>
        <w:t xml:space="preserve">Строительство горнолыжной базы в с. Натальино Благовещенского района (предусмотрено 1278,5 тыс. рублей (на погашение кредиторской задолженности за 2014 год), </w:t>
      </w:r>
      <w:r w:rsidRPr="008B0BA4">
        <w:rPr>
          <w:rFonts w:ascii="Times New Roman" w:eastAsia="Calibri" w:hAnsi="Times New Roman" w:cs="Times New Roman"/>
          <w:sz w:val="24"/>
          <w:szCs w:val="24"/>
        </w:rPr>
        <w:lastRenderedPageBreak/>
        <w:t>фактически исполнение не осуществлялось в связи с отсутствием источника исполнения лимитов бюджетных обязательств).</w:t>
      </w:r>
    </w:p>
    <w:p w:rsidR="008B0BA4" w:rsidRPr="008B0BA4" w:rsidRDefault="008B0BA4" w:rsidP="0014690C">
      <w:pPr>
        <w:numPr>
          <w:ilvl w:val="0"/>
          <w:numId w:val="25"/>
        </w:numPr>
        <w:spacing w:after="0" w:line="240" w:lineRule="auto"/>
        <w:ind w:left="0" w:firstLine="709"/>
        <w:contextualSpacing/>
        <w:jc w:val="both"/>
        <w:rPr>
          <w:rFonts w:ascii="Times New Roman" w:eastAsia="Calibri" w:hAnsi="Times New Roman" w:cs="Times New Roman"/>
          <w:b/>
          <w:i/>
          <w:sz w:val="24"/>
          <w:szCs w:val="24"/>
        </w:rPr>
      </w:pPr>
      <w:r w:rsidRPr="008B0BA4">
        <w:rPr>
          <w:rFonts w:ascii="Times New Roman" w:eastAsia="Calibri" w:hAnsi="Times New Roman" w:cs="Times New Roman"/>
          <w:b/>
          <w:i/>
          <w:sz w:val="24"/>
          <w:szCs w:val="24"/>
        </w:rPr>
        <w:t>Министерство культуры и архивного дела области – по одному объекту государственной собственности области:</w:t>
      </w:r>
    </w:p>
    <w:p w:rsidR="008B0BA4" w:rsidRPr="008B0BA4" w:rsidRDefault="008B0BA4" w:rsidP="0014690C">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8B0BA4">
        <w:rPr>
          <w:rFonts w:ascii="Times New Roman" w:hAnsi="Times New Roman" w:cs="Times New Roman"/>
          <w:sz w:val="24"/>
          <w:szCs w:val="24"/>
        </w:rPr>
        <w:t>Реконструкция, техническое перевооружение (переоснащение) ГАУК Амурской области «Амурская областная филармония»</w:t>
      </w:r>
      <w:r w:rsidRPr="008B0BA4">
        <w:rPr>
          <w:rFonts w:ascii="Times New Roman" w:eastAsia="Calibri" w:hAnsi="Times New Roman" w:cs="Times New Roman"/>
          <w:sz w:val="24"/>
          <w:szCs w:val="24"/>
        </w:rPr>
        <w:t xml:space="preserve"> (предусмотрено 1938,5 тыс. рублей, исполнено 554,6 тыс. рублей).</w:t>
      </w:r>
    </w:p>
    <w:p w:rsidR="008B0BA4" w:rsidRPr="008B0BA4" w:rsidRDefault="008B0BA4" w:rsidP="0014690C">
      <w:pPr>
        <w:numPr>
          <w:ilvl w:val="0"/>
          <w:numId w:val="25"/>
        </w:numPr>
        <w:spacing w:after="0" w:line="240" w:lineRule="auto"/>
        <w:ind w:left="0" w:firstLine="709"/>
        <w:contextualSpacing/>
        <w:jc w:val="both"/>
        <w:rPr>
          <w:rFonts w:ascii="Times New Roman" w:eastAsia="Calibri" w:hAnsi="Times New Roman" w:cs="Times New Roman"/>
          <w:b/>
          <w:i/>
          <w:sz w:val="24"/>
          <w:szCs w:val="24"/>
        </w:rPr>
      </w:pPr>
      <w:r w:rsidRPr="008B0BA4">
        <w:rPr>
          <w:rFonts w:ascii="Times New Roman" w:eastAsia="Calibri" w:hAnsi="Times New Roman" w:cs="Times New Roman"/>
          <w:b/>
          <w:i/>
          <w:sz w:val="24"/>
          <w:szCs w:val="24"/>
        </w:rPr>
        <w:t>Министерство здравоохранения области – по трем объектам государственной собственности области, в том числе:</w:t>
      </w:r>
    </w:p>
    <w:p w:rsidR="008B0BA4" w:rsidRPr="008B0BA4" w:rsidRDefault="008B0BA4" w:rsidP="0014690C">
      <w:pPr>
        <w:numPr>
          <w:ilvl w:val="0"/>
          <w:numId w:val="23"/>
        </w:numPr>
        <w:tabs>
          <w:tab w:val="left" w:pos="1134"/>
          <w:tab w:val="left" w:pos="1276"/>
        </w:tabs>
        <w:spacing w:after="0" w:line="240" w:lineRule="auto"/>
        <w:ind w:left="0" w:firstLine="709"/>
        <w:contextualSpacing/>
        <w:jc w:val="both"/>
        <w:rPr>
          <w:rFonts w:ascii="Times New Roman" w:eastAsia="Calibri" w:hAnsi="Times New Roman" w:cs="Times New Roman"/>
          <w:sz w:val="24"/>
          <w:szCs w:val="24"/>
        </w:rPr>
      </w:pPr>
      <w:r w:rsidRPr="008B0BA4">
        <w:rPr>
          <w:rFonts w:ascii="Times New Roman" w:eastAsia="Calibri" w:hAnsi="Times New Roman" w:cs="Times New Roman"/>
          <w:sz w:val="24"/>
          <w:szCs w:val="24"/>
        </w:rPr>
        <w:t>Реконструкция здания учебного корпуса с перепрофилированием под детскую поликлинику, расположенного по адресу г. Благовещенск, ул. Ленина, 1 (предусмотрено 750,0 тыс. рублей на разработку проектно-сметной документации, фактически исполнение не осуществлялось в связи с отсутствием источника исполнения лимитов бюджетных обязательств, контракты не заключались);</w:t>
      </w:r>
    </w:p>
    <w:p w:rsidR="008B0BA4" w:rsidRPr="008B0BA4" w:rsidRDefault="008B0BA4" w:rsidP="0014690C">
      <w:pPr>
        <w:numPr>
          <w:ilvl w:val="0"/>
          <w:numId w:val="23"/>
        </w:numPr>
        <w:tabs>
          <w:tab w:val="left" w:pos="1134"/>
          <w:tab w:val="left" w:pos="1276"/>
        </w:tabs>
        <w:spacing w:after="0" w:line="240" w:lineRule="auto"/>
        <w:ind w:left="0" w:firstLine="709"/>
        <w:contextualSpacing/>
        <w:jc w:val="both"/>
        <w:rPr>
          <w:rFonts w:ascii="Times New Roman" w:eastAsia="Calibri" w:hAnsi="Times New Roman" w:cs="Times New Roman"/>
          <w:sz w:val="24"/>
          <w:szCs w:val="24"/>
        </w:rPr>
      </w:pPr>
      <w:r w:rsidRPr="008B0BA4">
        <w:rPr>
          <w:rFonts w:ascii="Times New Roman" w:eastAsia="Calibri" w:hAnsi="Times New Roman" w:cs="Times New Roman"/>
          <w:sz w:val="24"/>
          <w:szCs w:val="24"/>
        </w:rPr>
        <w:t>Реконструкция учебного корпуса в лабораторный корпус по ул. Нагорная, 4 (предусмотрено 5385,4 тыс. рублей (на погашение кредиторской задолженности за 2014 год), исполнено 5385,4 тыс. рублей);</w:t>
      </w:r>
    </w:p>
    <w:p w:rsidR="008B0BA4" w:rsidRPr="008B0BA4" w:rsidRDefault="008B0BA4" w:rsidP="0014690C">
      <w:pPr>
        <w:numPr>
          <w:ilvl w:val="0"/>
          <w:numId w:val="23"/>
        </w:numPr>
        <w:tabs>
          <w:tab w:val="left" w:pos="1134"/>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B0BA4">
        <w:rPr>
          <w:rFonts w:ascii="Times New Roman" w:eastAsia="Calibri" w:hAnsi="Times New Roman" w:cs="Times New Roman"/>
          <w:sz w:val="24"/>
          <w:szCs w:val="24"/>
        </w:rPr>
        <w:t xml:space="preserve">Строительство </w:t>
      </w:r>
      <w:r w:rsidRPr="008B0BA4">
        <w:rPr>
          <w:rFonts w:ascii="Times New Roman" w:hAnsi="Times New Roman" w:cs="Times New Roman"/>
          <w:sz w:val="24"/>
          <w:szCs w:val="24"/>
        </w:rPr>
        <w:t>навеса для холодильного комплекса «Камера сборная теплоизоляционная для хранения препаратов крови», расположенного по адресу: Амурская область, г. Свободный, ул. Луговая, 5</w:t>
      </w:r>
      <w:r w:rsidRPr="008B0BA4">
        <w:rPr>
          <w:rFonts w:ascii="Times New Roman" w:eastAsia="Calibri" w:hAnsi="Times New Roman" w:cs="Times New Roman"/>
          <w:sz w:val="24"/>
          <w:szCs w:val="24"/>
        </w:rPr>
        <w:t xml:space="preserve"> (предусмотрено 413,6 тыс. рублей (на погашение кредиторской задолженности за 2014 год), исполнено 413,6 тыс. рублей).</w:t>
      </w:r>
    </w:p>
    <w:p w:rsidR="008B0BA4" w:rsidRPr="008B0BA4" w:rsidRDefault="008B0BA4" w:rsidP="008B0BA4">
      <w:pPr>
        <w:tabs>
          <w:tab w:val="left" w:pos="1134"/>
          <w:tab w:val="left" w:pos="1276"/>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8B0BA4" w:rsidRPr="008B0BA4" w:rsidRDefault="008B0BA4" w:rsidP="008B0BA4">
      <w:p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b/>
          <w:sz w:val="24"/>
          <w:szCs w:val="24"/>
        </w:rPr>
      </w:pPr>
      <w:r w:rsidRPr="008B0BA4">
        <w:rPr>
          <w:rFonts w:ascii="Times New Roman" w:eastAsia="Calibri" w:hAnsi="Times New Roman" w:cs="Times New Roman"/>
          <w:b/>
          <w:sz w:val="24"/>
          <w:szCs w:val="24"/>
        </w:rPr>
        <w:t>5.1</w:t>
      </w:r>
      <w:r>
        <w:rPr>
          <w:rFonts w:ascii="Times New Roman" w:eastAsia="Calibri" w:hAnsi="Times New Roman" w:cs="Times New Roman"/>
          <w:b/>
          <w:sz w:val="24"/>
          <w:szCs w:val="24"/>
        </w:rPr>
        <w:t>5</w:t>
      </w:r>
      <w:r w:rsidRPr="008B0BA4">
        <w:rPr>
          <w:rFonts w:ascii="Times New Roman" w:eastAsia="Calibri" w:hAnsi="Times New Roman" w:cs="Times New Roman"/>
          <w:b/>
          <w:sz w:val="24"/>
          <w:szCs w:val="24"/>
        </w:rPr>
        <w:t>.1. Анализ использования выделенных бюджетных средств и освоения объемов капитальных вложений по объектам капитального строительства государственной собственности Амурской области в 2015 году п</w:t>
      </w:r>
      <w:r w:rsidRPr="008B0BA4">
        <w:rPr>
          <w:rFonts w:ascii="Times New Roman" w:eastAsia="Calibri" w:hAnsi="Times New Roman" w:cs="Times New Roman"/>
          <w:b/>
          <w:bCs/>
          <w:iCs/>
          <w:sz w:val="24"/>
          <w:szCs w:val="24"/>
        </w:rPr>
        <w:t>о результатам п</w:t>
      </w:r>
      <w:r w:rsidRPr="008B0BA4">
        <w:rPr>
          <w:rFonts w:ascii="Times New Roman" w:eastAsia="Calibri" w:hAnsi="Times New Roman" w:cs="Times New Roman"/>
          <w:b/>
          <w:sz w:val="24"/>
          <w:szCs w:val="24"/>
        </w:rPr>
        <w:t>роведенной проверки ГКУ Амурской области «Строитель»</w:t>
      </w:r>
    </w:p>
    <w:p w:rsidR="008B0BA4" w:rsidRPr="008B0BA4" w:rsidRDefault="008B0BA4" w:rsidP="0014690C">
      <w:pPr>
        <w:widowControl w:val="0"/>
        <w:numPr>
          <w:ilvl w:val="0"/>
          <w:numId w:val="16"/>
        </w:numPr>
        <w:autoSpaceDE w:val="0"/>
        <w:autoSpaceDN w:val="0"/>
        <w:adjustRightInd w:val="0"/>
        <w:spacing w:before="120" w:after="0" w:line="240" w:lineRule="auto"/>
        <w:ind w:left="0" w:firstLine="709"/>
        <w:jc w:val="center"/>
        <w:rPr>
          <w:rFonts w:ascii="Times New Roman" w:eastAsia="Times New Roman" w:hAnsi="Times New Roman"/>
          <w:b/>
          <w:sz w:val="24"/>
          <w:szCs w:val="24"/>
          <w:lang w:eastAsia="ru-RU"/>
        </w:rPr>
      </w:pPr>
      <w:r w:rsidRPr="008B0BA4">
        <w:rPr>
          <w:rFonts w:ascii="Times New Roman" w:eastAsia="Times New Roman" w:hAnsi="Times New Roman"/>
          <w:sz w:val="24"/>
          <w:szCs w:val="24"/>
          <w:lang w:eastAsia="ru-RU"/>
        </w:rPr>
        <w:t>Х</w:t>
      </w:r>
      <w:r w:rsidRPr="008B0BA4">
        <w:rPr>
          <w:rFonts w:ascii="Times New Roman" w:eastAsia="Times New Roman" w:hAnsi="Times New Roman"/>
          <w:b/>
          <w:sz w:val="24"/>
          <w:szCs w:val="24"/>
          <w:lang w:eastAsia="ru-RU"/>
        </w:rPr>
        <w:t>ирургический корпус на 250 коек областного государственного учреждения здравоохранения «Амурская областная детская клиническая больница»</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Объект «Хирургический корпус на 250 коек областного государственного учреждения здравоохранения «Амурская областная детская клиническая больница» включен в областную адресную инвестиционную программу с 2005 года.</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Распоряжением Правительства РФ от 08.02.2007 № 146-р «Об утверждении перечня строек и объектов для федеральных государственных нужд на 2007 год, финансируемых за счет государственных капитальных вложений, предусмотренных на реализацию федеральной адресной инвестиционной программы на 2007 год» объект «Хирургический корпус на 250 коек областного государственного учреждения здравоохранения «Амурская областная детская клиническая больница» включен в непрограммную часть федеральной адресной инвестиционной программы, по разделу «Здравоохранение» в объеме государственных капитальных вложений на 2007 год - 255000,0 тыс. рублей.</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С 2008 года объект «Хирургический корпус на 250 коек областного государственного учреждения здравоохранения «Амурская областная детская клиническая больница» включен в перечень мероприятий федеральной целевой программы «Экономическое и социальное развитие Дальнего Востока и Забайкалья на период до 2013 года», утвержденной Постановлением Правительства Российской Федерации от 15.04.1996 № 480 (в ред. от 25.10.2013), с объемами финансирования на период с 2008 по 2013 год в размере 2881,0 млн. рублей, из них за счет федерального бюджета – 2400,0 млн. рублей, бюджета субъекта Российской Федерации – 481,0 млн. рублей.</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Строительство объекта «Хирургический корпус на 250 коек областного государственного учреждения здравоохранения «Амурская областная детская клиническая больница» с 2009 года включено в систему мероприятий долгосрочной целевой программы «Развитие социальной и инженерной инфраструктуры территорий Амурской области до </w:t>
      </w:r>
      <w:r w:rsidRPr="008B0BA4">
        <w:rPr>
          <w:rFonts w:ascii="Times New Roman" w:hAnsi="Times New Roman"/>
          <w:sz w:val="24"/>
          <w:szCs w:val="24"/>
        </w:rPr>
        <w:br/>
        <w:t xml:space="preserve">2013 года», утвержденную постановлением Правительства Амурской области от 11.11.2008 № 260, с 2012 года в долгосрочную целевую программу «Развитие здравоохранения </w:t>
      </w:r>
      <w:r w:rsidRPr="008B0BA4">
        <w:rPr>
          <w:rFonts w:ascii="Times New Roman" w:hAnsi="Times New Roman"/>
          <w:sz w:val="24"/>
          <w:szCs w:val="24"/>
        </w:rPr>
        <w:lastRenderedPageBreak/>
        <w:t>Амурской области на 2012-2014 годы», утвержденную Постановлением Правительства Амурской области от 23.09.2011 № 613, с 2014 года в государственную программу Амурской области «Развитие здравоохранения Амурской области на 2014-2020 годы», утвержденную Постановлением Правительства Амурск</w:t>
      </w:r>
      <w:r w:rsidR="002A7430">
        <w:rPr>
          <w:rFonts w:ascii="Times New Roman" w:hAnsi="Times New Roman"/>
          <w:sz w:val="24"/>
          <w:szCs w:val="24"/>
        </w:rPr>
        <w:t>ой области от 03.07.2013 № 302.</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Подпрограммой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Амурской области «Развитие здравоохранения Амурской области на </w:t>
      </w:r>
      <w:r w:rsidRPr="008B0BA4">
        <w:rPr>
          <w:rFonts w:ascii="Times New Roman" w:hAnsi="Times New Roman"/>
          <w:sz w:val="24"/>
          <w:szCs w:val="24"/>
        </w:rPr>
        <w:br/>
        <w:t>2014-2020 годы» предусмотрен объем финансирования на 2015 год – 51783,5 тыс. рублей, из которых неиспользованные остатки средств федерального бюджета 2013 года – 51019,6 тыс. рублей, средства областного бюджета – 763,9 тыс. рублей, в том числе на погашение кредиторской задолженности, сложившейся на 01.01.2015 – 423,5 тыс. рублей.</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 xml:space="preserve">Законом Амурской области от 10.12.2014 № 458-ОЗ «Об областном бюджете на </w:t>
      </w:r>
      <w:r w:rsidRPr="008B0BA4">
        <w:rPr>
          <w:rFonts w:ascii="Times New Roman" w:eastAsia="Times New Roman" w:hAnsi="Times New Roman"/>
          <w:sz w:val="24"/>
          <w:szCs w:val="24"/>
          <w:lang w:eastAsia="ru-RU"/>
        </w:rPr>
        <w:br/>
        <w:t xml:space="preserve">2015 год и плановый период 2016 и 2017 годов» и сводной бюджетной росписью расходов областного бюджета на 2015 год предусмотрены расходы на финансирование строительства объекта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Амурской области «Развитие здравоохранения Амурской области на </w:t>
      </w:r>
      <w:r w:rsidRPr="008B0BA4">
        <w:rPr>
          <w:rFonts w:ascii="Times New Roman" w:eastAsia="Times New Roman" w:hAnsi="Times New Roman"/>
          <w:sz w:val="24"/>
          <w:szCs w:val="24"/>
          <w:lang w:eastAsia="ru-RU"/>
        </w:rPr>
        <w:br/>
        <w:t>2014-2020 годы» в размере 51783,5 тыс. рублей, из которых 763,9 тыс. рублей – за счет средств областного бюджета, 51019,6 тыс. рублей – за счет возврата неиспользованных остатков средств федерального бюджета 2013 года.</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 xml:space="preserve">В целом за весь период строительства объекта при предусмотренных федеральной целевой программой «Экономическое и социальное развитие Дальнего Востока и Забайкалья на период до 2013 года», утвержденной Постановлением Правительства Российской Федерации от 15.04.1996 № 480 (в ред. от 25.10.2013), объемах финансирования объекта на период с 2008 по 2013 год - 2881,0 млн. рублей, из них за счет федерального бюджета – 2400,0 млн. рублей, бюджета субъекта Российской Федерации – 481,0 млн. рублей, фактически выделено: за счет средств федерального бюджета – 2400,0 млн. рублей, бюджета субъекта Российской </w:t>
      </w:r>
      <w:r w:rsidR="002A7430">
        <w:rPr>
          <w:rFonts w:ascii="Times New Roman" w:eastAsia="Times New Roman" w:hAnsi="Times New Roman"/>
          <w:sz w:val="24"/>
          <w:szCs w:val="24"/>
          <w:lang w:eastAsia="ru-RU"/>
        </w:rPr>
        <w:t>Федерации –  417,8 млн. рублей.</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 xml:space="preserve">Федеральной целевой программой «Экономическое и социальное развитие Дальнего Востока и Забайкалья на период до 2013 года», утвержденной Постановлением Правительства Российской Федерации от 15.04.1996 № 480 (в ред. от 25.10.2013), Соглашением № 023 от 29.08.2013 «О предоставлении в 2013 году субсидии из федерального бюджета бюджету Амурской области на софинансирование мероприятий по развитию социальной сферы, предусмотренных федеральной целевой программой «Экономическое и социальное развитие Дальнего Востока и Забайкалья на период до 2013 года», заключенным между Министерством здравоохранения Российской Федерации и Правительством Амурской области, со стороны Правительства Амурской области установлена обязанность - обеспечить ввод в эксплуатацию объекта «Хирургический корпус областного государственного учреждения здравоохранения «Амурская областная детская клиническая больница» в 2013 году. Подпрограммой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Амурской области «Развитие здравоохранения Амурской области на </w:t>
      </w:r>
      <w:r w:rsidRPr="008B0BA4">
        <w:rPr>
          <w:rFonts w:ascii="Times New Roman" w:eastAsia="Times New Roman" w:hAnsi="Times New Roman"/>
          <w:sz w:val="24"/>
          <w:szCs w:val="24"/>
          <w:lang w:eastAsia="ru-RU"/>
        </w:rPr>
        <w:br/>
        <w:t xml:space="preserve">2014-2020 годы», утвержденной Постановлением Правительства Амурской области от 03.07.2013 № 302 (в ред. от 23.12.2015 № 625), ввод объекта в эксплуатацию, запланированный первоначально на 2014 год, перенесен на </w:t>
      </w:r>
      <w:r w:rsidRPr="008B0BA4">
        <w:rPr>
          <w:rFonts w:ascii="Times New Roman" w:eastAsia="Times New Roman" w:hAnsi="Times New Roman"/>
          <w:sz w:val="24"/>
          <w:szCs w:val="24"/>
          <w:lang w:val="en-US" w:eastAsia="ru-RU"/>
        </w:rPr>
        <w:t>IV</w:t>
      </w:r>
      <w:r w:rsidR="002A7430">
        <w:rPr>
          <w:rFonts w:ascii="Times New Roman" w:eastAsia="Times New Roman" w:hAnsi="Times New Roman"/>
          <w:sz w:val="24"/>
          <w:szCs w:val="24"/>
          <w:lang w:eastAsia="ru-RU"/>
        </w:rPr>
        <w:t xml:space="preserve"> квартал 2015 года.</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Фактически в 2015 году профинансировано и использовано на строительство объекта бюджетных средств:</w:t>
      </w:r>
    </w:p>
    <w:p w:rsidR="008B0BA4" w:rsidRPr="002A7430"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w:t>
      </w:r>
      <w:r w:rsidRPr="008B0BA4">
        <w:rPr>
          <w:rFonts w:ascii="Times New Roman" w:eastAsia="Times New Roman" w:hAnsi="Times New Roman"/>
          <w:i/>
          <w:sz w:val="24"/>
          <w:szCs w:val="24"/>
          <w:lang w:eastAsia="ru-RU"/>
        </w:rPr>
        <w:t>за счет средств федерального бюджета</w:t>
      </w:r>
      <w:r w:rsidRPr="008B0BA4">
        <w:rPr>
          <w:rFonts w:ascii="Times New Roman" w:eastAsia="Times New Roman" w:hAnsi="Times New Roman"/>
          <w:sz w:val="24"/>
          <w:szCs w:val="24"/>
          <w:lang w:eastAsia="ru-RU"/>
        </w:rPr>
        <w:t xml:space="preserve"> – профинансировано 51019,6 тыс. рублей (за счет возврата неиспользованных в 2014 году остатков средств федерального бюджета 2013 года), использовано 15666,2 тыс. рублей, или 30,7 процента от профинансированных </w:t>
      </w:r>
      <w:r w:rsidRPr="008B0BA4">
        <w:rPr>
          <w:rFonts w:ascii="Times New Roman" w:eastAsia="Times New Roman" w:hAnsi="Times New Roman"/>
          <w:sz w:val="24"/>
          <w:szCs w:val="24"/>
          <w:lang w:eastAsia="ru-RU"/>
        </w:rPr>
        <w:lastRenderedPageBreak/>
        <w:t xml:space="preserve">объемов, из которых 15084,1 тыс. рублей - на оплату строительно-монтажных работ, </w:t>
      </w:r>
      <w:r w:rsidRPr="008B0BA4">
        <w:rPr>
          <w:rFonts w:ascii="Times New Roman" w:eastAsia="Times New Roman" w:hAnsi="Times New Roman"/>
          <w:sz w:val="24"/>
          <w:szCs w:val="24"/>
          <w:lang w:eastAsia="ru-RU"/>
        </w:rPr>
        <w:br/>
        <w:t>582,1 тыс. рублей - на оплату монтажа оборудования. Неиспользованные средства в размере 35353,4 тыс. рублей по состоянию на 31.12.2015 возвращены в доход бюджета.</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w:t>
      </w:r>
      <w:r w:rsidRPr="008B0BA4">
        <w:rPr>
          <w:rFonts w:ascii="Times New Roman" w:eastAsia="Times New Roman" w:hAnsi="Times New Roman"/>
          <w:i/>
          <w:sz w:val="24"/>
          <w:szCs w:val="24"/>
          <w:lang w:eastAsia="ru-RU"/>
        </w:rPr>
        <w:t>за счет средств областного бюджета</w:t>
      </w:r>
      <w:r w:rsidRPr="008B0BA4">
        <w:rPr>
          <w:rFonts w:ascii="Times New Roman" w:eastAsia="Times New Roman" w:hAnsi="Times New Roman"/>
          <w:sz w:val="24"/>
          <w:szCs w:val="24"/>
          <w:lang w:eastAsia="ru-RU"/>
        </w:rPr>
        <w:t xml:space="preserve"> – при доведенных лимитах бюджетных обязательств 763,9 тыс. рублей, использовано на оплату прочих работ - 662,4 тыс. рублей, или 86,7 процента, из них 423,5 тыс. рублей – на погашение кредиторской задолженности, возникшей в 2014 году. Остатки средств в размере 101,5 тыс. рублей по состоянию на 31.12.2015 возвращены в доход бюджета, наличие остатков связано с экономией, сложившейся от снижения стоимости работ при заключении государственных ко</w:t>
      </w:r>
      <w:r w:rsidR="002A7430">
        <w:rPr>
          <w:rFonts w:ascii="Times New Roman" w:eastAsia="Times New Roman" w:hAnsi="Times New Roman"/>
          <w:sz w:val="24"/>
          <w:szCs w:val="24"/>
          <w:lang w:eastAsia="ru-RU"/>
        </w:rPr>
        <w:t>нтрактов по прочим видам работ.</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Объем освоенных капитальных вложений по объекту «Хирургический корпус областного государственного учреждения здравоохранения «Амурская областная детская клиническая больница» в 2015 год</w:t>
      </w:r>
      <w:r w:rsidR="002A7430">
        <w:rPr>
          <w:rFonts w:ascii="Times New Roman" w:eastAsia="Times New Roman" w:hAnsi="Times New Roman"/>
          <w:sz w:val="24"/>
          <w:szCs w:val="24"/>
          <w:lang w:eastAsia="ru-RU"/>
        </w:rPr>
        <w:t>у составил 15323,0 тыс. рублей.</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B0BA4">
        <w:rPr>
          <w:rFonts w:ascii="Times New Roman" w:eastAsia="Times New Roman" w:hAnsi="Times New Roman"/>
          <w:sz w:val="24"/>
          <w:szCs w:val="24"/>
          <w:lang w:eastAsia="ru-RU"/>
        </w:rPr>
        <w:t xml:space="preserve">Исполнителем комплекса работ: проектных, строительно-монтажных (в том числе поставка и комплектация медицинским оборудованием согласно проектно-сметной документации) по объекту «Хирургический корпус областного государственного учреждения здравоохранения «Амурская областная детская клиническая больница» по результатам открытого конкурса по определению </w:t>
      </w:r>
      <w:r w:rsidRPr="008B0BA4">
        <w:rPr>
          <w:rFonts w:ascii="Times New Roman" w:eastAsia="Times New Roman" w:hAnsi="Times New Roman"/>
          <w:sz w:val="24"/>
          <w:szCs w:val="24"/>
          <w:u w:val="single"/>
          <w:lang w:eastAsia="ru-RU"/>
        </w:rPr>
        <w:t>генподрядной организации-инвестора</w:t>
      </w:r>
      <w:r w:rsidRPr="008B0BA4">
        <w:rPr>
          <w:rFonts w:ascii="Times New Roman" w:eastAsia="Times New Roman" w:hAnsi="Times New Roman"/>
          <w:sz w:val="24"/>
          <w:szCs w:val="24"/>
          <w:lang w:eastAsia="ru-RU"/>
        </w:rPr>
        <w:t xml:space="preserve"> признано ООО по торговле и инвестициям «Проинвест» (юридический адрес:</w:t>
      </w:r>
      <w:proofErr w:type="gramEnd"/>
      <w:r w:rsidRPr="008B0BA4">
        <w:rPr>
          <w:rFonts w:ascii="Times New Roman" w:eastAsia="Times New Roman" w:hAnsi="Times New Roman"/>
          <w:sz w:val="24"/>
          <w:szCs w:val="24"/>
          <w:lang w:eastAsia="ru-RU"/>
        </w:rPr>
        <w:t xml:space="preserve"> Венгрия, 1132, г</w:t>
      </w:r>
      <w:r w:rsidR="003E5087" w:rsidRPr="008B0BA4">
        <w:rPr>
          <w:rFonts w:ascii="Times New Roman" w:eastAsia="Times New Roman" w:hAnsi="Times New Roman"/>
          <w:sz w:val="24"/>
          <w:szCs w:val="24"/>
          <w:lang w:eastAsia="ru-RU"/>
        </w:rPr>
        <w:t>. Б</w:t>
      </w:r>
      <w:r w:rsidRPr="008B0BA4">
        <w:rPr>
          <w:rFonts w:ascii="Times New Roman" w:eastAsia="Times New Roman" w:hAnsi="Times New Roman"/>
          <w:sz w:val="24"/>
          <w:szCs w:val="24"/>
          <w:lang w:eastAsia="ru-RU"/>
        </w:rPr>
        <w:t xml:space="preserve">удапешт, Сабадшаг,7). Между департаментом архитектуры и строительства («Государственный заказчик»), ГУП Амурской области «Строитель» («Заказчик-застройщик») и ООО «Проинвест» («Исполнитель») заключен государственный контракт </w:t>
      </w:r>
      <w:r w:rsidRPr="008B0BA4">
        <w:rPr>
          <w:rFonts w:ascii="Times New Roman" w:eastAsia="Times New Roman" w:hAnsi="Times New Roman"/>
          <w:sz w:val="24"/>
          <w:szCs w:val="24"/>
          <w:lang w:eastAsia="ru-RU"/>
        </w:rPr>
        <w:br/>
        <w:t xml:space="preserve">№ 37 от 22.12.2005 на выполнение комплекса работ по объекту «Хирургический корпус областного государственного учреждения здравоохранения «Амурская областная детская клиническая больница». В соответствии с терминологией, принятой в контракте, определено, что «исполнитель - </w:t>
      </w:r>
      <w:r w:rsidRPr="008B0BA4">
        <w:rPr>
          <w:rFonts w:ascii="Times New Roman" w:eastAsia="Times New Roman" w:hAnsi="Times New Roman"/>
          <w:sz w:val="24"/>
          <w:szCs w:val="24"/>
          <w:u w:val="single"/>
          <w:lang w:eastAsia="ru-RU"/>
        </w:rPr>
        <w:t>генподрядная организация-инвестор</w:t>
      </w:r>
      <w:r w:rsidRPr="008B0BA4">
        <w:rPr>
          <w:rFonts w:ascii="Times New Roman" w:eastAsia="Times New Roman" w:hAnsi="Times New Roman"/>
          <w:sz w:val="24"/>
          <w:szCs w:val="24"/>
          <w:lang w:eastAsia="ru-RU"/>
        </w:rPr>
        <w:t xml:space="preserve"> по выполнению проектных, строительно-монтажных работ (в том числе поставка и комплектация медицинским оборудованием согласно проектно-сметной документации), стоимость комплекса работ согласно заключенному контракту составляет 2105228,6 тыс. рублей.</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Заданием на проектирование объекта, являющимся приложением № 2 к государственному контракту № 37 от 22.12.2005, в качестве источника финансирования строительства определены «собственные средства инвестора с последующим возмещением из областного бюджета с рассрочкой платежа на 7-9 лет» (п.12 Задания на проектирование).</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 xml:space="preserve">Условиями контракта в части порядка расчетов предусмотрено, что «на сумму заемных средств «Исполнитель» предоставляет «Заказчику» рассрочку платежа сроком </w:t>
      </w:r>
      <w:r w:rsidRPr="008B0BA4">
        <w:rPr>
          <w:rFonts w:ascii="Times New Roman" w:eastAsia="Times New Roman" w:hAnsi="Times New Roman"/>
          <w:sz w:val="24"/>
          <w:szCs w:val="24"/>
          <w:lang w:eastAsia="ru-RU"/>
        </w:rPr>
        <w:br/>
        <w:t xml:space="preserve">на 9 лет от даты и суммы ежемесячного акта приема-сдачи строительно-монтажных работ или поставляемого оборудования, с учетом оплаты процентов за предоставленную рассрочку в размере годовой ставки 6 процентов. Погашение долга с учетом процентов за рассрочку платежа производится на основании кредитного соглашения, заключенного между </w:t>
      </w:r>
      <w:r w:rsidRPr="008B0BA4">
        <w:rPr>
          <w:rFonts w:ascii="Times New Roman" w:eastAsia="Times New Roman" w:hAnsi="Times New Roman"/>
          <w:sz w:val="24"/>
          <w:szCs w:val="24"/>
          <w:lang w:eastAsia="ru-RU"/>
        </w:rPr>
        <w:br/>
        <w:t>ГУП Амурской области «Строитель» и АО «Эксимбанк», Венгрия». Предусмотренное контрактом кредитное соглашение не заключалось. В период с 2005 года «Исполнителем» – ООО «Проинвест», определенным по условиям контракта генподрядной организацией-инвестором, выполнение работ осуществлялось исключительно за счет бюджетных средств. Дополнительным соглашением № 35 от 20.12.2013 к государственному контракту от 22.12.2005 № 37 пункт 4.3 контракта, предусматривающий указанное условие, исключен.</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Законом Амурской области от 01.11.2013 № 263-ОЗ «Об изменении цены государственного контракта», принятым в соответствии с </w:t>
      </w:r>
      <w:hyperlink r:id="rId58" w:history="1">
        <w:r w:rsidRPr="008B0BA4">
          <w:rPr>
            <w:rFonts w:ascii="Times New Roman" w:hAnsi="Times New Roman"/>
            <w:sz w:val="24"/>
            <w:szCs w:val="24"/>
          </w:rPr>
          <w:t>частью 6 статьи 9</w:t>
        </w:r>
      </w:hyperlink>
      <w:r w:rsidRPr="008B0BA4">
        <w:rPr>
          <w:rFonts w:ascii="Times New Roman" w:hAnsi="Times New Roman"/>
          <w:sz w:val="24"/>
          <w:szCs w:val="24"/>
        </w:rPr>
        <w:t xml:space="preserve"> Федерального закона от 21.07.2005 № 94-ФЗ «О размещении заказов на поставки товаров, выполнение работ, оказание услуг для государственных и муниципальных нужд», изменена в сторону увеличения цена государственного контракта от 22.12.2005 № 37 на выполнение комплекса работ по объекту «Хирургический корпус областного государственного учреждения здравоохранения Амурская областная детская клиническая больница» с 2105228,6 тыс. рублей до 2405937,7 тыс. рубле</w:t>
      </w:r>
      <w:r w:rsidR="002A7430">
        <w:rPr>
          <w:rFonts w:ascii="Times New Roman" w:hAnsi="Times New Roman"/>
          <w:sz w:val="24"/>
          <w:szCs w:val="24"/>
        </w:rPr>
        <w:t>й, или на 300709,1 тыс. рублей.</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lastRenderedPageBreak/>
        <w:t xml:space="preserve">Во исполнение указанного закона дополнительным соглашением № 35 от 20.12.2013 сторонами контракта определено, что общая стоимость комплекса работ является фиксированной и составляет 2405937,7 тыс. рублей. Кроме того, в новой редакции представлены Приложение № 1, являющееся графиком выполнения работ, в который внесены значительные изменения как в части распределения объемов выполнения работ по календарным годам в виде корректировки под фактически выполненные объемы </w:t>
      </w:r>
      <w:r w:rsidRPr="008B0BA4">
        <w:rPr>
          <w:rFonts w:ascii="Times New Roman" w:hAnsi="Times New Roman"/>
          <w:sz w:val="24"/>
          <w:szCs w:val="24"/>
        </w:rPr>
        <w:br/>
        <w:t>2006-2013 годов, что позволило генподрядной организации избежать ответственности за систематическое невыполнение обязательств по государственному контракту в части сроков выполнения работ и, соответственно, неполучению в доход областного бюджета сумм штрафных санкций, так и в части срока завершения работ: при ранее предусмотренном графиком завершении работ – в сентябре 2010 года (в редакции дополнительного соглашения № 5 от 30.04.2008), завершение работ в редакции графика по дополнительному соглашению № 35 от 20.12.2013 перенесено на 2014 год. Изменение условий государственного контракта от 22.12.2005 № 37 в части сроков выполнения работ произведено в нарушение ч.5 статьи 9 Федерального закона от 21.07.2005 № 94-ФЗ «О размещении заказов на поставки товаров, выполнение работ, оказание услуг для государственных и муниципальных нужд». Постановлением Управления Федеральной антимонопольной службы по Амурской области по делу об административном правонарушении от 27.11.2014, возбужденном на основании информации контрольно-счетной палаты Амурской области о нарушениях действующего законодательства по закупкам для государственных нужд, директор ГКУ Амурской области «Строитель» признан виновным в совершении административного правонарушения, ответственность за совершение которого предусмотрена ч. 2 с. 7.23 КоАП РФ, с применением административного наказания в виде административного штрафа в размере 20,0 тыс. рублей.</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Контрольно-счетная палата Амурской области в акте проверки от 25.05.2015 отмечала, что определение стоимости строительно-монтажных работ по объекту при заключении государственного контракта № 37 от 22.12.2005 в ценах </w:t>
      </w:r>
      <w:r w:rsidRPr="008B0BA4">
        <w:rPr>
          <w:rFonts w:ascii="Times New Roman" w:hAnsi="Times New Roman"/>
          <w:sz w:val="24"/>
          <w:szCs w:val="24"/>
          <w:lang w:val="en-US"/>
        </w:rPr>
        <w:t>IV</w:t>
      </w:r>
      <w:r w:rsidRPr="008B0BA4">
        <w:rPr>
          <w:rFonts w:ascii="Times New Roman" w:hAnsi="Times New Roman"/>
          <w:sz w:val="24"/>
          <w:szCs w:val="24"/>
        </w:rPr>
        <w:t xml:space="preserve"> квартала 2005 года без учета индекса роста цен, рассчитанного на период строительства объекта, перенос сроков завершения строительства объекта в связи с невыполнением генподрядчиком – </w:t>
      </w:r>
      <w:r w:rsidRPr="008B0BA4">
        <w:rPr>
          <w:rFonts w:ascii="Times New Roman" w:hAnsi="Times New Roman"/>
          <w:sz w:val="24"/>
          <w:szCs w:val="24"/>
        </w:rPr>
        <w:br/>
        <w:t xml:space="preserve">ООО «Проинвест» обязательств с апреля 2008 года (график выполнения работ в редакции государственного контракта № 37 от 22.12.2005) на сентябрь 2010 года (график выполнения работ в редакции дополнительного соглашения № 5 от 30.04.2008), а в дальнейшем - на </w:t>
      </w:r>
      <w:r w:rsidRPr="008B0BA4">
        <w:rPr>
          <w:rFonts w:ascii="Times New Roman" w:hAnsi="Times New Roman"/>
          <w:sz w:val="24"/>
          <w:szCs w:val="24"/>
        </w:rPr>
        <w:br/>
        <w:t xml:space="preserve">2014 год (график выполнения работ в редакции дополнительного соглашения № 35 от 20.12.2013), а также осуществление расчетов за выполненные строительно-монтажные работы по текущим ценам предопределило необходимость значительного увеличения стоимости строительно-монтажных работ. В свою очередь, сложившийся дисбаланс и необходимость соблюдения фиксированной стоимости контракта значительно повлияло на оснащение объекта оборудованием в связи с необходимостью корректировки в сторону уменьшения доли средств, предусмотренных контрактом на приобретение медицинского оборудования, оборудования, мебели и инвентаря. Дополнительным соглашением № 35 от 20.12.2013 в график выполнения работ по объекту внесены изменения, приведшие к перераспределению объемов выполнения по видам работ, так при значительном увеличении стоимости строительно-монтажных работ с 980973,4 тыс. рублей до 1741536,8 тыс. рублей, на 760563,4 тыс. рублей, или 77,5 процента, стоимость поставляемого оборудования уменьшена с 833760,2 тыс. рублей до 601510,2 тыс. рублей, на 232250,6 тыс. рублей, или </w:t>
      </w:r>
      <w:r w:rsidRPr="008B0BA4">
        <w:rPr>
          <w:rFonts w:ascii="Times New Roman" w:hAnsi="Times New Roman"/>
          <w:sz w:val="24"/>
          <w:szCs w:val="24"/>
        </w:rPr>
        <w:br/>
        <w:t>27,8 процента, стоимость проектно-изыскательских и подготовительных работ увеличена с 30874,1 тыс. рублей до 36804,9 тыс. рублей, на 5930,8 тыс. рублей, или 19,2 процента, стоимость прочих работ и затрат (с учетом суммы за рассрочку процентной ставки) уменьшена с 284357,3 тыс. рублей до 26085,7 тыс. рублей, на 258271,</w:t>
      </w:r>
      <w:r w:rsidR="002A7430">
        <w:rPr>
          <w:rFonts w:ascii="Times New Roman" w:hAnsi="Times New Roman"/>
          <w:sz w:val="24"/>
          <w:szCs w:val="24"/>
        </w:rPr>
        <w:t>6 тыс. рублей, или в 10,9 раза.</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В 2014 году сторонами контракта заключено Дополнительное соглашение № 37 от 16.12.2014 к государственному контракту № 37, которым внесены изменения в Приложение № 1 к контракту в части объединения в одну позицию таких видов работ как строительно-</w:t>
      </w:r>
      <w:r w:rsidRPr="008B0BA4">
        <w:rPr>
          <w:rFonts w:ascii="Times New Roman" w:hAnsi="Times New Roman"/>
          <w:sz w:val="24"/>
          <w:szCs w:val="24"/>
        </w:rPr>
        <w:lastRenderedPageBreak/>
        <w:t>монтажные, проектно- изыскательские, подготовительные работы, прочие работы и затраты и отражения стоимости контракта по указанной позиции путем суммирования объемов по ранее выделенным наименованиям работ. В результате согласно Приложению № 1 к контракту определено, что при стоимости контракта – 2405937,7 тыс. рублей, стоимость строительно-монтажных, проектно- изыскательских, подготовительных работ, прочих работ и затрат (пусконаладочные работы и т.д.) – 1804427,5 тыс. рублей, стоимость поставляемого оборудования – 601510,2 тыс. рублей.</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Объем работ, предъявленных генподрядчиком – ООО «Проинвест» в рамках государственного контракта № 37 от 22.12.2005 на выполнение комплекса работ по объекту «Хирургический корпус областного государственного учреждения здравоохранения «Амурская областная детская клиническая больница», в том числе с поставкой оборудования, по состоянию на 01.01.2015 составил 2405560,2 тыс. рублей (2006 год – 15028,1 тыс. рублей, 2007 год – 50277,3 тыс. рублей, 2008 год – 244650,6 тыс. рублей,</w:t>
      </w:r>
      <w:r w:rsidRPr="008B0BA4">
        <w:rPr>
          <w:rFonts w:ascii="Times New Roman" w:eastAsia="Times New Roman" w:hAnsi="Times New Roman"/>
          <w:sz w:val="24"/>
          <w:szCs w:val="24"/>
          <w:lang w:eastAsia="ru-RU"/>
        </w:rPr>
        <w:br/>
        <w:t>2009 год – 404528,6 тыс. рублей, 2010 год – 300615,4 тыс. рублей, 2011 год – 167138,9 тыс. рублей, 2012 год - 24489,8 тыс. рублей, 2013 год – 931407,9 тыс. рублей, 201</w:t>
      </w:r>
      <w:r w:rsidR="002A7430">
        <w:rPr>
          <w:rFonts w:ascii="Times New Roman" w:eastAsia="Times New Roman" w:hAnsi="Times New Roman"/>
          <w:sz w:val="24"/>
          <w:szCs w:val="24"/>
          <w:lang w:eastAsia="ru-RU"/>
        </w:rPr>
        <w:t xml:space="preserve">4 год – </w:t>
      </w:r>
      <w:r w:rsidR="002A7430">
        <w:rPr>
          <w:rFonts w:ascii="Times New Roman" w:eastAsia="Times New Roman" w:hAnsi="Times New Roman"/>
          <w:sz w:val="24"/>
          <w:szCs w:val="24"/>
          <w:lang w:eastAsia="ru-RU"/>
        </w:rPr>
        <w:br/>
        <w:t>267423,6 тыс. рублей).</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По состоянию на 01.01.2015 генподрядчиком - ООО «Проинвест» предъявлено, а заказчиком-застройщиком - ГКУ Амурской области «Строитель» принято к оплате и оплачено строительно-монтажных, проектно- изыскательских, подготовительных работ, прочих работ и затрат на сумму 1804427,5 тыс. рублей, или 100 процентов стоимости, предусмотренной условиями контракта в редакции дополнительного соглашения № 37 от 16.12.2014 к государственном</w:t>
      </w:r>
      <w:r w:rsidR="002A7430">
        <w:rPr>
          <w:rFonts w:ascii="Times New Roman" w:eastAsia="Times New Roman" w:hAnsi="Times New Roman"/>
          <w:sz w:val="24"/>
          <w:szCs w:val="24"/>
          <w:lang w:eastAsia="ru-RU"/>
        </w:rPr>
        <w:t>у контракту № 37 от 22.12.2005.</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Согласно ведомости инвентаризации незавершенного строительства, выполнение строительно-монтажных работ в ценах 4 квартала 2005 года по состоянию на 01.01.2015 составило: хирургический корпус - 98,4 процента (выполнение - 700650,7 тыс. рублей при предусмотренной сметной стоимости – 711758,5 тыс. рублей), прачечная, мастерская, гараж – 99,1 процента (выполнение - 45563,2 тыс. рублей при предусмотренной сметной стоимости – 45987,1 тыс. рублей), благоустройство - 99,3 процента (выполнение – 8780,0 тыс. рублей при предусмотренной сметной стоимости – 8841,7 тыс. рублей). Остаток невыполненного объема строительно-монтажных работ по состоянию на 01.01.2015 года составляет в ценах 2005 года - 15175,7 тыс. рублей, в ценах первого квартала 2015 года – 32202,7 тыс. рублей.</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Кроме того, согласно ведомости инвентаризации незавершенного строительства по состоянию на 01.01.2015 выполнение по пусконаладочным работам составило 3960,0 тыс. рублей при предусмотренных объемах 8426,4 т</w:t>
      </w:r>
      <w:r w:rsidR="002A7430">
        <w:rPr>
          <w:rFonts w:ascii="Times New Roman" w:eastAsia="Times New Roman" w:hAnsi="Times New Roman"/>
          <w:sz w:val="24"/>
          <w:szCs w:val="24"/>
          <w:lang w:eastAsia="ru-RU"/>
        </w:rPr>
        <w:t>ыс. рублей, или 47,0 процентов.</w:t>
      </w:r>
    </w:p>
    <w:p w:rsidR="008B0BA4" w:rsidRPr="002A7430"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 xml:space="preserve">Контрольно-счетная палата Амурской области в актах проверок от </w:t>
      </w:r>
      <w:r w:rsidRPr="008B0BA4">
        <w:rPr>
          <w:rFonts w:ascii="Times New Roman" w:hAnsi="Times New Roman"/>
          <w:sz w:val="24"/>
          <w:szCs w:val="24"/>
        </w:rPr>
        <w:t xml:space="preserve">28.05.2014, 25.05.2015 </w:t>
      </w:r>
      <w:r w:rsidRPr="008B0BA4">
        <w:rPr>
          <w:rFonts w:ascii="Times New Roman" w:eastAsia="Times New Roman" w:hAnsi="Times New Roman"/>
          <w:sz w:val="24"/>
          <w:szCs w:val="24"/>
          <w:lang w:eastAsia="ru-RU"/>
        </w:rPr>
        <w:t>обращала внимание на наличие рисков, связанных с тем, что объем предъявленных ООО «Проинвест» к оплате строительно-монтажных работ достигнет цены контракта при невыполнении в полном объеме предусмотренных проектно-сметной документацией работ, что стало возможным в связи с отсутствием со стороны заказчика контроля за балансом между долей объемов выполненных строительно-монтажных работ и объемов, предусмотренных по проектно-сметной документации, и долей предъявленных и оплаченных строительно-монтажных работ от общей суммы строительн</w:t>
      </w:r>
      <w:r w:rsidR="002A7430">
        <w:rPr>
          <w:rFonts w:ascii="Times New Roman" w:eastAsia="Times New Roman" w:hAnsi="Times New Roman"/>
          <w:sz w:val="24"/>
          <w:szCs w:val="24"/>
          <w:lang w:eastAsia="ru-RU"/>
        </w:rPr>
        <w:t>о-монтажных работ по контракту.</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 xml:space="preserve">В 2015 году ООО «Проинвест» предъявлены к оплате Акты выполненных работ по форме КС-2 и Справки о стоимости выполненных работ по форме КС-3 на сумму </w:t>
      </w:r>
      <w:r w:rsidRPr="008B0BA4">
        <w:rPr>
          <w:rFonts w:ascii="Times New Roman" w:eastAsia="Times New Roman" w:hAnsi="Times New Roman"/>
          <w:sz w:val="24"/>
          <w:szCs w:val="24"/>
          <w:lang w:eastAsia="ru-RU"/>
        </w:rPr>
        <w:br/>
        <w:t>72555,3 тыс. рублей, которые со стороны заказчика ГКУ Амурской области «Строитель» не подписаны и к оплате не приняты в связи с превышением суммы предъявляемых к оплате работ общей стоимости контракта.</w:t>
      </w:r>
    </w:p>
    <w:p w:rsidR="008B0BA4" w:rsidRPr="008B0BA4" w:rsidRDefault="008B0BA4" w:rsidP="008B0BA4">
      <w:pPr>
        <w:spacing w:after="0" w:line="240" w:lineRule="auto"/>
        <w:ind w:firstLine="709"/>
        <w:jc w:val="both"/>
        <w:rPr>
          <w:rFonts w:ascii="Times New Roman" w:hAnsi="Times New Roman"/>
          <w:sz w:val="24"/>
          <w:szCs w:val="24"/>
        </w:rPr>
      </w:pPr>
      <w:r w:rsidRPr="008B0BA4">
        <w:rPr>
          <w:rFonts w:ascii="Times New Roman" w:hAnsi="Times New Roman"/>
          <w:sz w:val="24"/>
          <w:szCs w:val="24"/>
        </w:rPr>
        <w:t>Проверкой установлено, что ООО «Проинвест» направлено в Арбитражный суд Амурской области исковое заявление от 21.07.2015 о взыскании с ГКУ Амурской области «Строитель» задолженности за выполненные работы и поставленное оборудование в размере 72555,3 тыс. рублей, процентов за пользование чужими денежными средствами в размере 315,5 тыс. рублей, расходов по госпошли</w:t>
      </w:r>
      <w:r w:rsidR="002A7430">
        <w:rPr>
          <w:rFonts w:ascii="Times New Roman" w:hAnsi="Times New Roman"/>
          <w:sz w:val="24"/>
          <w:szCs w:val="24"/>
        </w:rPr>
        <w:t>не в размере 200,0 тыс. рублей.</w:t>
      </w:r>
    </w:p>
    <w:p w:rsidR="008B0BA4" w:rsidRPr="008B0BA4" w:rsidRDefault="008B0BA4" w:rsidP="008B0BA4">
      <w:pPr>
        <w:widowControl w:val="0"/>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8B0BA4">
        <w:rPr>
          <w:rFonts w:ascii="Times New Roman" w:hAnsi="Times New Roman" w:cs="Times New Roman"/>
          <w:sz w:val="24"/>
          <w:szCs w:val="24"/>
          <w:lang w:eastAsia="ru-RU"/>
        </w:rPr>
        <w:lastRenderedPageBreak/>
        <w:t xml:space="preserve">Определением Арбитражного суда Амурской области от 20.01.2016 рассмотрение иска приостановлено до вынесения решения по делу № А04-42/2016, производство которого возбуждено по исковому заявлению ООО «Проинвест» от 14.01.2016 к министерству транспорта и строительства Амурской области и ГКУ Амурской области «Строитель» об обязании внести изменения в условия государственного контракта № 37 от 22.05.2005 в части увеличения стоимости комплекса работ по объекту </w:t>
      </w:r>
      <w:r w:rsidRPr="008B0BA4">
        <w:rPr>
          <w:rFonts w:ascii="Times New Roman" w:eastAsia="Times New Roman" w:hAnsi="Times New Roman" w:cs="Times New Roman"/>
          <w:sz w:val="24"/>
          <w:szCs w:val="24"/>
          <w:lang w:eastAsia="ru-RU"/>
        </w:rPr>
        <w:t xml:space="preserve">«Хирургический корпус областного государственного учреждения здравоохранения «Амурская областная детская клиническая больница» </w:t>
      </w:r>
      <w:r w:rsidRPr="008B0BA4">
        <w:rPr>
          <w:rFonts w:ascii="Times New Roman" w:hAnsi="Times New Roman" w:cs="Times New Roman"/>
          <w:sz w:val="24"/>
          <w:szCs w:val="24"/>
          <w:lang w:eastAsia="ru-RU"/>
        </w:rPr>
        <w:t xml:space="preserve">с 2405937,7 тыс. рублей до 2471588,7 тыс. рублей, или на </w:t>
      </w:r>
      <w:r w:rsidRPr="008B0BA4">
        <w:rPr>
          <w:rFonts w:ascii="Times New Roman" w:hAnsi="Times New Roman" w:cs="Times New Roman"/>
          <w:sz w:val="24"/>
          <w:szCs w:val="24"/>
          <w:lang w:eastAsia="ru-RU"/>
        </w:rPr>
        <w:br/>
        <w:t>65651,0 тыс. рублей, и продления до 31.03.2016 срока выполнения строительно-монтажных работ, поставки оборудования и прочих работ, включая пусконаладочные работы. Дело находится на рассмотрении, очередное судебное заседание отложено на 07.06.2016 года.</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По данным учета ГКУ Амурской области «Строитель» по состоянию на 01.01.2015 года числилась кредиторская задолженность перед ООО «Проинвест» в размере 582,1 тыс. рублей, возникшая за поставку оборудования, требующего монтажа (в отсутствие документов по монтажу оборудования окончательный расчет в соответствии с условиями контракта производится после завершения монтажных работ). В 2015 году произведен окончательный расчет за выполненные работы, связанные с монтажом поставленного оборудования, на сумму 582,1 тыс. рублей.</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По состоянию на 01.01.2016 года и на день проверки ООО «Проинвест» не выполнены обязательства по поставке части оборудования, не поставлено оборудован</w:t>
      </w:r>
      <w:r w:rsidR="002A7430">
        <w:rPr>
          <w:rFonts w:ascii="Times New Roman" w:eastAsia="Times New Roman" w:hAnsi="Times New Roman"/>
          <w:sz w:val="24"/>
          <w:szCs w:val="24"/>
          <w:lang w:eastAsia="ru-RU"/>
        </w:rPr>
        <w:t xml:space="preserve">ие на сумму </w:t>
      </w:r>
      <w:r w:rsidR="002A7430">
        <w:rPr>
          <w:rFonts w:ascii="Times New Roman" w:eastAsia="Times New Roman" w:hAnsi="Times New Roman"/>
          <w:sz w:val="24"/>
          <w:szCs w:val="24"/>
          <w:lang w:eastAsia="ru-RU"/>
        </w:rPr>
        <w:br/>
        <w:t>377,4 тыс. рублей.</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eastAsia="Times New Roman" w:hAnsi="Times New Roman"/>
          <w:sz w:val="24"/>
          <w:szCs w:val="24"/>
          <w:lang w:eastAsia="ru-RU"/>
        </w:rPr>
        <w:t xml:space="preserve">ГКУ Амурской области «Строитель» по результатам итоговой проверки готовности объекта, проведенной </w:t>
      </w:r>
      <w:r w:rsidRPr="008B0BA4">
        <w:rPr>
          <w:rFonts w:ascii="Times New Roman" w:hAnsi="Times New Roman"/>
          <w:sz w:val="24"/>
          <w:szCs w:val="24"/>
        </w:rPr>
        <w:t>инспекцией государственного строительного надзора Амурской области, установившей значительное количество замечаний, препятствующих вводу объекта в эксплуатацию, в адрес генподрядной организации – ООО «Проинвест» направлены претензии от 18.06.2015, от 15.07.2015, впоследствии - исковое заявление в Арбитражный суд Амурской области от 12.10.2015 об обязании ООО «Проинвест» безвозмездно устранить выявленные недостатки.</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Генподрядной организацией – ООО «Проинвест», обязанностью которого в соответствии с условиями государственного контракта № 37 от 22.12.2005 является выполнение комплекса работ по объекту в срок до 31.12.2014 (приложение 1 в редакции дополнительного соглашения № 37 от 16.12.2014), сдача приемочной комиссии законченных объектов и обеспечение совместно с «Заказчиком» ввода их в действие в установленные сроки (п.5.3.11. контракта), а также качественное и своевременное выполнение всех работ по контракту, устранение всех дефектов (п.5.3.12.; п.6.1 контракта), в адрес ГКУ Амурской области «Строитель» направлены уведомления № 54 от 03.06.2015, № 66 от 23.06.2015, </w:t>
      </w:r>
      <w:r w:rsidRPr="008B0BA4">
        <w:rPr>
          <w:rFonts w:ascii="Times New Roman" w:hAnsi="Times New Roman"/>
          <w:sz w:val="24"/>
          <w:szCs w:val="24"/>
        </w:rPr>
        <w:br/>
        <w:t>№ 70 от 23.06.2015, № 72 от 24.06.2015, № 85 от 02.07.2015 о невозможности выполнения работ до увеличения стоимости работ по контракту и приостановлении работ на объекте с 14.06.2015.</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В целях обеспечения ввода объекта в эксплуатацию ГКУ Амурской области «Строитель» организована процедура определения подрядчика по выполнению работ, связанных с устранением выявленных в ходе итоговой приемки объекта недостатков, путем проведения электронного аукциона, объектом закупки которого является «Выполнение работ по подготовке к вводу в эксплуатацию объекта </w:t>
      </w:r>
      <w:r w:rsidRPr="008B0BA4">
        <w:rPr>
          <w:rFonts w:ascii="Times New Roman" w:eastAsia="Times New Roman" w:hAnsi="Times New Roman"/>
          <w:sz w:val="24"/>
          <w:szCs w:val="24"/>
          <w:lang w:eastAsia="ru-RU"/>
        </w:rPr>
        <w:t>«Хирургический корпус на 250 коек областного государственного учреждения здравоохранения «Амурская областная детская клиническая больница» г.Благовещенск» с начальной (максимальной) ценой контракта в сумме 15168,2 тыс. рублей.</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hAnsi="Times New Roman"/>
          <w:sz w:val="24"/>
          <w:szCs w:val="24"/>
        </w:rPr>
        <w:t xml:space="preserve">По результатам проведенного электронного аукциона  между ГКУ Амурской области «Строитель» и ОАО «Благсантехмонтаж» заключен государственный контракт № 24 от 08.09.2015 на выполнение работ по подготовке к вводу в эксплуатацию объекта </w:t>
      </w:r>
      <w:r w:rsidRPr="008B0BA4">
        <w:rPr>
          <w:rFonts w:ascii="Times New Roman" w:eastAsia="Times New Roman" w:hAnsi="Times New Roman"/>
          <w:sz w:val="24"/>
          <w:szCs w:val="24"/>
          <w:lang w:eastAsia="ru-RU"/>
        </w:rPr>
        <w:t xml:space="preserve">«Хирургический корпус на 250 коек областного государственного учреждения здравоохранения «Амурская областная детская клиническая больница» г.Благовещенск», стоимость работ - 15168,2 тыс. рублей. Дополнительным соглашением № 1 от 30.12.2015 к </w:t>
      </w:r>
      <w:r w:rsidRPr="008B0BA4">
        <w:rPr>
          <w:rFonts w:ascii="Times New Roman" w:hAnsi="Times New Roman"/>
          <w:sz w:val="24"/>
          <w:szCs w:val="24"/>
        </w:rPr>
        <w:lastRenderedPageBreak/>
        <w:t>государственному контракту № 24 от 08.09.2015 общая стоимость работ уменьшена до 15084,1 тыс. рублей.</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В рамках государственного контракта № 24 от 08.09.2015 ОАО «Благсантехмонтаж» в период ноябрь-декабрь 2015 года выполнено и предъявлено к оплате, ГКУ Амурской области «Строитель» принято и оплачено выполненных работ на сумму 15084,1 тыс. рублей. Сторонами контракта подписан Акт приемки законченных работ от 30.12.2015 года.</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8B0BA4">
        <w:rPr>
          <w:rFonts w:ascii="Times New Roman" w:hAnsi="Times New Roman"/>
          <w:sz w:val="24"/>
          <w:szCs w:val="24"/>
        </w:rPr>
        <w:t xml:space="preserve">Таким образом, проверкой установлено, что невыполнение генподрядчиком – </w:t>
      </w:r>
      <w:r w:rsidRPr="008B0BA4">
        <w:rPr>
          <w:rFonts w:ascii="Times New Roman" w:hAnsi="Times New Roman"/>
          <w:sz w:val="24"/>
          <w:szCs w:val="24"/>
        </w:rPr>
        <w:br/>
        <w:t>ООО «Проинвест» обязательств по государственному контракту № 37 от 22.12.2005 по выполнению комплекса работ по объекту «Хирургический</w:t>
      </w:r>
      <w:r w:rsidRPr="008B0BA4">
        <w:rPr>
          <w:rFonts w:ascii="Times New Roman" w:eastAsia="Times New Roman" w:hAnsi="Times New Roman"/>
          <w:sz w:val="24"/>
          <w:szCs w:val="24"/>
          <w:lang w:eastAsia="ru-RU"/>
        </w:rPr>
        <w:t xml:space="preserve"> корпус областного государственного учреждения здравоохранения «Амурская областная детская клиническая больница», сдаче приемочной комиссии законченных объектов строительства и обеспечении ввода объекта в действие в установленные сроки, при полной оплате стоимости контракта (при стоимости контракта 2405937,7 тыс. рублей, оплачено</w:t>
      </w:r>
      <w:proofErr w:type="gramEnd"/>
      <w:r w:rsidRPr="008B0BA4">
        <w:rPr>
          <w:rFonts w:ascii="Times New Roman" w:eastAsia="Times New Roman" w:hAnsi="Times New Roman"/>
          <w:sz w:val="24"/>
          <w:szCs w:val="24"/>
          <w:lang w:eastAsia="ru-RU"/>
        </w:rPr>
        <w:t xml:space="preserve"> </w:t>
      </w:r>
      <w:proofErr w:type="gramStart"/>
      <w:r w:rsidRPr="008B0BA4">
        <w:rPr>
          <w:rFonts w:ascii="Times New Roman" w:eastAsia="Times New Roman" w:hAnsi="Times New Roman"/>
          <w:sz w:val="24"/>
          <w:szCs w:val="24"/>
          <w:lang w:eastAsia="ru-RU"/>
        </w:rPr>
        <w:t>2405560,2 тыс. рублей, разница 377,4 тыс. рублей - за недопоставленное оборудование)</w:t>
      </w:r>
      <w:r w:rsidRPr="008B0BA4">
        <w:rPr>
          <w:rFonts w:ascii="Times New Roman" w:hAnsi="Times New Roman"/>
          <w:sz w:val="24"/>
          <w:szCs w:val="24"/>
        </w:rPr>
        <w:t xml:space="preserve">, в условиях отказа генподрядчика - ООО «Проинвест» от выполнения работ по устранению недостатков и подготовке объекта к вводу в эксплуатацию, ГКУ Амурской области «Строитель» было вынуждено дополнительно привлечь к выполнению работ по подготовке к вводу в эксплуатацию объекта </w:t>
      </w:r>
      <w:r w:rsidRPr="008B0BA4">
        <w:rPr>
          <w:rFonts w:ascii="Times New Roman" w:eastAsia="Times New Roman" w:hAnsi="Times New Roman"/>
          <w:sz w:val="24"/>
          <w:szCs w:val="24"/>
          <w:lang w:eastAsia="ru-RU"/>
        </w:rPr>
        <w:t>«Хирургический корпус на 250 коек областного государственного учреждения здравоохранения «Амурская областная детская клиническая</w:t>
      </w:r>
      <w:proofErr w:type="gramEnd"/>
      <w:r w:rsidRPr="008B0BA4">
        <w:rPr>
          <w:rFonts w:ascii="Times New Roman" w:eastAsia="Times New Roman" w:hAnsi="Times New Roman"/>
          <w:sz w:val="24"/>
          <w:szCs w:val="24"/>
          <w:lang w:eastAsia="ru-RU"/>
        </w:rPr>
        <w:t xml:space="preserve"> больница» г</w:t>
      </w:r>
      <w:r w:rsidR="003E5087" w:rsidRPr="008B0BA4">
        <w:rPr>
          <w:rFonts w:ascii="Times New Roman" w:eastAsia="Times New Roman" w:hAnsi="Times New Roman"/>
          <w:sz w:val="24"/>
          <w:szCs w:val="24"/>
          <w:lang w:eastAsia="ru-RU"/>
        </w:rPr>
        <w:t>. Б</w:t>
      </w:r>
      <w:r w:rsidRPr="008B0BA4">
        <w:rPr>
          <w:rFonts w:ascii="Times New Roman" w:eastAsia="Times New Roman" w:hAnsi="Times New Roman"/>
          <w:sz w:val="24"/>
          <w:szCs w:val="24"/>
          <w:lang w:eastAsia="ru-RU"/>
        </w:rPr>
        <w:t xml:space="preserve">лаговещенск» нового генподрядчика, которым по результатам аукциона стало ОАО </w:t>
      </w:r>
      <w:r w:rsidRPr="008B0BA4">
        <w:rPr>
          <w:rFonts w:ascii="Times New Roman" w:hAnsi="Times New Roman"/>
          <w:sz w:val="24"/>
          <w:szCs w:val="24"/>
        </w:rPr>
        <w:t>«Благсантехмонтаж», и понести дополнительные затраты</w:t>
      </w:r>
      <w:r w:rsidR="002A7430">
        <w:rPr>
          <w:rFonts w:ascii="Times New Roman" w:hAnsi="Times New Roman"/>
          <w:sz w:val="24"/>
          <w:szCs w:val="24"/>
        </w:rPr>
        <w:t xml:space="preserve"> в размере 15084,1 тыс. рублей.</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Учитывая, что в соответствии с ч.3 статьи 715 Гражданского кодекса Российской Федерации, определяющей, что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 ГКУ Амурской области «Строитель» в адрес ООО «Проинвест» направлена претензия от 11.03.2016 </w:t>
      </w:r>
      <w:r w:rsidRPr="008B0BA4">
        <w:rPr>
          <w:rFonts w:ascii="Times New Roman" w:hAnsi="Times New Roman"/>
          <w:sz w:val="24"/>
          <w:szCs w:val="24"/>
        </w:rPr>
        <w:br/>
        <w:t>№ 08-02-478 о возмещении средств в сумме 15168,2 тыс. рублей. В отсутствие добровольного возмещения средств в установленный претензией срок, ГКУ Амурской области «Строитель» в Арбитражный суд Амурской области направлено исковое заявление от 06.04.2016 № 08-02-638 о взыскании с ООО «Проинвест» денежных средств в размере 15168,2 тыс. рублей. Определением Арбитражного суда Амурской области от 15.04.2016 исковое заявление ГКУ Амурской области «Строитель» принято к рассмотрению, возбуждено производство по делу, предварительное судебное заседание отложено на 15.06.2016.</w:t>
      </w:r>
    </w:p>
    <w:p w:rsidR="008B0BA4" w:rsidRPr="008B0BA4" w:rsidRDefault="008B0BA4" w:rsidP="008B0BA4">
      <w:pPr>
        <w:widowControl w:val="0"/>
        <w:autoSpaceDE w:val="0"/>
        <w:autoSpaceDN w:val="0"/>
        <w:adjustRightInd w:val="0"/>
        <w:spacing w:after="0" w:line="240" w:lineRule="auto"/>
        <w:ind w:firstLine="708"/>
        <w:jc w:val="both"/>
        <w:rPr>
          <w:rFonts w:ascii="Times New Roman" w:hAnsi="Times New Roman"/>
          <w:sz w:val="24"/>
          <w:szCs w:val="24"/>
        </w:rPr>
      </w:pPr>
      <w:r w:rsidRPr="008B0BA4">
        <w:rPr>
          <w:rFonts w:ascii="Times New Roman" w:hAnsi="Times New Roman"/>
          <w:sz w:val="24"/>
          <w:szCs w:val="24"/>
        </w:rPr>
        <w:t xml:space="preserve">В 2015 году по завершении работ, связанных с устранением недостатков, установленных Инспекцией государственного строительного надзора Амурской области, произведена приемка законченных строительством объектов. </w:t>
      </w:r>
      <w:r w:rsidRPr="008B0BA4">
        <w:rPr>
          <w:rFonts w:ascii="Times New Roman" w:eastAsia="Times New Roman" w:hAnsi="Times New Roman"/>
          <w:sz w:val="24"/>
          <w:szCs w:val="24"/>
          <w:lang w:eastAsia="ru-RU"/>
        </w:rPr>
        <w:t xml:space="preserve">К проверке представлены </w:t>
      </w:r>
      <w:r w:rsidRPr="008B0BA4">
        <w:rPr>
          <w:rFonts w:ascii="Times New Roman" w:eastAsia="Times New Roman" w:hAnsi="Times New Roman"/>
          <w:sz w:val="24"/>
          <w:szCs w:val="24"/>
          <w:lang w:eastAsia="ru-RU"/>
        </w:rPr>
        <w:br/>
        <w:t>Акты приемки законченного строительством объекта (форма № КС-11) б/н от</w:t>
      </w:r>
      <w:r w:rsidRPr="008B0BA4">
        <w:rPr>
          <w:rFonts w:ascii="Times New Roman" w:hAnsi="Times New Roman"/>
          <w:sz w:val="24"/>
          <w:szCs w:val="24"/>
        </w:rPr>
        <w:t xml:space="preserve"> 06.03.2015, от 13.03.2015, </w:t>
      </w:r>
      <w:r w:rsidRPr="008B0BA4">
        <w:rPr>
          <w:rFonts w:ascii="Times New Roman" w:eastAsia="Times New Roman" w:hAnsi="Times New Roman"/>
          <w:sz w:val="24"/>
          <w:szCs w:val="24"/>
          <w:lang w:eastAsia="ru-RU"/>
        </w:rPr>
        <w:t>согласно которым</w:t>
      </w:r>
      <w:r w:rsidRPr="008B0BA4">
        <w:rPr>
          <w:rFonts w:ascii="Times New Roman" w:hAnsi="Times New Roman"/>
          <w:sz w:val="24"/>
          <w:szCs w:val="24"/>
        </w:rPr>
        <w:t xml:space="preserve"> ООО «Проинвест» сданы, ГКУ Амурской области «Строитель» приняты объекты «Гараж и мастерская (литер 03А) – 4 этап первой очереди строительства объекта «Хирургический корпус ОГУЗ «АОДКБ», «Прачечная (литер 03) – </w:t>
      </w:r>
      <w:r w:rsidRPr="008B0BA4">
        <w:rPr>
          <w:rFonts w:ascii="Times New Roman" w:hAnsi="Times New Roman"/>
          <w:sz w:val="24"/>
          <w:szCs w:val="24"/>
        </w:rPr>
        <w:br/>
        <w:t>3 этап первой очереди строительства объекта «Хирургический корпус ОГУЗ «АОДКБ».</w:t>
      </w:r>
    </w:p>
    <w:p w:rsidR="008B0BA4" w:rsidRPr="008B0BA4" w:rsidRDefault="008B0BA4" w:rsidP="008B0BA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Администрацией города Благовещенска выданы Разрешения на ввод объектов в эксплуатацию № 28-</w:t>
      </w:r>
      <w:r w:rsidRPr="008B0BA4">
        <w:rPr>
          <w:rFonts w:ascii="Times New Roman" w:eastAsia="Times New Roman" w:hAnsi="Times New Roman"/>
          <w:sz w:val="24"/>
          <w:szCs w:val="24"/>
          <w:lang w:val="en-US" w:eastAsia="ru-RU"/>
        </w:rPr>
        <w:t>RU</w:t>
      </w:r>
      <w:r w:rsidRPr="008B0BA4">
        <w:rPr>
          <w:rFonts w:ascii="Times New Roman" w:eastAsia="Times New Roman" w:hAnsi="Times New Roman"/>
          <w:sz w:val="24"/>
          <w:szCs w:val="24"/>
          <w:lang w:eastAsia="ru-RU"/>
        </w:rPr>
        <w:t xml:space="preserve"> 28302000-81-2015 от 03.11.2015 - по объекту «Г</w:t>
      </w:r>
      <w:r w:rsidRPr="008B0BA4">
        <w:rPr>
          <w:rFonts w:ascii="Times New Roman" w:hAnsi="Times New Roman"/>
          <w:sz w:val="24"/>
          <w:szCs w:val="24"/>
        </w:rPr>
        <w:t>араж и мастерская»;</w:t>
      </w:r>
      <w:r w:rsidRPr="008B0BA4">
        <w:rPr>
          <w:rFonts w:ascii="Times New Roman" w:hAnsi="Times New Roman"/>
          <w:sz w:val="24"/>
          <w:szCs w:val="24"/>
        </w:rPr>
        <w:br/>
        <w:t>№ 28-</w:t>
      </w:r>
      <w:r w:rsidRPr="008B0BA4">
        <w:rPr>
          <w:rFonts w:ascii="Times New Roman" w:hAnsi="Times New Roman"/>
          <w:sz w:val="24"/>
          <w:szCs w:val="24"/>
          <w:lang w:val="en-US"/>
        </w:rPr>
        <w:t>Ru</w:t>
      </w:r>
      <w:r w:rsidRPr="008B0BA4">
        <w:rPr>
          <w:rFonts w:ascii="Times New Roman" w:hAnsi="Times New Roman"/>
          <w:sz w:val="24"/>
          <w:szCs w:val="24"/>
        </w:rPr>
        <w:t xml:space="preserve">28302000-80-2015 от 03.11.2015 - </w:t>
      </w:r>
      <w:r w:rsidRPr="008B0BA4">
        <w:rPr>
          <w:rFonts w:ascii="Times New Roman" w:eastAsia="Times New Roman" w:hAnsi="Times New Roman"/>
          <w:sz w:val="24"/>
          <w:szCs w:val="24"/>
          <w:lang w:eastAsia="ru-RU"/>
        </w:rPr>
        <w:t>по объекту «П</w:t>
      </w:r>
      <w:r w:rsidRPr="008B0BA4">
        <w:rPr>
          <w:rFonts w:ascii="Times New Roman" w:hAnsi="Times New Roman"/>
          <w:sz w:val="24"/>
          <w:szCs w:val="24"/>
        </w:rPr>
        <w:t>рачечная».</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 xml:space="preserve">По объекту «Хирургический корпус (литер 01), кислородная станция (литер 16), водопроводная насосная станция (литер 25) – 2 этап первой очереди </w:t>
      </w:r>
      <w:r w:rsidRPr="008B0BA4">
        <w:rPr>
          <w:rFonts w:ascii="Times New Roman" w:hAnsi="Times New Roman"/>
          <w:sz w:val="24"/>
          <w:szCs w:val="24"/>
        </w:rPr>
        <w:t xml:space="preserve">строительства объекта «Хирургический корпус ОГУЗ «АОДКБ» сторонами контракта и ГАУЗ Амурской области </w:t>
      </w:r>
      <w:r w:rsidRPr="008B0BA4">
        <w:rPr>
          <w:rFonts w:ascii="Times New Roman" w:eastAsia="Times New Roman" w:hAnsi="Times New Roman"/>
          <w:sz w:val="24"/>
          <w:szCs w:val="24"/>
          <w:lang w:eastAsia="ru-RU"/>
        </w:rPr>
        <w:t xml:space="preserve">«Амурская областная детская клиническая больница» подписан Акт приемки объекта капитального строительства от 29.12.2015, согласно которому ООО «Проинвест» выполнило в полном объеме работы по строительству объекта и передало объект ГКУ Амурской </w:t>
      </w:r>
      <w:r w:rsidRPr="008B0BA4">
        <w:rPr>
          <w:rFonts w:ascii="Times New Roman" w:eastAsia="Times New Roman" w:hAnsi="Times New Roman"/>
          <w:sz w:val="24"/>
          <w:szCs w:val="24"/>
          <w:lang w:eastAsia="ru-RU"/>
        </w:rPr>
        <w:lastRenderedPageBreak/>
        <w:t>области «Строитель». Акт приемки объекта капитального строительства подписан эксплуатирующей организацией – государственному автономному учреждению здравоохранения Амурской области «Областная детская клиническая больница» (далее по тексту – ГАУЗ «АОДКБ»).</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 xml:space="preserve">Администрацией города Благовещенска на ввод объекта «Хирургический корпус (литер 01), кислородная станция (литер 16), водопроводная насосная станция (литер 25) – </w:t>
      </w:r>
      <w:r w:rsidRPr="008B0BA4">
        <w:rPr>
          <w:rFonts w:ascii="Times New Roman" w:eastAsia="Times New Roman" w:hAnsi="Times New Roman"/>
          <w:sz w:val="24"/>
          <w:szCs w:val="24"/>
          <w:lang w:eastAsia="ru-RU"/>
        </w:rPr>
        <w:br/>
        <w:t xml:space="preserve">2 этап первой очереди </w:t>
      </w:r>
      <w:r w:rsidRPr="008B0BA4">
        <w:rPr>
          <w:rFonts w:ascii="Times New Roman" w:hAnsi="Times New Roman"/>
          <w:sz w:val="24"/>
          <w:szCs w:val="24"/>
        </w:rPr>
        <w:t xml:space="preserve">строительства объекта «Хирургический корпус ОГУЗ «АОДКБ» сторонами контракта и ГАУЗ Амурской области </w:t>
      </w:r>
      <w:r w:rsidRPr="008B0BA4">
        <w:rPr>
          <w:rFonts w:ascii="Times New Roman" w:eastAsia="Times New Roman" w:hAnsi="Times New Roman"/>
          <w:sz w:val="24"/>
          <w:szCs w:val="24"/>
          <w:lang w:eastAsia="ru-RU"/>
        </w:rPr>
        <w:t>«Амурская областная детская клиническая больница» в эксплуатацию выдано Разрешение № 28-</w:t>
      </w:r>
      <w:r w:rsidRPr="008B0BA4">
        <w:rPr>
          <w:rFonts w:ascii="Times New Roman" w:eastAsia="Times New Roman" w:hAnsi="Times New Roman"/>
          <w:sz w:val="24"/>
          <w:szCs w:val="24"/>
          <w:lang w:val="en-US" w:eastAsia="ru-RU"/>
        </w:rPr>
        <w:t>RU</w:t>
      </w:r>
      <w:r w:rsidRPr="008B0BA4">
        <w:rPr>
          <w:rFonts w:ascii="Times New Roman" w:eastAsia="Times New Roman" w:hAnsi="Times New Roman"/>
          <w:sz w:val="24"/>
          <w:szCs w:val="24"/>
          <w:lang w:eastAsia="ru-RU"/>
        </w:rPr>
        <w:t xml:space="preserve"> 2</w:t>
      </w:r>
      <w:r w:rsidR="002A7430">
        <w:rPr>
          <w:rFonts w:ascii="Times New Roman" w:eastAsia="Times New Roman" w:hAnsi="Times New Roman"/>
          <w:sz w:val="24"/>
          <w:szCs w:val="24"/>
          <w:lang w:eastAsia="ru-RU"/>
        </w:rPr>
        <w:t>8302000-110-2015 от 30.12.2015.</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В 2015 и истекшем периоде 2016 года ГКУ Амурской области «Строитель» произведена передача балансодержателю – </w:t>
      </w:r>
      <w:r w:rsidRPr="008B0BA4">
        <w:rPr>
          <w:rFonts w:ascii="Times New Roman" w:eastAsia="Times New Roman" w:hAnsi="Times New Roman"/>
          <w:sz w:val="24"/>
          <w:szCs w:val="24"/>
          <w:lang w:eastAsia="ru-RU"/>
        </w:rPr>
        <w:t xml:space="preserve">ГАУЗ «АОДКБ» </w:t>
      </w:r>
      <w:r w:rsidRPr="008B0BA4">
        <w:rPr>
          <w:rFonts w:ascii="Times New Roman" w:hAnsi="Times New Roman"/>
          <w:sz w:val="24"/>
          <w:szCs w:val="24"/>
        </w:rPr>
        <w:t>следующих объектов и оборудования:</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-гараж и мастерская, стоимость 42491,0 тыс. рублей, акт о приеме-передаче объектов нефинансовых активов № 31 от 10.12.2015;</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-прачечная, стоимость 52397,0 тыс. рублей, акт о приеме-передаче объектов нефинансовых активов № 32 от 10.12.2015;</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-хирургический корпус, стоимость 1355460,5 тыс. рублей, акт о приеме-передаче объектов нефинансовых активов № 9 от 31.03.2016;</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i/>
          <w:sz w:val="24"/>
          <w:szCs w:val="24"/>
        </w:rPr>
      </w:pPr>
      <w:r w:rsidRPr="008B0BA4">
        <w:rPr>
          <w:rFonts w:ascii="Times New Roman" w:hAnsi="Times New Roman"/>
          <w:sz w:val="24"/>
          <w:szCs w:val="24"/>
        </w:rPr>
        <w:t>-оборудование, стоимость 1135501,1 тыс. рублей.</w:t>
      </w:r>
    </w:p>
    <w:p w:rsidR="008B0BA4" w:rsidRPr="008B0BA4" w:rsidRDefault="008B0BA4" w:rsidP="008B0BA4">
      <w:pPr>
        <w:autoSpaceDE w:val="0"/>
        <w:autoSpaceDN w:val="0"/>
        <w:adjustRightInd w:val="0"/>
        <w:spacing w:after="0" w:line="240" w:lineRule="auto"/>
        <w:ind w:firstLine="709"/>
        <w:jc w:val="both"/>
        <w:rPr>
          <w:rFonts w:ascii="Times New Roman" w:hAnsi="Times New Roman" w:cs="Times New Roman"/>
          <w:sz w:val="24"/>
          <w:szCs w:val="24"/>
        </w:rPr>
      </w:pPr>
      <w:r w:rsidRPr="008B0BA4">
        <w:rPr>
          <w:rFonts w:ascii="Times New Roman" w:hAnsi="Times New Roman" w:cs="Times New Roman"/>
          <w:sz w:val="24"/>
          <w:szCs w:val="24"/>
        </w:rPr>
        <w:t>При получении в 2015 году разрешений на ввод в эксплуатацию основных объектов строительства (гараж и мастерская – разрешение от 03.11.2015 № 28-</w:t>
      </w:r>
      <w:r w:rsidRPr="008B0BA4">
        <w:rPr>
          <w:rFonts w:ascii="Times New Roman" w:hAnsi="Times New Roman" w:cs="Times New Roman"/>
          <w:sz w:val="24"/>
          <w:szCs w:val="24"/>
          <w:lang w:val="en-US"/>
        </w:rPr>
        <w:t>Ru</w:t>
      </w:r>
      <w:r w:rsidRPr="008B0BA4">
        <w:rPr>
          <w:rFonts w:ascii="Times New Roman" w:hAnsi="Times New Roman" w:cs="Times New Roman"/>
          <w:sz w:val="24"/>
          <w:szCs w:val="24"/>
        </w:rPr>
        <w:t>28302000-81-2015, прачечная – разрешение от 03.11.2015 № 28-</w:t>
      </w:r>
      <w:r w:rsidRPr="008B0BA4">
        <w:rPr>
          <w:rFonts w:ascii="Times New Roman" w:hAnsi="Times New Roman" w:cs="Times New Roman"/>
          <w:sz w:val="24"/>
          <w:szCs w:val="24"/>
          <w:lang w:val="en-US"/>
        </w:rPr>
        <w:t>Ru</w:t>
      </w:r>
      <w:r w:rsidRPr="008B0BA4">
        <w:rPr>
          <w:rFonts w:ascii="Times New Roman" w:hAnsi="Times New Roman" w:cs="Times New Roman"/>
          <w:sz w:val="24"/>
          <w:szCs w:val="24"/>
        </w:rPr>
        <w:t xml:space="preserve">28302000-80-2015, хирургический корпус, кислородная станция, водопроводная насосная станция – разрешение от 30.12.2015 </w:t>
      </w:r>
      <w:r w:rsidRPr="008B0BA4">
        <w:rPr>
          <w:rFonts w:ascii="Times New Roman" w:hAnsi="Times New Roman" w:cs="Times New Roman"/>
          <w:sz w:val="24"/>
          <w:szCs w:val="24"/>
        </w:rPr>
        <w:br/>
        <w:t>№ 28-</w:t>
      </w:r>
      <w:r w:rsidRPr="008B0BA4">
        <w:rPr>
          <w:rFonts w:ascii="Times New Roman" w:hAnsi="Times New Roman" w:cs="Times New Roman"/>
          <w:sz w:val="24"/>
          <w:szCs w:val="24"/>
          <w:lang w:val="en-US"/>
        </w:rPr>
        <w:t>Ru</w:t>
      </w:r>
      <w:r w:rsidRPr="008B0BA4">
        <w:rPr>
          <w:rFonts w:ascii="Times New Roman" w:hAnsi="Times New Roman" w:cs="Times New Roman"/>
          <w:sz w:val="24"/>
          <w:szCs w:val="24"/>
        </w:rPr>
        <w:t xml:space="preserve">28302000-110-2015), и передаче объектов недвижимости (гараж и мастерская, прачечная, хирургический корпус) балансодержателю – </w:t>
      </w:r>
      <w:r w:rsidRPr="008B0BA4">
        <w:rPr>
          <w:rFonts w:ascii="Times New Roman" w:eastAsia="Times New Roman" w:hAnsi="Times New Roman" w:cs="Times New Roman"/>
          <w:sz w:val="24"/>
          <w:szCs w:val="24"/>
          <w:lang w:eastAsia="ru-RU"/>
        </w:rPr>
        <w:t>ГАУЗ «АОДКБ»</w:t>
      </w:r>
      <w:r w:rsidRPr="008B0BA4">
        <w:rPr>
          <w:rFonts w:ascii="Times New Roman" w:hAnsi="Times New Roman" w:cs="Times New Roman"/>
          <w:sz w:val="24"/>
          <w:szCs w:val="24"/>
        </w:rPr>
        <w:t>, по состоянию на 01.05.2016 по данным бухгалтерского учета ГКУ Амурской области «Строитель» на счете 106.11 «Вложения в основные средства - недвижимое имущество учреждения» продолжают числиться затраты в объеме 234296,3 тыс. рублей, представляющие собой расходы по строительству следующих объектов недвижимого имущества (тепловые трассы, водопроводные, канализационные, электрические сети, кислородная, водопроводная насосная станции, наружное освещение, наружные сети телефонизации, кислородопровод, ливневая канализация, благоустройство и озеленение, ограждение территории).</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Проведенным в период проверки анализом расходования бюджетных средств на строительство объекта «Хирургический корпус областного государственного учреждения здравоохранения «Амурская областная детская клиническая больница» установлено, что систематическое невыполнение обязательств ООО «Проинвест» в части графика выполнения работ привело к изменению сроков завершения строительства объекта, определенных первоначально на апрель 2008 года (график выполнения работ в редакции государственного контракта № 37 от 22.12.2005), впоследствии перенесенных на сентябрь 2010 года </w:t>
      </w:r>
      <w:r w:rsidRPr="008B0BA4">
        <w:rPr>
          <w:rFonts w:ascii="Times New Roman" w:hAnsi="Times New Roman"/>
          <w:sz w:val="24"/>
          <w:szCs w:val="24"/>
        </w:rPr>
        <w:br/>
        <w:t>(в редакции дополнительного соглашения № 5 от 30.04.2008), и в дальнейшем на 2014 год (график выполнения работ в редакции дополнительного соглашения № 35 от 20.12.2013), что в свою очередь предопределило значительное увеличение стоимости строительно-монтажных работ. Продление сроков выполнения работ по строительству объекта «Хирургический корпус областного государственного учреждения здравоохранения «Амурская областная детская клиническая больница», а также задержка с устранением недостатков выполненных работ и подготовкой ввода объекта в эксплуатацию повлекли увеличение срока строительства объекта на 7 лет 8 месяцев</w:t>
      </w:r>
      <w:r w:rsidRPr="008B0BA4">
        <w:rPr>
          <w:rFonts w:ascii="Times New Roman" w:hAnsi="Times New Roman"/>
          <w:b/>
          <w:sz w:val="24"/>
          <w:szCs w:val="24"/>
        </w:rPr>
        <w:t xml:space="preserve"> </w:t>
      </w:r>
      <w:r w:rsidRPr="008B0BA4">
        <w:rPr>
          <w:rFonts w:ascii="Times New Roman" w:hAnsi="Times New Roman"/>
          <w:sz w:val="24"/>
          <w:szCs w:val="24"/>
        </w:rPr>
        <w:t>(с апреля 2008 года по декабрь 2015 года), что привело к удорожанию стоимости строительства объекта, которое оценивается в сумме 532996,1 тыс. рублей.</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В актах проверки от 28.05.2014, 25.05.2015 контрольно-счетной палатой Амурской области отмечено, что согласно условиям заключенных в 2013-2014 годах государственных контрактов на поставку оборудования для оснащения объекта «Хирургический корпус областного государственного учреждения здравоохранения «Амурская областная детская </w:t>
      </w:r>
      <w:r w:rsidRPr="008B0BA4">
        <w:rPr>
          <w:rFonts w:ascii="Times New Roman" w:hAnsi="Times New Roman"/>
          <w:sz w:val="24"/>
          <w:szCs w:val="24"/>
        </w:rPr>
        <w:lastRenderedPageBreak/>
        <w:t xml:space="preserve">клиническая больница» гарантийный срок на оборудование, в течение которого поставщик обязуется за свой счет производить необходимый ремонт и устранение недостатков, составляет - 12 месяцев с момента подписания сторонами акта приема-передачи товара. </w:t>
      </w:r>
      <w:r w:rsidRPr="008B0BA4">
        <w:rPr>
          <w:rFonts w:ascii="Times New Roman" w:hAnsi="Times New Roman"/>
          <w:sz w:val="24"/>
          <w:szCs w:val="24"/>
        </w:rPr>
        <w:br/>
        <w:t>При этом, на основании анализа сроков поставок оборудования и с учетом продления дополнительным соглашением № 35 от 20.12.2013 к государственному контракту № 37 от 22.12.2005 сроков строительства объекта «Хирургический корпус областного государственного учреждения здравоохранения «Амурская областная детская клиническая больница» до 2014 года, в актах проверок констатировалось наличие значительных рисков возникновения ситуаций, когда гарантийный срок эксплуатации поставленного оборудования истекает или значительно сокращается в отсутствие фактической эксплуатации оборудования, что не позволит воспользоваться гарантиями качества на товар и в дальнейшем может привести к неэффективному использованию бюджетных средств, связанному с дополнительными затратами на обслуживание оборудовани</w:t>
      </w:r>
      <w:r w:rsidR="002A7430">
        <w:rPr>
          <w:rFonts w:ascii="Times New Roman" w:hAnsi="Times New Roman"/>
          <w:sz w:val="24"/>
          <w:szCs w:val="24"/>
        </w:rPr>
        <w:t>я эксплуатирующей организацией.</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Проверкой, проведенной в 2016 году, установлено, что по состоянию на 30.12.2015 года (дата выдачи разрешения на ввод объекта Хирургический корпус областного государственного учреждения здравоохранения «Амурская областная детская клиническая больница» в эксплуатацию) истек срок предоставленной гарантии по поставленному на объект в рамках 71 государственного контракта оборудованию, стоимость которого составляет 557934,7 тыс. рублей. По оборудованию, поставленному в рамках одного государственного контракта на сумму 10257,7 тыс. рублей, гарантийный сро</w:t>
      </w:r>
      <w:r w:rsidR="002A7430">
        <w:rPr>
          <w:rFonts w:ascii="Times New Roman" w:hAnsi="Times New Roman"/>
          <w:sz w:val="24"/>
          <w:szCs w:val="24"/>
        </w:rPr>
        <w:t>к истекает в ноябре 2016 года.</w:t>
      </w:r>
    </w:p>
    <w:p w:rsidR="008B0BA4" w:rsidRDefault="008B0BA4" w:rsidP="008B0BA4">
      <w:pPr>
        <w:spacing w:after="0" w:line="240" w:lineRule="auto"/>
        <w:ind w:firstLine="709"/>
        <w:jc w:val="both"/>
        <w:rPr>
          <w:rFonts w:ascii="Times New Roman" w:hAnsi="Times New Roman"/>
          <w:sz w:val="24"/>
          <w:szCs w:val="24"/>
        </w:rPr>
      </w:pPr>
      <w:r w:rsidRPr="008B0BA4">
        <w:rPr>
          <w:rFonts w:ascii="Times New Roman" w:hAnsi="Times New Roman"/>
          <w:sz w:val="24"/>
          <w:szCs w:val="24"/>
        </w:rPr>
        <w:t>Таким образом, действия государственного заказчика – ГКУ Амурской области «Строитель», заключившего 72 государственных контракта, предусматривающих предоставление поставщиками гарантии качества на товар 12 месяцев с момента подписания сторонами акта приема-передачи товара, без привязки к дате начала эксплуатации объекта, (при наличии действующего на момент заключения контрактов на поставку оборудования государственного контракта № 37 от 22.12.2005 с ООО «Проинвест» (в редакции дополнительного соглашения № 21 от 10.09.2010, заключенного во исполнение представления контрольно-счетной палаты области для предотвращения отмеченных предыдущими проверками рисков), предусматривающего, что гарантийный срок эксплуатации оборудования составляет 12 месяцев с даты ввода в эксплуатацию объекта),</w:t>
      </w:r>
      <w:r w:rsidRPr="008B0BA4">
        <w:rPr>
          <w:rFonts w:ascii="Times New Roman" w:hAnsi="Times New Roman"/>
          <w:b/>
          <w:sz w:val="24"/>
          <w:szCs w:val="24"/>
        </w:rPr>
        <w:t xml:space="preserve"> </w:t>
      </w:r>
      <w:r w:rsidRPr="008B0BA4">
        <w:rPr>
          <w:rFonts w:ascii="Times New Roman" w:hAnsi="Times New Roman"/>
          <w:sz w:val="24"/>
          <w:szCs w:val="24"/>
        </w:rPr>
        <w:t>привели к невозможности воспользоваться гарантиями поставщика по оборудованию стоимостью 557934,7 тыс. рублей и значительному сокращению гарантийного срока оборудования стоимостью 10257,7 тыс. рублей, что влечет риски дополнительных расходов эксплуатирующей организации и не позволит обеспечить соблюдение принципа эффективности использования бюджетных средств, предусмотренного статьей 34 Бюджетного кодекса Российской Федерации.</w:t>
      </w:r>
    </w:p>
    <w:p w:rsidR="008B0BA4" w:rsidRPr="008B0BA4" w:rsidRDefault="008B0BA4" w:rsidP="008B0BA4">
      <w:pPr>
        <w:spacing w:after="0" w:line="240" w:lineRule="auto"/>
        <w:ind w:firstLine="709"/>
        <w:jc w:val="both"/>
        <w:rPr>
          <w:rFonts w:ascii="Times New Roman" w:hAnsi="Times New Roman"/>
          <w:sz w:val="24"/>
          <w:szCs w:val="24"/>
        </w:rPr>
      </w:pPr>
    </w:p>
    <w:p w:rsidR="008B0BA4" w:rsidRPr="008B0BA4" w:rsidRDefault="008B0BA4" w:rsidP="0014690C">
      <w:pPr>
        <w:numPr>
          <w:ilvl w:val="0"/>
          <w:numId w:val="17"/>
        </w:numPr>
        <w:spacing w:after="0" w:line="240" w:lineRule="auto"/>
        <w:ind w:left="0" w:firstLine="709"/>
        <w:contextualSpacing/>
        <w:rPr>
          <w:rFonts w:ascii="Times New Roman" w:eastAsia="Times New Roman" w:hAnsi="Times New Roman" w:cs="Times New Roman"/>
          <w:b/>
          <w:sz w:val="24"/>
          <w:szCs w:val="24"/>
        </w:rPr>
      </w:pPr>
      <w:r w:rsidRPr="008B0BA4">
        <w:rPr>
          <w:rFonts w:ascii="Times New Roman" w:eastAsia="Times New Roman" w:hAnsi="Times New Roman" w:cs="Times New Roman"/>
          <w:b/>
          <w:sz w:val="24"/>
          <w:szCs w:val="24"/>
        </w:rPr>
        <w:t>Малоэтажное быстровозводимое жилье, г. Тында, мкр. Таежный</w:t>
      </w:r>
    </w:p>
    <w:p w:rsidR="008B0BA4" w:rsidRPr="008B0BA4" w:rsidRDefault="008B0BA4" w:rsidP="008B0BA4">
      <w:pPr>
        <w:autoSpaceDE w:val="0"/>
        <w:autoSpaceDN w:val="0"/>
        <w:adjustRightInd w:val="0"/>
        <w:spacing w:after="0" w:line="240" w:lineRule="auto"/>
        <w:ind w:firstLine="709"/>
        <w:jc w:val="both"/>
        <w:rPr>
          <w:rFonts w:ascii="Times New Roman" w:eastAsia="Times New Roman" w:hAnsi="Times New Roman"/>
          <w:sz w:val="24"/>
          <w:szCs w:val="24"/>
        </w:rPr>
      </w:pPr>
      <w:r w:rsidRPr="008B0BA4">
        <w:rPr>
          <w:rFonts w:ascii="Times New Roman" w:eastAsia="Times New Roman" w:hAnsi="Times New Roman"/>
          <w:sz w:val="24"/>
          <w:szCs w:val="24"/>
        </w:rPr>
        <w:t>Объект капитального строительства «</w:t>
      </w:r>
      <w:r w:rsidRPr="008B0BA4">
        <w:rPr>
          <w:rFonts w:ascii="Times New Roman" w:hAnsi="Times New Roman"/>
          <w:sz w:val="24"/>
          <w:szCs w:val="24"/>
        </w:rPr>
        <w:t xml:space="preserve">Малоэтажное быстровозводимое жилье, </w:t>
      </w:r>
      <w:r w:rsidRPr="008B0BA4">
        <w:rPr>
          <w:rFonts w:ascii="Times New Roman" w:hAnsi="Times New Roman"/>
          <w:sz w:val="24"/>
          <w:szCs w:val="24"/>
        </w:rPr>
        <w:br/>
        <w:t>г. Тында, мкр. Таежный</w:t>
      </w:r>
      <w:r w:rsidRPr="008B0BA4">
        <w:rPr>
          <w:rFonts w:ascii="Times New Roman" w:eastAsia="Times New Roman" w:hAnsi="Times New Roman"/>
          <w:sz w:val="24"/>
          <w:szCs w:val="24"/>
        </w:rPr>
        <w:t xml:space="preserve">» включен в перечень мероприятий подпрограммы «Повышение устойчивости жилых домов, основных объектов и систем жизнеобеспечения в сейсмических районах Амурской области» </w:t>
      </w:r>
      <w:r w:rsidRPr="008B0BA4">
        <w:rPr>
          <w:rFonts w:ascii="Times New Roman" w:hAnsi="Times New Roman"/>
          <w:sz w:val="24"/>
          <w:szCs w:val="24"/>
        </w:rPr>
        <w:t>Государственной программы «Обеспечение доступным и качественным жильем населения Амурской области на 2014-2020 годы»</w:t>
      </w:r>
      <w:r w:rsidRPr="008B0BA4">
        <w:rPr>
          <w:rFonts w:ascii="Times New Roman" w:eastAsia="Times New Roman" w:hAnsi="Times New Roman"/>
          <w:sz w:val="24"/>
          <w:szCs w:val="24"/>
        </w:rPr>
        <w:t xml:space="preserve">, утвержденной постановлением Правительства Амурской области </w:t>
      </w:r>
      <w:r w:rsidRPr="008B0BA4">
        <w:rPr>
          <w:rFonts w:ascii="Times New Roman" w:hAnsi="Times New Roman"/>
          <w:sz w:val="24"/>
          <w:szCs w:val="24"/>
        </w:rPr>
        <w:t>от 25.09.2013 № 446</w:t>
      </w:r>
      <w:r w:rsidRPr="008B0BA4">
        <w:rPr>
          <w:rFonts w:ascii="Times New Roman" w:eastAsia="Times New Roman" w:hAnsi="Times New Roman"/>
          <w:sz w:val="24"/>
          <w:szCs w:val="24"/>
        </w:rPr>
        <w:t xml:space="preserve"> (в ред. от </w:t>
      </w:r>
      <w:r w:rsidRPr="008B0BA4">
        <w:rPr>
          <w:rFonts w:ascii="Times New Roman" w:hAnsi="Times New Roman"/>
          <w:sz w:val="24"/>
          <w:szCs w:val="24"/>
        </w:rPr>
        <w:t>24.02.2016</w:t>
      </w:r>
      <w:r w:rsidR="002A7430">
        <w:rPr>
          <w:rFonts w:ascii="Times New Roman" w:eastAsia="Times New Roman" w:hAnsi="Times New Roman"/>
          <w:sz w:val="24"/>
          <w:szCs w:val="24"/>
        </w:rPr>
        <w:t>).</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rPr>
      </w:pPr>
      <w:r w:rsidRPr="008B0BA4">
        <w:rPr>
          <w:rFonts w:ascii="Times New Roman" w:eastAsia="Times New Roman" w:hAnsi="Times New Roman"/>
          <w:sz w:val="24"/>
          <w:szCs w:val="24"/>
        </w:rPr>
        <w:t>Проектно-сметная документация по объекту «Малоэтажное быстровозводимое жилье, город Тында, мкр. Таежный» разработана краевым государственным унитарным предприятием «Территориальный проектный институт гражданского строительства, планировки и застройки городов и поселков Хабаровского края» и утверждена приказом министра строительства, архитектуры и жилищно-коммунального хозяйства Амурской области от 30.06.2011 № 150-од. На проектно-сметную документацию имеется положительное заключение ГАУ «Амургосэкспертиза» от 29.06.2011 № 091-11/АГЭ-0331.</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rPr>
      </w:pPr>
      <w:r w:rsidRPr="008B0BA4">
        <w:rPr>
          <w:rFonts w:ascii="Times New Roman" w:eastAsia="Times New Roman" w:hAnsi="Times New Roman"/>
          <w:sz w:val="24"/>
          <w:szCs w:val="24"/>
        </w:rPr>
        <w:lastRenderedPageBreak/>
        <w:t xml:space="preserve">Согласно сводке затрат стоимость строительства объекта в ценах по состоянию на </w:t>
      </w:r>
      <w:r w:rsidRPr="008B0BA4">
        <w:rPr>
          <w:rFonts w:ascii="Times New Roman" w:eastAsia="Times New Roman" w:hAnsi="Times New Roman"/>
          <w:sz w:val="24"/>
          <w:szCs w:val="24"/>
        </w:rPr>
        <w:br/>
        <w:t>2 квартал 2011 года составляет 5198541,5 тыс. рублей.</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rPr>
      </w:pPr>
      <w:r w:rsidRPr="008B0BA4">
        <w:rPr>
          <w:rFonts w:ascii="Times New Roman" w:eastAsia="Times New Roman" w:hAnsi="Times New Roman"/>
          <w:sz w:val="24"/>
          <w:szCs w:val="24"/>
        </w:rPr>
        <w:t>Титульный список переходящей стройки на 2015 год и на период до 2017 года по объекту «Малоэтажное быстровозводимое жилье, город Тында, мкр. Таежный» утвержден министром транспорта и строительства Амурской области. Объем капитальных вложений согласно титульному списку – 5198541,5 тыс. рублей. На 2015 год капитальные вложения по утвержденной проектно-сметной документации предусмотрены в объеме 170959,2 тыс. рублей (231268,0 тыс. рублей в ценах 2015 года). Ввод в действие – 4 квартал 2016 года.</w:t>
      </w:r>
    </w:p>
    <w:p w:rsidR="008B0BA4" w:rsidRPr="008B0BA4" w:rsidRDefault="008B0BA4" w:rsidP="008B0BA4">
      <w:pPr>
        <w:autoSpaceDE w:val="0"/>
        <w:autoSpaceDN w:val="0"/>
        <w:adjustRightInd w:val="0"/>
        <w:spacing w:after="0" w:line="240" w:lineRule="auto"/>
        <w:ind w:firstLine="709"/>
        <w:jc w:val="both"/>
        <w:rPr>
          <w:rFonts w:ascii="Times New Roman" w:eastAsia="Times New Roman" w:hAnsi="Times New Roman"/>
          <w:sz w:val="24"/>
          <w:szCs w:val="24"/>
        </w:rPr>
      </w:pPr>
      <w:r w:rsidRPr="008B0BA4">
        <w:rPr>
          <w:rFonts w:ascii="Times New Roman" w:eastAsia="Times New Roman" w:hAnsi="Times New Roman"/>
          <w:sz w:val="24"/>
          <w:szCs w:val="24"/>
        </w:rPr>
        <w:t xml:space="preserve">Законом Амурской области </w:t>
      </w:r>
      <w:r w:rsidRPr="008B0BA4">
        <w:rPr>
          <w:rFonts w:ascii="Times New Roman" w:hAnsi="Times New Roman"/>
          <w:sz w:val="24"/>
          <w:szCs w:val="24"/>
        </w:rPr>
        <w:t>от 10.12.2014 № 458-ОЗ</w:t>
      </w:r>
      <w:r w:rsidRPr="008B0BA4">
        <w:rPr>
          <w:rFonts w:ascii="Times New Roman" w:eastAsia="Times New Roman" w:hAnsi="Times New Roman"/>
          <w:sz w:val="24"/>
          <w:szCs w:val="24"/>
        </w:rPr>
        <w:t xml:space="preserve"> «Об областном бюджете на </w:t>
      </w:r>
      <w:r w:rsidRPr="008B0BA4">
        <w:rPr>
          <w:rFonts w:ascii="Times New Roman" w:eastAsia="Times New Roman" w:hAnsi="Times New Roman"/>
          <w:sz w:val="24"/>
          <w:szCs w:val="24"/>
        </w:rPr>
        <w:br/>
        <w:t xml:space="preserve">2015 год и плановый период 2016 и 2017 годов» (с учетом изменений) в 2015 году предусмотрены ассигнования на строительство малоэтажного быстровозводимого жилья в г.Тында, мкр. Таежный за счет средств областного бюджета в рамках </w:t>
      </w:r>
      <w:r w:rsidRPr="008B0BA4">
        <w:rPr>
          <w:rFonts w:ascii="Times New Roman" w:hAnsi="Times New Roman"/>
          <w:sz w:val="24"/>
          <w:szCs w:val="24"/>
        </w:rPr>
        <w:t>Подпрограммы «Повышение устойчивости жилых домов, основных объектов и систем жизнеобеспечения в сейсмических районах области» Государственной программы «Обеспечение доступным и качественным жильем населения Амурской области на 2014-2020 годы»</w:t>
      </w:r>
      <w:r w:rsidRPr="008B0BA4">
        <w:rPr>
          <w:rFonts w:ascii="Times New Roman" w:eastAsia="Times New Roman" w:hAnsi="Times New Roman"/>
          <w:sz w:val="24"/>
          <w:szCs w:val="24"/>
        </w:rPr>
        <w:t xml:space="preserve"> - </w:t>
      </w:r>
      <w:r w:rsidRPr="008B0BA4">
        <w:rPr>
          <w:rFonts w:ascii="Times New Roman" w:hAnsi="Times New Roman"/>
          <w:sz w:val="24"/>
          <w:szCs w:val="24"/>
        </w:rPr>
        <w:t>231268,0</w:t>
      </w:r>
      <w:r w:rsidRPr="008B0BA4">
        <w:rPr>
          <w:rFonts w:ascii="Times New Roman" w:eastAsia="Times New Roman" w:hAnsi="Times New Roman"/>
          <w:sz w:val="24"/>
          <w:szCs w:val="24"/>
        </w:rPr>
        <w:t xml:space="preserve"> тыс. рублей, в том числе за счет средств федерального бюджета (остаток неиспользованных в 2014 году средств) - </w:t>
      </w:r>
      <w:r w:rsidRPr="008B0BA4">
        <w:rPr>
          <w:rFonts w:ascii="Times New Roman" w:hAnsi="Times New Roman"/>
          <w:sz w:val="24"/>
          <w:szCs w:val="24"/>
        </w:rPr>
        <w:t>124246,4 тыс. рублей,</w:t>
      </w:r>
      <w:r w:rsidRPr="008B0BA4">
        <w:rPr>
          <w:rFonts w:ascii="Times New Roman" w:eastAsia="Times New Roman" w:hAnsi="Times New Roman"/>
          <w:sz w:val="24"/>
          <w:szCs w:val="24"/>
        </w:rPr>
        <w:t xml:space="preserve"> за счет средств областного бюджета – </w:t>
      </w:r>
      <w:r w:rsidRPr="008B0BA4">
        <w:rPr>
          <w:rFonts w:ascii="Times New Roman" w:eastAsia="Times New Roman" w:hAnsi="Times New Roman"/>
          <w:sz w:val="24"/>
          <w:szCs w:val="24"/>
        </w:rPr>
        <w:br/>
        <w:t>107021,6 тыс. рублей.</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eastAsia="Times New Roman" w:hAnsi="Times New Roman"/>
          <w:sz w:val="24"/>
          <w:szCs w:val="24"/>
        </w:rPr>
        <w:t>По состоянию на 01.01.2015 на счете бюджетного учета 1.206.31 «</w:t>
      </w:r>
      <w:r w:rsidRPr="008B0BA4">
        <w:rPr>
          <w:rFonts w:ascii="Times New Roman" w:hAnsi="Times New Roman"/>
          <w:sz w:val="24"/>
          <w:szCs w:val="24"/>
        </w:rPr>
        <w:t xml:space="preserve">Расчеты по авансам по приобретению основных средств» учтена дебиторская задолженность в сумме </w:t>
      </w:r>
      <w:r w:rsidRPr="008B0BA4">
        <w:rPr>
          <w:rFonts w:ascii="Times New Roman" w:hAnsi="Times New Roman"/>
          <w:sz w:val="24"/>
          <w:szCs w:val="24"/>
        </w:rPr>
        <w:br/>
        <w:t xml:space="preserve">196190,5 </w:t>
      </w:r>
      <w:r w:rsidRPr="008B0BA4">
        <w:rPr>
          <w:rFonts w:ascii="Times New Roman" w:eastAsia="Times New Roman" w:hAnsi="Times New Roman"/>
          <w:sz w:val="24"/>
          <w:szCs w:val="24"/>
        </w:rPr>
        <w:t>тыс. рублей</w:t>
      </w:r>
      <w:r w:rsidRPr="008B0BA4">
        <w:rPr>
          <w:rFonts w:ascii="Times New Roman" w:hAnsi="Times New Roman"/>
          <w:sz w:val="24"/>
          <w:szCs w:val="24"/>
        </w:rPr>
        <w:t xml:space="preserve">. Указанная сумма сложилась из дебиторской задолженности перед </w:t>
      </w:r>
      <w:r w:rsidRPr="008B0BA4">
        <w:rPr>
          <w:rFonts w:ascii="Times New Roman" w:hAnsi="Times New Roman"/>
          <w:sz w:val="24"/>
          <w:szCs w:val="24"/>
        </w:rPr>
        <w:br/>
        <w:t xml:space="preserve">ГКУ «Строитель» в рамках исполнения обязательств по государственным контрактам с </w:t>
      </w:r>
      <w:r w:rsidRPr="008B0BA4">
        <w:rPr>
          <w:rFonts w:ascii="Times New Roman" w:hAnsi="Times New Roman"/>
          <w:sz w:val="24"/>
          <w:szCs w:val="24"/>
        </w:rPr>
        <w:br/>
        <w:t>ОАО «Хабаровский завод промышленного и гражданского домостроения».</w:t>
      </w:r>
    </w:p>
    <w:p w:rsidR="008B0BA4" w:rsidRPr="008B0BA4" w:rsidRDefault="008B0BA4" w:rsidP="008B0BA4">
      <w:pPr>
        <w:autoSpaceDE w:val="0"/>
        <w:autoSpaceDN w:val="0"/>
        <w:adjustRightInd w:val="0"/>
        <w:spacing w:after="0" w:line="240" w:lineRule="auto"/>
        <w:ind w:firstLine="709"/>
        <w:jc w:val="both"/>
        <w:rPr>
          <w:rFonts w:ascii="Times New Roman" w:hAnsi="Times New Roman" w:cs="Times New Roman"/>
          <w:sz w:val="24"/>
          <w:szCs w:val="24"/>
        </w:rPr>
      </w:pPr>
      <w:r w:rsidRPr="008B0BA4">
        <w:rPr>
          <w:rFonts w:ascii="Times New Roman" w:hAnsi="Times New Roman" w:cs="Times New Roman"/>
          <w:sz w:val="24"/>
          <w:szCs w:val="24"/>
        </w:rPr>
        <w:t>Кроме того, на счете бюджетного учета 1.206.26 «Расчеты по авансам по прочим работам, услугам» числилась дебиторская задолженность ОАО «РЖД» по договору Т13/1 от 01.11.2013 на подключение к системе теплоснабжения в сумме 6831,7 тыс. рублей.</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rPr>
        <w:t xml:space="preserve">В 2015 году оплачена кредиторская задолженность на сумму 1370,8 тыс. рублей, числившаяся по состоянию на 01.01.2015 </w:t>
      </w:r>
      <w:r w:rsidRPr="008B0BA4">
        <w:rPr>
          <w:rFonts w:ascii="Times New Roman" w:eastAsia="Times New Roman" w:hAnsi="Times New Roman"/>
          <w:sz w:val="24"/>
          <w:szCs w:val="24"/>
          <w:lang w:eastAsia="ru-RU"/>
        </w:rPr>
        <w:t>перед Амурским филиалом ФГУП «Ростехинвентаризация – Федеральное БТИ», Краевым государственным унитарным предприятием «Территориальный проектный институт гражданского строительства, планировки и застройки городов</w:t>
      </w:r>
      <w:r w:rsidR="002A7430">
        <w:rPr>
          <w:rFonts w:ascii="Times New Roman" w:eastAsia="Times New Roman" w:hAnsi="Times New Roman"/>
          <w:sz w:val="24"/>
          <w:szCs w:val="24"/>
          <w:lang w:eastAsia="ru-RU"/>
        </w:rPr>
        <w:t xml:space="preserve"> и поселков Хабаровского края».</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8B0BA4">
        <w:rPr>
          <w:rFonts w:ascii="Times New Roman" w:eastAsia="Times New Roman" w:hAnsi="Times New Roman"/>
          <w:sz w:val="24"/>
          <w:szCs w:val="24"/>
        </w:rPr>
        <w:t xml:space="preserve">Фактически в 2015 году на строительство малоэтажного быстровозводимого жилья в г. Тында, мкр. Таежный при доведенных лимитах бюджетных обязательств </w:t>
      </w:r>
      <w:r w:rsidRPr="008B0BA4">
        <w:rPr>
          <w:rFonts w:ascii="Times New Roman" w:eastAsia="Times New Roman" w:hAnsi="Times New Roman"/>
          <w:sz w:val="24"/>
          <w:szCs w:val="24"/>
        </w:rPr>
        <w:br/>
        <w:t>231268,0 тыс. рублей использовано 223655,2 тыс. рублей (включая оплату кредиторской задолженности, сложившейся на 01.01.2015). Объем освоенных капитальных вложений за 2015 год составил 450099,4 тыс. рублей.</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rPr>
      </w:pPr>
      <w:r w:rsidRPr="008B0BA4">
        <w:rPr>
          <w:rFonts w:ascii="Times New Roman" w:eastAsia="Times New Roman" w:hAnsi="Times New Roman"/>
          <w:sz w:val="24"/>
          <w:szCs w:val="24"/>
        </w:rPr>
        <w:t>Проверкой использования бюджетных средств, выделенных на строительство объекта «Малоэтажное быстровозводимое жилье, г. Тында, мкр. Таежный» в 2015 году, установлено следующее.</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 xml:space="preserve">По материалам ранее проведенных проверок ГКУ Амурской области «Строитель» взыскана неустойка за просрочку исполнения обязательств ОАО «Буреягэсстрой» по государственному контракту от 10.05.2012 № 1 до 18.04.2014 в сумме 6848,7 тыс. рублей. </w:t>
      </w:r>
      <w:r w:rsidRPr="008B0BA4">
        <w:rPr>
          <w:rFonts w:ascii="Times New Roman" w:eastAsia="Times New Roman" w:hAnsi="Times New Roman"/>
          <w:sz w:val="24"/>
          <w:szCs w:val="24"/>
          <w:lang w:eastAsia="ru-RU"/>
        </w:rPr>
        <w:br/>
        <w:t xml:space="preserve">За просрочку исполнения обязательств по государственному контракту от 10.05.2012 № 1 за период с 18.04.2014 по 14.12.2014 ГКУ Амурской области «Строитель» в Арбитражный суд Амурской области направлено исковое заявление от 13.11.2015 о взыскании неустойки с ОАО «Буреягэсстрой». С учетом уточнений исковых требований от 12.01.2016 и от 07.04.2016 размер неустойки по состоянию на 14.12.2014 составляет 10812,1 тыс. рублей. Решением Арбитражного суда Амурской области от 05.05.2016 по делу </w:t>
      </w:r>
      <w:r w:rsidRPr="008B0BA4">
        <w:rPr>
          <w:rFonts w:ascii="Times New Roman" w:eastAsia="Times New Roman" w:hAnsi="Times New Roman"/>
          <w:sz w:val="24"/>
          <w:szCs w:val="24"/>
          <w:lang w:eastAsia="ru-RU"/>
        </w:rPr>
        <w:br/>
        <w:t xml:space="preserve">№ </w:t>
      </w:r>
      <w:r w:rsidR="002A7430">
        <w:rPr>
          <w:rFonts w:ascii="Times New Roman" w:eastAsia="Times New Roman" w:hAnsi="Times New Roman"/>
          <w:sz w:val="24"/>
          <w:szCs w:val="24"/>
          <w:lang w:eastAsia="ru-RU"/>
        </w:rPr>
        <w:t>А04-10477/2015 в иске отказано.</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 xml:space="preserve">В соответствии с распоряжением Правительства Российской Федерации от 23.04.2012 № 604-р между ГКУ Амурской области «ДСО БАМа» и ОАО «Буреягэсстрой» заключен государственный контракт от 28.06.2012 № 2 на выполнение работ по строительству объекта «Малоэтажное быстровозводимое жилье г. Тында, мкр. Таежный». Дополнительными </w:t>
      </w:r>
      <w:r w:rsidRPr="008B0BA4">
        <w:rPr>
          <w:rFonts w:ascii="Times New Roman" w:eastAsia="Times New Roman" w:hAnsi="Times New Roman"/>
          <w:sz w:val="24"/>
          <w:szCs w:val="24"/>
          <w:lang w:eastAsia="ru-RU"/>
        </w:rPr>
        <w:lastRenderedPageBreak/>
        <w:t>соглашениями от №№ 1-10 в государственный контракт внесены изменения. Стоимость работ по контракту – 4461501,72 тыс. рублей. В соответствии с дополнительными соглашениями от 12.02.2013 № 4, от 29.10.2013 № 6, от 15.12.2014 № 9, от 18.05.2015 № 12 и от 19.05.2015 № 13 объем и стоимость работ, выполняемых по государственному контракту, снижена по обоюдному согласию сторон. С учетом внесенных изменений цена контракта составила 1266918,76 тыс. рублей. Срок выполнения работ – 31.12.2013.</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Стоимость выполненных подрядчиком работ по государственному контракту по состоянию на 01.01.2015 составляет 1262369,491 тыс. рублей</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 xml:space="preserve">Согласно актам о приемке выполненных работ (ф. КС-2), справкам о стоимости выполненных работ и затрат (ф. КС-3) в 2015 году по государственному контракту выполнены работы стоимостью 38226,4 тыс. рублей. </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ГКУ Амурской области «Строитель» выполненные работы оплачены за счет средств федерального бюджета в сумме 34365,6 тыс. рублей. На счете бюджетного учета учреждения 1.302.31, по целевой статье 0711101 по состоянию на 01.01.2016 числится кредиторская задолженность в сумме 3860,8 тыс. рублей перед АО «Буреягэсстрой» за работы, выполненные по государственному контракту от 28.06.2012 № 2. На момент проверки задолженность перед подрядчиком не погашена.</w:t>
      </w:r>
    </w:p>
    <w:p w:rsidR="008B0BA4" w:rsidRPr="008B0BA4" w:rsidRDefault="008B0BA4" w:rsidP="008B0BA4">
      <w:pPr>
        <w:widowControl w:val="0"/>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 xml:space="preserve">На основании акта приемки законченного строительством объекта (ф. КС-11) от 30.10.2015 б/н, разрешения на ввод в эксплуатацию от 08.10.2015 № </w:t>
      </w:r>
      <w:r w:rsidRPr="008B0BA4">
        <w:rPr>
          <w:rFonts w:ascii="Times New Roman" w:eastAsia="Times New Roman" w:hAnsi="Times New Roman"/>
          <w:sz w:val="24"/>
          <w:szCs w:val="24"/>
          <w:lang w:val="en-US" w:eastAsia="ru-RU"/>
        </w:rPr>
        <w:t>RU</w:t>
      </w:r>
      <w:r w:rsidRPr="008B0BA4">
        <w:rPr>
          <w:rFonts w:ascii="Times New Roman" w:eastAsia="Times New Roman" w:hAnsi="Times New Roman"/>
          <w:sz w:val="24"/>
          <w:szCs w:val="24"/>
          <w:lang w:eastAsia="ru-RU"/>
        </w:rPr>
        <w:t>283003000-192-2015 введен жилой дом типа Б-3 № 26, расположенны</w:t>
      </w:r>
      <w:r w:rsidR="002A7430">
        <w:rPr>
          <w:rFonts w:ascii="Times New Roman" w:eastAsia="Times New Roman" w:hAnsi="Times New Roman"/>
          <w:sz w:val="24"/>
          <w:szCs w:val="24"/>
          <w:lang w:eastAsia="ru-RU"/>
        </w:rPr>
        <w:t>й по адресу: ул. Кольцевая, 21.</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По состоянию на 01.01.2016 не выполнены работы по государственному контракту стоимостью 4549,3 тыс. рублей.</w:t>
      </w:r>
    </w:p>
    <w:p w:rsidR="008B0BA4" w:rsidRPr="002A7430" w:rsidRDefault="008B0BA4" w:rsidP="008B0BA4">
      <w:pPr>
        <w:tabs>
          <w:tab w:val="left" w:pos="851"/>
        </w:tabs>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По материалам ранее проведенных проверок ГКУ Амурской области «Строитель» взыскана неустойка за просрочку исполнения обязательств по государственному контракту от 28.06.2012 № 2 за период до 08.05.2013. В Арбитражный суд Амурской области 16.11.2015 направлено исковое заявление о взыскании с АО «Буреягэсстрой» неустойки за просрочку исполнения обязательств за период с 08.05.2013 по 15.05.2015 в сумме 57018,2 тыс. рублей.</w:t>
      </w:r>
      <w:r w:rsidRPr="008B0BA4">
        <w:rPr>
          <w:rFonts w:ascii="Times New Roman" w:eastAsia="Times New Roman" w:hAnsi="Times New Roman"/>
          <w:color w:val="FF0000"/>
          <w:sz w:val="24"/>
          <w:szCs w:val="24"/>
          <w:lang w:eastAsia="ru-RU"/>
        </w:rPr>
        <w:t xml:space="preserve"> </w:t>
      </w:r>
      <w:r w:rsidRPr="008B0BA4">
        <w:rPr>
          <w:rFonts w:ascii="Times New Roman" w:hAnsi="Times New Roman"/>
          <w:sz w:val="24"/>
          <w:szCs w:val="24"/>
        </w:rPr>
        <w:t xml:space="preserve">Определением Арбитражного суда Амурской области от 12.05.2016 рассмотрение иска приостановлено до вынесения решения по делу № А04-1944/2016, производство которого возбуждено по исковому заявлению </w:t>
      </w:r>
      <w:r w:rsidRPr="008B0BA4">
        <w:rPr>
          <w:rFonts w:ascii="Times New Roman" w:eastAsia="Times New Roman" w:hAnsi="Times New Roman"/>
          <w:sz w:val="24"/>
          <w:szCs w:val="24"/>
          <w:lang w:eastAsia="ru-RU"/>
        </w:rPr>
        <w:t>АО «Буреягэсстрой»</w:t>
      </w:r>
      <w:r w:rsidRPr="008B0BA4">
        <w:rPr>
          <w:rFonts w:ascii="Times New Roman" w:hAnsi="Times New Roman"/>
          <w:sz w:val="24"/>
          <w:szCs w:val="24"/>
        </w:rPr>
        <w:t xml:space="preserve"> к ГКУ Амурской области «Строитель», о взыскании стоимости выполненных ра</w:t>
      </w:r>
      <w:r w:rsidR="002A7430">
        <w:rPr>
          <w:rFonts w:ascii="Times New Roman" w:hAnsi="Times New Roman"/>
          <w:sz w:val="24"/>
          <w:szCs w:val="24"/>
        </w:rPr>
        <w:t>бот в сумме 3460,0 тыс. рублей.</w:t>
      </w:r>
    </w:p>
    <w:p w:rsidR="008B0BA4" w:rsidRPr="008B0BA4" w:rsidRDefault="008B0BA4" w:rsidP="008B0BA4">
      <w:pPr>
        <w:tabs>
          <w:tab w:val="left" w:pos="851"/>
        </w:tabs>
        <w:spacing w:after="0" w:line="240" w:lineRule="auto"/>
        <w:ind w:firstLine="709"/>
        <w:jc w:val="both"/>
        <w:rPr>
          <w:rFonts w:ascii="Times New Roman" w:hAnsi="Times New Roman" w:cs="Times New Roman"/>
          <w:sz w:val="24"/>
          <w:szCs w:val="24"/>
        </w:rPr>
      </w:pPr>
      <w:r w:rsidRPr="008B0BA4">
        <w:rPr>
          <w:rFonts w:ascii="Times New Roman" w:hAnsi="Times New Roman" w:cs="Times New Roman"/>
          <w:sz w:val="24"/>
          <w:szCs w:val="24"/>
        </w:rPr>
        <w:t xml:space="preserve">Проверкой расходования средств на строительство </w:t>
      </w:r>
      <w:r w:rsidRPr="008B0BA4">
        <w:rPr>
          <w:rFonts w:ascii="Times New Roman" w:hAnsi="Times New Roman" w:cs="Times New Roman"/>
          <w:snapToGrid w:val="0"/>
          <w:sz w:val="24"/>
          <w:szCs w:val="24"/>
        </w:rPr>
        <w:t xml:space="preserve">объектов </w:t>
      </w:r>
      <w:r w:rsidRPr="008B0BA4">
        <w:rPr>
          <w:rFonts w:ascii="Times New Roman" w:hAnsi="Times New Roman" w:cs="Times New Roman"/>
          <w:sz w:val="24"/>
          <w:szCs w:val="24"/>
        </w:rPr>
        <w:t>Малоэтажного быстровозводимого жилья, г</w:t>
      </w:r>
      <w:r w:rsidR="003E5087" w:rsidRPr="008B0BA4">
        <w:rPr>
          <w:rFonts w:ascii="Times New Roman" w:hAnsi="Times New Roman" w:cs="Times New Roman"/>
          <w:sz w:val="24"/>
          <w:szCs w:val="24"/>
        </w:rPr>
        <w:t>. Т</w:t>
      </w:r>
      <w:r w:rsidRPr="008B0BA4">
        <w:rPr>
          <w:rFonts w:ascii="Times New Roman" w:hAnsi="Times New Roman" w:cs="Times New Roman"/>
          <w:sz w:val="24"/>
          <w:szCs w:val="24"/>
        </w:rPr>
        <w:t>ында, мкр. Таежный установлено, что продолжают иметь место недостатки в обеспечении контроля сроков действия банковских гарантий, предоставленных подрядчиками в качестве обеспечения исполнения государственных контрактов, отмеченные по р</w:t>
      </w:r>
      <w:r w:rsidR="002A7430">
        <w:rPr>
          <w:rFonts w:ascii="Times New Roman" w:hAnsi="Times New Roman" w:cs="Times New Roman"/>
          <w:sz w:val="24"/>
          <w:szCs w:val="24"/>
        </w:rPr>
        <w:t>езультатам предыдущих проверок.</w:t>
      </w:r>
    </w:p>
    <w:p w:rsidR="008B0BA4" w:rsidRPr="008B0BA4" w:rsidRDefault="008B0BA4" w:rsidP="008B0BA4">
      <w:pPr>
        <w:tabs>
          <w:tab w:val="left" w:pos="851"/>
        </w:tabs>
        <w:spacing w:after="0" w:line="240" w:lineRule="auto"/>
        <w:ind w:firstLine="709"/>
        <w:jc w:val="both"/>
        <w:rPr>
          <w:rFonts w:ascii="Times New Roman" w:hAnsi="Times New Roman" w:cs="Times New Roman"/>
          <w:sz w:val="24"/>
          <w:szCs w:val="24"/>
        </w:rPr>
      </w:pPr>
      <w:r w:rsidRPr="008B0BA4">
        <w:rPr>
          <w:rFonts w:ascii="Times New Roman" w:hAnsi="Times New Roman" w:cs="Times New Roman"/>
          <w:sz w:val="24"/>
          <w:szCs w:val="24"/>
        </w:rPr>
        <w:t xml:space="preserve">Проверкой установлены факты прекращения действия банковских гарантий в связи с изменением сроков выполнения работ, а также просрочкой исполнения обязательств подрядчиками по государственным контрактам. Не выполнены предусмотренные условиями государственных контрактов от 29.12.2014 №№ 142, 143 обязательства подрядчика - </w:t>
      </w:r>
      <w:r w:rsidRPr="008B0BA4">
        <w:rPr>
          <w:rFonts w:ascii="Times New Roman" w:hAnsi="Times New Roman" w:cs="Times New Roman"/>
          <w:sz w:val="24"/>
          <w:szCs w:val="24"/>
        </w:rPr>
        <w:br/>
        <w:t>ОАО «Хабаровский завод промышленного и гражданского домостроения» предоставить новое надлежащее обеспечение в случае, если обеспечение перестало быть действительным, закончило свое действие или иным образом перестало обеспечивать исполн</w:t>
      </w:r>
      <w:r w:rsidR="002A7430">
        <w:rPr>
          <w:rFonts w:ascii="Times New Roman" w:hAnsi="Times New Roman" w:cs="Times New Roman"/>
          <w:sz w:val="24"/>
          <w:szCs w:val="24"/>
        </w:rPr>
        <w:t>ение обязательств по контракту.</w:t>
      </w:r>
    </w:p>
    <w:p w:rsidR="008B0BA4" w:rsidRPr="008B0BA4" w:rsidRDefault="008B0BA4" w:rsidP="008B0BA4">
      <w:pPr>
        <w:tabs>
          <w:tab w:val="left" w:pos="851"/>
        </w:tabs>
        <w:spacing w:after="0" w:line="240" w:lineRule="auto"/>
        <w:ind w:firstLine="709"/>
        <w:jc w:val="both"/>
        <w:rPr>
          <w:rFonts w:ascii="Times New Roman" w:hAnsi="Times New Roman" w:cs="Times New Roman"/>
          <w:sz w:val="24"/>
          <w:szCs w:val="24"/>
        </w:rPr>
      </w:pPr>
      <w:r w:rsidRPr="008B0BA4">
        <w:rPr>
          <w:rFonts w:ascii="Times New Roman" w:hAnsi="Times New Roman" w:cs="Times New Roman"/>
          <w:sz w:val="24"/>
          <w:szCs w:val="24"/>
        </w:rPr>
        <w:t xml:space="preserve">Проверкой установлены отдельные недостатки в организации претензионной и исковой работы ГКУ Амурской области «Строитель». Так, при несоблюдении </w:t>
      </w:r>
      <w:r w:rsidRPr="008B0BA4">
        <w:rPr>
          <w:rFonts w:ascii="Times New Roman" w:hAnsi="Times New Roman" w:cs="Times New Roman"/>
          <w:sz w:val="24"/>
          <w:szCs w:val="24"/>
        </w:rPr>
        <w:br/>
        <w:t xml:space="preserve">ОАО «Хабаровский завод промышленного и гражданского домостроения» условий государственных контрактов от 29.12.2014 №№ 142, 143 в части сроков выполнения работ </w:t>
      </w:r>
      <w:r w:rsidRPr="008B0BA4">
        <w:rPr>
          <w:rFonts w:ascii="Times New Roman" w:hAnsi="Times New Roman" w:cs="Times New Roman"/>
          <w:sz w:val="24"/>
          <w:szCs w:val="24"/>
        </w:rPr>
        <w:br/>
        <w:t>(с учетом условий дополнительных соглашений от 03.08.2015, заключенных во исполнение мировых соглашений) ГКУ Амурской области «Строитель» не предъявлены претензии за просрочку исполнения обязательств, расчетный размер неустойки</w:t>
      </w:r>
      <w:r w:rsidR="002A7430">
        <w:rPr>
          <w:rFonts w:ascii="Times New Roman" w:hAnsi="Times New Roman" w:cs="Times New Roman"/>
          <w:sz w:val="24"/>
          <w:szCs w:val="24"/>
        </w:rPr>
        <w:t xml:space="preserve"> составляет 1894,0 тыс. рублей.</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lastRenderedPageBreak/>
        <w:t xml:space="preserve">В ходе выполнения строительных работ по государственным контрактам от 29.12.2014 №№ 142, 143 на строительство жилых домов подрядчиком ОАО «Хабаровский завод промышленного и гражданского домостроения» была выявлена необходимость и выполнены дополнительные объемы работ по бурению скважин, не предусмотренные проектно-сметной документацией, общей стоимостью 81004,7 тыс. рублей. В соответствии с Решением Арбитражного суда Амурской области от 11.09.2015 по делу А04-6969/2015 с </w:t>
      </w:r>
      <w:r w:rsidRPr="008B0BA4">
        <w:rPr>
          <w:rFonts w:ascii="Times New Roman" w:eastAsia="Times New Roman" w:hAnsi="Times New Roman"/>
          <w:sz w:val="24"/>
          <w:szCs w:val="24"/>
          <w:lang w:eastAsia="ru-RU"/>
        </w:rPr>
        <w:br/>
        <w:t>ГКУ Амурской области «Строитель» взыскана стоимость дополнительных работ, не предусмотренных проектно-сметной документацией, по государственным контрактам от 29.12.2014 № 142 в сумме 42844,4 тыс. рублей, от 29.12.2014 №№ 143 в сумме 38160,3 тыс. рублей. На основании Решения Арбитражного суда Амурской области выдан исполнительный лист ФС № 006615261. Обязательства ГКУ Амурской области «Строитель» по исполнительному листу исполнены за счет средств областного бюджета в 2015 году в сумме 56992,9 тыс. рублей, в 2016 году – в сумме 24011,8 тыс. рублей.</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Кроме того, с ГКУ Амурской области «Строитель» взыскана государственная пошлина в сумме 200,0 тыс. рублей.</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 xml:space="preserve">В Решении Арбитражного суда Амурской области от 11.09.2015 по делу </w:t>
      </w:r>
      <w:r w:rsidRPr="008B0BA4">
        <w:rPr>
          <w:rFonts w:ascii="Times New Roman" w:eastAsia="Times New Roman" w:hAnsi="Times New Roman"/>
          <w:sz w:val="24"/>
          <w:szCs w:val="24"/>
          <w:lang w:eastAsia="ru-RU"/>
        </w:rPr>
        <w:br/>
        <w:t>А04-6969/2015 указано, что генподрядчиком в результате проведенного бурения разведочных скважин на строительных площадках жилых домов установлено, что фактически категории грунтов, глубина залегания скального грунта и, следовательно, глубина бурения скважин, не соответствует аналогичным показателям, имеющимся в проектно-сметной документации.</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Выполнение дополнительных работ по бурению скважин привело к увеличению стоимости строительства четырех жилых домов по государственным контрактам от 29.12.2014 №№ 142, 143 на 81004,7 тыс. рублей.</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Согласно представленным пояснениям при выполнении инженерно-геологических изысканий было невозможно предусмотреть глубину бурения скважин, так как горизонт скального грунта на участке строительства не выдержан как по простиранию, так и по глубине залегания. Основываясь на данных технического отчета по инженерно-геологическим изысканиями, и учитывая тот факт, что площадка строительства расположена на склоне холма с перепадами высот до 50 м, КГУП «Хабаровскгражданпроект» в рабочей документации указало на необходимость уточнения уровня скального грунта при бурении скважин по месту в процессе проведения строительно-монтажных работ. Кроме того, единовременная полная вырубка леса и снятие почвенно-покровного слоя на площадке под застройку, оказала воздействие на развитие геологических процессов в грунтах, вызвала ускоренную и более глубокую о</w:t>
      </w:r>
      <w:r w:rsidR="002A7430">
        <w:rPr>
          <w:rFonts w:ascii="Times New Roman" w:eastAsia="Times New Roman" w:hAnsi="Times New Roman"/>
          <w:sz w:val="24"/>
          <w:szCs w:val="24"/>
          <w:lang w:eastAsia="ru-RU"/>
        </w:rPr>
        <w:t>ттайку сезонно-мерзлых грунтов.</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rPr>
      </w:pPr>
      <w:r w:rsidRPr="008B0BA4">
        <w:rPr>
          <w:rFonts w:ascii="Times New Roman" w:eastAsia="Times New Roman" w:hAnsi="Times New Roman"/>
          <w:sz w:val="24"/>
          <w:szCs w:val="24"/>
        </w:rPr>
        <w:t>Проверкой установлен факт неэффективного использования бюджетных средств, выразившийся в оплате в соответствии с решениями Арбитражного суда Амурской области стоимости потребленных тепловой энергии и услуг по содержанию имущества введенных в эксплуатацию объектов капитального строительства объекта «Малоэтажное быстровозводимое жилье, г. Тында, мкр. Таежный», а также расходов на уплату процентов за пользование чужими денежными средствами, процентов за несвоевременную оплату электрической энергии и возмещение судебных расходов (госпошлина) в размере 797,0 тыс. рублей. Дополнительные расходы на оплату коммунальных услуг возникли вследствие длительной процедуры передачи введенных в эксплуатацию объектов капитального строительства в муниципальную собственность, период между датами подписания актов приемки законченных строительством объектов (ф. КС-11) по введенным в эксплуатацию домам и формирования актов о приеме-передаче зданий (ф. ОС-1) достигал пяти месяцев.</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rPr>
      </w:pPr>
      <w:r w:rsidRPr="008B0BA4">
        <w:rPr>
          <w:rFonts w:ascii="Times New Roman" w:eastAsia="Times New Roman" w:hAnsi="Times New Roman"/>
          <w:sz w:val="24"/>
          <w:szCs w:val="24"/>
        </w:rPr>
        <w:t>Так, в результате исполнения обязательств по государственным контрактам на основании актов приемки законченных строительством объектов (ф. КС-11) в 2015 году в эксплуатацию введены и на основании актов приема-передачи зданий (ф. ОС-1) переданы министерству имущественных отношений Амурской области:</w:t>
      </w:r>
    </w:p>
    <w:p w:rsidR="008B0BA4" w:rsidRPr="008B0BA4" w:rsidRDefault="008B0BA4" w:rsidP="0014690C">
      <w:pPr>
        <w:widowControl w:val="0"/>
        <w:numPr>
          <w:ilvl w:val="0"/>
          <w:numId w:val="27"/>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B0BA4">
        <w:rPr>
          <w:rFonts w:ascii="Times New Roman" w:eastAsia="Times New Roman" w:hAnsi="Times New Roman" w:cs="Times New Roman"/>
          <w:sz w:val="24"/>
          <w:szCs w:val="24"/>
          <w:lang w:eastAsia="ru-RU"/>
        </w:rPr>
        <w:t xml:space="preserve">ОАО «Буреягэсстрой» по государственному контракту от 28.06.2012 № 2 жилой дом типа Б-3 № 26, расположенный по адресу: ул. Кольцевая, 21, стоимостью 92481,5 тыс. </w:t>
      </w:r>
      <w:r w:rsidRPr="008B0BA4">
        <w:rPr>
          <w:rFonts w:ascii="Times New Roman" w:eastAsia="Times New Roman" w:hAnsi="Times New Roman" w:cs="Times New Roman"/>
          <w:sz w:val="24"/>
          <w:szCs w:val="24"/>
          <w:lang w:eastAsia="ru-RU"/>
        </w:rPr>
        <w:lastRenderedPageBreak/>
        <w:t xml:space="preserve">рублей (акт ф. КС-11) от 30.10.2015 б/н, разрешение на ввод в эксплуатацию от 08.10.2015 </w:t>
      </w:r>
      <w:r w:rsidRPr="008B0BA4">
        <w:rPr>
          <w:rFonts w:ascii="Times New Roman" w:eastAsia="Times New Roman" w:hAnsi="Times New Roman" w:cs="Times New Roman"/>
          <w:sz w:val="24"/>
          <w:szCs w:val="24"/>
          <w:lang w:eastAsia="ru-RU"/>
        </w:rPr>
        <w:br/>
        <w:t>№ 28-</w:t>
      </w:r>
      <w:r w:rsidRPr="008B0BA4">
        <w:rPr>
          <w:rFonts w:ascii="Times New Roman" w:eastAsia="Times New Roman" w:hAnsi="Times New Roman" w:cs="Times New Roman"/>
          <w:sz w:val="24"/>
          <w:szCs w:val="24"/>
          <w:lang w:val="en-US" w:eastAsia="ru-RU"/>
        </w:rPr>
        <w:t>RU</w:t>
      </w:r>
      <w:r w:rsidRPr="008B0BA4">
        <w:rPr>
          <w:rFonts w:ascii="Times New Roman" w:eastAsia="Times New Roman" w:hAnsi="Times New Roman" w:cs="Times New Roman"/>
          <w:sz w:val="24"/>
          <w:szCs w:val="24"/>
          <w:lang w:eastAsia="ru-RU"/>
        </w:rPr>
        <w:t>283003000-192-2015, акт о приеме-передаче здания (ф. ОС-1) от 11.12.2015 № 28);</w:t>
      </w:r>
    </w:p>
    <w:p w:rsidR="008B0BA4" w:rsidRPr="008B0BA4" w:rsidRDefault="008B0BA4" w:rsidP="0014690C">
      <w:pPr>
        <w:widowControl w:val="0"/>
        <w:numPr>
          <w:ilvl w:val="0"/>
          <w:numId w:val="27"/>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B0BA4">
        <w:rPr>
          <w:rFonts w:ascii="Times New Roman" w:eastAsia="Times New Roman" w:hAnsi="Times New Roman" w:cs="Times New Roman"/>
          <w:sz w:val="24"/>
          <w:szCs w:val="24"/>
          <w:lang w:eastAsia="ru-RU"/>
        </w:rPr>
        <w:t>ОАО «Хабаровский завод промышленного и гражданского домостроения» по государственному контракту от 28.12.2013 № 148 жилые дома типа Ж-1:</w:t>
      </w:r>
    </w:p>
    <w:p w:rsidR="008B0BA4" w:rsidRPr="008B0BA4" w:rsidRDefault="008B0BA4" w:rsidP="0014690C">
      <w:pPr>
        <w:numPr>
          <w:ilvl w:val="0"/>
          <w:numId w:val="26"/>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B0BA4">
        <w:rPr>
          <w:rFonts w:ascii="Times New Roman" w:eastAsia="Times New Roman" w:hAnsi="Times New Roman" w:cs="Times New Roman"/>
          <w:sz w:val="24"/>
          <w:szCs w:val="24"/>
          <w:lang w:eastAsia="ru-RU"/>
        </w:rPr>
        <w:t xml:space="preserve">№ 28, расположенный по адресу: ул. Кольцевая, 10, стоимостью 117988,9 тыс. рублей (акт ф. КС-11) от 30.06.2015 № 1, разрешение на ввод в эксплуатацию от 12.08.2015 </w:t>
      </w:r>
      <w:r w:rsidRPr="008B0BA4">
        <w:rPr>
          <w:rFonts w:ascii="Times New Roman" w:eastAsia="Times New Roman" w:hAnsi="Times New Roman" w:cs="Times New Roman"/>
          <w:sz w:val="24"/>
          <w:szCs w:val="24"/>
          <w:lang w:eastAsia="ru-RU"/>
        </w:rPr>
        <w:br/>
        <w:t>№ 28-</w:t>
      </w:r>
      <w:r w:rsidRPr="008B0BA4">
        <w:rPr>
          <w:rFonts w:ascii="Times New Roman" w:eastAsia="Times New Roman" w:hAnsi="Times New Roman" w:cs="Times New Roman"/>
          <w:sz w:val="24"/>
          <w:szCs w:val="24"/>
          <w:lang w:val="en-US" w:eastAsia="ru-RU"/>
        </w:rPr>
        <w:t>RU</w:t>
      </w:r>
      <w:r w:rsidRPr="008B0BA4">
        <w:rPr>
          <w:rFonts w:ascii="Times New Roman" w:eastAsia="Times New Roman" w:hAnsi="Times New Roman" w:cs="Times New Roman"/>
          <w:sz w:val="24"/>
          <w:szCs w:val="24"/>
          <w:lang w:eastAsia="ru-RU"/>
        </w:rPr>
        <w:t>282003000-189-2015, акт о приеме-передаче здания (ф. ОС-1) от 08.09.2015 № 21);</w:t>
      </w:r>
    </w:p>
    <w:p w:rsidR="008B0BA4" w:rsidRPr="008B0BA4" w:rsidRDefault="008B0BA4" w:rsidP="0014690C">
      <w:pPr>
        <w:numPr>
          <w:ilvl w:val="0"/>
          <w:numId w:val="26"/>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B0BA4">
        <w:rPr>
          <w:rFonts w:ascii="Times New Roman" w:eastAsia="Times New Roman" w:hAnsi="Times New Roman" w:cs="Times New Roman"/>
          <w:sz w:val="24"/>
          <w:szCs w:val="24"/>
          <w:lang w:eastAsia="ru-RU"/>
        </w:rPr>
        <w:t>№ 29, расположенный по адресу: ул. Дальневосточная, 7, стоимостью 124607,3 тыс. рублей (акт ф. КС-11) от 30.06.2015 № 4, разрешение на ввод в эксплуатацию от 12.08.2015 № 28-</w:t>
      </w:r>
      <w:r w:rsidRPr="008B0BA4">
        <w:rPr>
          <w:rFonts w:ascii="Times New Roman" w:eastAsia="Times New Roman" w:hAnsi="Times New Roman" w:cs="Times New Roman"/>
          <w:sz w:val="24"/>
          <w:szCs w:val="24"/>
          <w:lang w:val="en-US" w:eastAsia="ru-RU"/>
        </w:rPr>
        <w:t>RU</w:t>
      </w:r>
      <w:r w:rsidRPr="008B0BA4">
        <w:rPr>
          <w:rFonts w:ascii="Times New Roman" w:eastAsia="Times New Roman" w:hAnsi="Times New Roman" w:cs="Times New Roman"/>
          <w:sz w:val="24"/>
          <w:szCs w:val="24"/>
          <w:lang w:eastAsia="ru-RU"/>
        </w:rPr>
        <w:t>282003000-187-2015, акт о приеме-передаче здания (ф. ОС-1) от 11.12.2015 № 27);</w:t>
      </w:r>
    </w:p>
    <w:p w:rsidR="008B0BA4" w:rsidRPr="008B0BA4" w:rsidRDefault="008B0BA4" w:rsidP="0014690C">
      <w:pPr>
        <w:numPr>
          <w:ilvl w:val="0"/>
          <w:numId w:val="26"/>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B0BA4">
        <w:rPr>
          <w:rFonts w:ascii="Times New Roman" w:eastAsia="Times New Roman" w:hAnsi="Times New Roman" w:cs="Times New Roman"/>
          <w:sz w:val="24"/>
          <w:szCs w:val="24"/>
          <w:lang w:eastAsia="ru-RU"/>
        </w:rPr>
        <w:t xml:space="preserve">№ 30, расположенный по адресу: ул. Кольцевая, 12, стоимостью 123834,4 тыс. рублей (акт ф. КС-11) от 30.06.2015 № 2, разрешение на ввод в эксплуатацию от 12.08.2015 </w:t>
      </w:r>
      <w:r w:rsidRPr="008B0BA4">
        <w:rPr>
          <w:rFonts w:ascii="Times New Roman" w:eastAsia="Times New Roman" w:hAnsi="Times New Roman" w:cs="Times New Roman"/>
          <w:sz w:val="24"/>
          <w:szCs w:val="24"/>
          <w:lang w:eastAsia="ru-RU"/>
        </w:rPr>
        <w:br/>
        <w:t>№ 28-</w:t>
      </w:r>
      <w:r w:rsidRPr="008B0BA4">
        <w:rPr>
          <w:rFonts w:ascii="Times New Roman" w:eastAsia="Times New Roman" w:hAnsi="Times New Roman" w:cs="Times New Roman"/>
          <w:sz w:val="24"/>
          <w:szCs w:val="24"/>
          <w:lang w:val="en-US" w:eastAsia="ru-RU"/>
        </w:rPr>
        <w:t>RU</w:t>
      </w:r>
      <w:r w:rsidRPr="008B0BA4">
        <w:rPr>
          <w:rFonts w:ascii="Times New Roman" w:eastAsia="Times New Roman" w:hAnsi="Times New Roman" w:cs="Times New Roman"/>
          <w:sz w:val="24"/>
          <w:szCs w:val="24"/>
          <w:lang w:eastAsia="ru-RU"/>
        </w:rPr>
        <w:t>282003000-188-2015, акт о приеме-передаче здания (ф. ОС-1) от 08.09.2015 № 22);</w:t>
      </w:r>
    </w:p>
    <w:p w:rsidR="008B0BA4" w:rsidRPr="008B0BA4" w:rsidRDefault="008B0BA4" w:rsidP="0014690C">
      <w:pPr>
        <w:numPr>
          <w:ilvl w:val="0"/>
          <w:numId w:val="26"/>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B0BA4">
        <w:rPr>
          <w:rFonts w:ascii="Times New Roman" w:eastAsia="Times New Roman" w:hAnsi="Times New Roman" w:cs="Times New Roman"/>
          <w:sz w:val="24"/>
          <w:szCs w:val="24"/>
          <w:lang w:eastAsia="ru-RU"/>
        </w:rPr>
        <w:t xml:space="preserve">№ 31, расположенный по адресу: ул. Кольцевая, 14, стоимостью 124750,2 тыс. рублей (акт ф. КС-11) от 30.06.2015 № 3, разрешение на ввод в эксплуатацию от 12.08.2015 </w:t>
      </w:r>
      <w:r w:rsidRPr="008B0BA4">
        <w:rPr>
          <w:rFonts w:ascii="Times New Roman" w:eastAsia="Times New Roman" w:hAnsi="Times New Roman" w:cs="Times New Roman"/>
          <w:sz w:val="24"/>
          <w:szCs w:val="24"/>
          <w:lang w:eastAsia="ru-RU"/>
        </w:rPr>
        <w:br/>
        <w:t>№ 28-</w:t>
      </w:r>
      <w:r w:rsidRPr="008B0BA4">
        <w:rPr>
          <w:rFonts w:ascii="Times New Roman" w:eastAsia="Times New Roman" w:hAnsi="Times New Roman" w:cs="Times New Roman"/>
          <w:sz w:val="24"/>
          <w:szCs w:val="24"/>
          <w:lang w:val="en-US" w:eastAsia="ru-RU"/>
        </w:rPr>
        <w:t>RU</w:t>
      </w:r>
      <w:r w:rsidRPr="008B0BA4">
        <w:rPr>
          <w:rFonts w:ascii="Times New Roman" w:eastAsia="Times New Roman" w:hAnsi="Times New Roman" w:cs="Times New Roman"/>
          <w:sz w:val="24"/>
          <w:szCs w:val="24"/>
          <w:lang w:eastAsia="ru-RU"/>
        </w:rPr>
        <w:t>282003000-190-2015, акт о приеме-передаче здания (ф. ОС-1) от 08.09.2015 № 23);</w:t>
      </w:r>
    </w:p>
    <w:p w:rsidR="008B0BA4" w:rsidRPr="008B0BA4" w:rsidRDefault="008B0BA4" w:rsidP="0014690C">
      <w:pPr>
        <w:numPr>
          <w:ilvl w:val="0"/>
          <w:numId w:val="27"/>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B0BA4">
        <w:rPr>
          <w:rFonts w:ascii="Times New Roman" w:eastAsia="Times New Roman" w:hAnsi="Times New Roman" w:cs="Times New Roman"/>
          <w:sz w:val="24"/>
          <w:szCs w:val="24"/>
          <w:lang w:eastAsia="ru-RU"/>
        </w:rPr>
        <w:t>ОАО «Хабаровский завод промышленного и гражданского домостроения» по государственному контракту от 29.12.2014 № 142 жилые дома типа Д-1:</w:t>
      </w:r>
    </w:p>
    <w:p w:rsidR="008B0BA4" w:rsidRPr="008B0BA4" w:rsidRDefault="008B0BA4" w:rsidP="0014690C">
      <w:pPr>
        <w:numPr>
          <w:ilvl w:val="0"/>
          <w:numId w:val="26"/>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B0BA4">
        <w:rPr>
          <w:rFonts w:ascii="Times New Roman" w:eastAsia="Times New Roman" w:hAnsi="Times New Roman" w:cs="Times New Roman"/>
          <w:sz w:val="24"/>
          <w:szCs w:val="24"/>
          <w:lang w:eastAsia="ru-RU"/>
        </w:rPr>
        <w:t xml:space="preserve">№ 35, расположенный по адресу: ул. Кольцевая, 16, стоимостью 91800,7 тыс. рублей (акт ф. КС-11) от 28.12.2015 б/н, разрешение на ввод в эксплуатацию от 28.12.2015 </w:t>
      </w:r>
      <w:r w:rsidRPr="008B0BA4">
        <w:rPr>
          <w:rFonts w:ascii="Times New Roman" w:eastAsia="Times New Roman" w:hAnsi="Times New Roman" w:cs="Times New Roman"/>
          <w:sz w:val="24"/>
          <w:szCs w:val="24"/>
          <w:lang w:eastAsia="ru-RU"/>
        </w:rPr>
        <w:br/>
        <w:t>№ 28-</w:t>
      </w:r>
      <w:r w:rsidRPr="008B0BA4">
        <w:rPr>
          <w:rFonts w:ascii="Times New Roman" w:eastAsia="Times New Roman" w:hAnsi="Times New Roman" w:cs="Times New Roman"/>
          <w:sz w:val="24"/>
          <w:szCs w:val="24"/>
          <w:lang w:val="en-US" w:eastAsia="ru-RU"/>
        </w:rPr>
        <w:t>RU</w:t>
      </w:r>
      <w:r w:rsidRPr="008B0BA4">
        <w:rPr>
          <w:rFonts w:ascii="Times New Roman" w:eastAsia="Times New Roman" w:hAnsi="Times New Roman" w:cs="Times New Roman"/>
          <w:sz w:val="24"/>
          <w:szCs w:val="24"/>
          <w:lang w:eastAsia="ru-RU"/>
        </w:rPr>
        <w:t>283003000-196-2015, акт о приеме-передаче здания (ф. ОС-1) от 08.04.2016 № 7);</w:t>
      </w:r>
    </w:p>
    <w:p w:rsidR="008B0BA4" w:rsidRPr="008B0BA4" w:rsidRDefault="008B0BA4" w:rsidP="0014690C">
      <w:pPr>
        <w:numPr>
          <w:ilvl w:val="0"/>
          <w:numId w:val="26"/>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B0BA4">
        <w:rPr>
          <w:rFonts w:ascii="Times New Roman" w:eastAsia="Times New Roman" w:hAnsi="Times New Roman" w:cs="Times New Roman"/>
          <w:sz w:val="24"/>
          <w:szCs w:val="24"/>
          <w:lang w:eastAsia="ru-RU"/>
        </w:rPr>
        <w:t xml:space="preserve">№ 36, расположенный по адресу: ул. Дальневосточная, 1, стоимостью 93211,4 тыс. рублей (акт ф. КС-11) от 28.12.2015 б/н, разрешение на ввод в эксплуатацию от 28.12.2015 </w:t>
      </w:r>
      <w:r w:rsidRPr="008B0BA4">
        <w:rPr>
          <w:rFonts w:ascii="Times New Roman" w:eastAsia="Times New Roman" w:hAnsi="Times New Roman" w:cs="Times New Roman"/>
          <w:sz w:val="24"/>
          <w:szCs w:val="24"/>
          <w:lang w:eastAsia="ru-RU"/>
        </w:rPr>
        <w:br/>
        <w:t>№ 28-</w:t>
      </w:r>
      <w:r w:rsidRPr="008B0BA4">
        <w:rPr>
          <w:rFonts w:ascii="Times New Roman" w:eastAsia="Times New Roman" w:hAnsi="Times New Roman" w:cs="Times New Roman"/>
          <w:sz w:val="24"/>
          <w:szCs w:val="24"/>
          <w:lang w:val="en-US" w:eastAsia="ru-RU"/>
        </w:rPr>
        <w:t>RU</w:t>
      </w:r>
      <w:r w:rsidRPr="008B0BA4">
        <w:rPr>
          <w:rFonts w:ascii="Times New Roman" w:eastAsia="Times New Roman" w:hAnsi="Times New Roman" w:cs="Times New Roman"/>
          <w:sz w:val="24"/>
          <w:szCs w:val="24"/>
          <w:lang w:eastAsia="ru-RU"/>
        </w:rPr>
        <w:t>283003000-197-2015, акт о приеме-передаче здания (ф. ОС-1) от 08.04.2016 № 8).</w:t>
      </w:r>
    </w:p>
    <w:p w:rsidR="008B0BA4" w:rsidRDefault="008B0BA4" w:rsidP="008B0BA4">
      <w:pPr>
        <w:autoSpaceDE w:val="0"/>
        <w:autoSpaceDN w:val="0"/>
        <w:adjustRightInd w:val="0"/>
        <w:spacing w:after="0" w:line="240" w:lineRule="auto"/>
        <w:ind w:firstLine="709"/>
        <w:jc w:val="both"/>
        <w:rPr>
          <w:rFonts w:ascii="Times New Roman" w:hAnsi="Times New Roman" w:cs="Times New Roman"/>
          <w:sz w:val="24"/>
          <w:szCs w:val="24"/>
        </w:rPr>
      </w:pPr>
      <w:r w:rsidRPr="008B0BA4">
        <w:rPr>
          <w:rFonts w:ascii="Times New Roman" w:hAnsi="Times New Roman" w:cs="Times New Roman"/>
          <w:sz w:val="24"/>
          <w:szCs w:val="24"/>
        </w:rPr>
        <w:t xml:space="preserve">Таким образом, в результате реализации мероприятий </w:t>
      </w:r>
      <w:r w:rsidRPr="008B0BA4">
        <w:rPr>
          <w:rFonts w:ascii="Times New Roman" w:eastAsia="Times New Roman" w:hAnsi="Times New Roman"/>
          <w:sz w:val="24"/>
          <w:szCs w:val="24"/>
        </w:rPr>
        <w:t xml:space="preserve">подпрограммы «Повышение устойчивости жилых домов, основных объектов и систем жизнеобеспечения в сейсмических районах Амурской области» </w:t>
      </w:r>
      <w:r w:rsidRPr="008B0BA4">
        <w:rPr>
          <w:rFonts w:ascii="Times New Roman" w:hAnsi="Times New Roman"/>
          <w:sz w:val="24"/>
          <w:szCs w:val="24"/>
        </w:rPr>
        <w:t>Государственной программы «Обеспечение доступным и качественным жильем населения Амурской области на 2014-2020 годы» в 2015 году</w:t>
      </w:r>
      <w:r w:rsidRPr="008B0BA4">
        <w:rPr>
          <w:rFonts w:ascii="Times New Roman" w:hAnsi="Times New Roman" w:cs="Times New Roman"/>
          <w:sz w:val="24"/>
          <w:szCs w:val="24"/>
        </w:rPr>
        <w:t xml:space="preserve"> введено в эксплуатацию в </w:t>
      </w:r>
      <w:r w:rsidRPr="008B0BA4">
        <w:rPr>
          <w:rFonts w:ascii="Times New Roman" w:eastAsia="Times New Roman" w:hAnsi="Times New Roman"/>
          <w:sz w:val="24"/>
          <w:szCs w:val="24"/>
        </w:rPr>
        <w:t>г. Тында, мкр. Таежный</w:t>
      </w:r>
      <w:r w:rsidRPr="008B0BA4">
        <w:rPr>
          <w:rFonts w:ascii="Times New Roman" w:hAnsi="Times New Roman" w:cs="Times New Roman"/>
          <w:sz w:val="24"/>
          <w:szCs w:val="24"/>
        </w:rPr>
        <w:t xml:space="preserve"> се</w:t>
      </w:r>
      <w:r w:rsidR="002A7430">
        <w:rPr>
          <w:rFonts w:ascii="Times New Roman" w:hAnsi="Times New Roman" w:cs="Times New Roman"/>
          <w:sz w:val="24"/>
          <w:szCs w:val="24"/>
        </w:rPr>
        <w:t>мь жилых домов на 184 квартиры.</w:t>
      </w:r>
    </w:p>
    <w:p w:rsidR="008B0BA4" w:rsidRPr="008B0BA4" w:rsidRDefault="008B0BA4" w:rsidP="008B0BA4">
      <w:pPr>
        <w:autoSpaceDE w:val="0"/>
        <w:autoSpaceDN w:val="0"/>
        <w:adjustRightInd w:val="0"/>
        <w:spacing w:after="0" w:line="240" w:lineRule="auto"/>
        <w:ind w:firstLine="709"/>
        <w:jc w:val="both"/>
        <w:rPr>
          <w:rFonts w:ascii="Times New Roman" w:hAnsi="Times New Roman" w:cs="Times New Roman"/>
          <w:sz w:val="24"/>
          <w:szCs w:val="24"/>
        </w:rPr>
      </w:pPr>
    </w:p>
    <w:p w:rsidR="008B0BA4" w:rsidRPr="008B0BA4" w:rsidRDefault="008B0BA4" w:rsidP="0014690C">
      <w:pPr>
        <w:numPr>
          <w:ilvl w:val="0"/>
          <w:numId w:val="19"/>
        </w:numPr>
        <w:tabs>
          <w:tab w:val="left" w:pos="0"/>
        </w:tabs>
        <w:spacing w:after="0" w:line="240" w:lineRule="auto"/>
        <w:ind w:left="0" w:firstLine="709"/>
        <w:contextualSpacing/>
        <w:jc w:val="center"/>
        <w:rPr>
          <w:rFonts w:ascii="Times New Roman" w:eastAsia="Calibri" w:hAnsi="Times New Roman" w:cs="Times New Roman"/>
          <w:b/>
          <w:sz w:val="24"/>
          <w:szCs w:val="24"/>
        </w:rPr>
      </w:pPr>
      <w:r w:rsidRPr="008B0BA4">
        <w:rPr>
          <w:rFonts w:ascii="Times New Roman" w:eastAsia="Calibri" w:hAnsi="Times New Roman" w:cs="Times New Roman"/>
          <w:b/>
          <w:sz w:val="24"/>
          <w:szCs w:val="24"/>
        </w:rPr>
        <w:t>Реконструкция здания для размещения специального учреждения для содержания иностранных граждан и лиц без гражданства, подлежащих административному выдворению за пределы Российской Федерации или депортации в с. Белогорье, г. Благовещенска</w:t>
      </w:r>
    </w:p>
    <w:p w:rsidR="008B0BA4" w:rsidRPr="008B0BA4" w:rsidRDefault="008B0BA4" w:rsidP="008B0BA4">
      <w:pPr>
        <w:autoSpaceDE w:val="0"/>
        <w:autoSpaceDN w:val="0"/>
        <w:adjustRightInd w:val="0"/>
        <w:spacing w:after="0" w:line="240" w:lineRule="auto"/>
        <w:ind w:firstLine="709"/>
        <w:jc w:val="both"/>
        <w:rPr>
          <w:rFonts w:ascii="Times New Roman" w:hAnsi="Times New Roman" w:cs="Times New Roman"/>
          <w:sz w:val="24"/>
          <w:szCs w:val="24"/>
        </w:rPr>
      </w:pPr>
      <w:r w:rsidRPr="008B0BA4">
        <w:rPr>
          <w:rFonts w:ascii="Times New Roman" w:eastAsia="Calibri" w:hAnsi="Times New Roman" w:cs="Times New Roman"/>
          <w:sz w:val="24"/>
          <w:szCs w:val="24"/>
        </w:rPr>
        <w:t>Р</w:t>
      </w:r>
      <w:r w:rsidRPr="008B0BA4">
        <w:rPr>
          <w:rFonts w:ascii="Times New Roman" w:hAnsi="Times New Roman" w:cs="Times New Roman"/>
          <w:sz w:val="24"/>
          <w:szCs w:val="24"/>
        </w:rPr>
        <w:t>еконструкции здания для размещения специального учреждения для содержания иностранных граждан и лиц без гражданства, подлежащих административному выдворению за пределы Российской Федерации или депортации, предусмотренная в рамках мероприятия «Капитальные вложения в объекты государственной собственности» подпрограммы «Профилактика правонарушений, терроризма и экстремизма в Амурской области на 2014-2020 годы» государственной программы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 утвержденной постановлением Правительства Амурской области от 25.09.2013 № 454, начата в 2014 году. Период реализации мероприятия: 2014-2015 годы. Расходы на реализацию мероприятия предусмотрены за счет средств областного бюджета в размере 29615,2 тыс. рублей.</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Проектные работы по объекту «Реконструкция здания для размещения специального учреждения для содержания иностранных граждан и лиц без гражданства, подлежащих административному выдворению за пределы Российской Федерации или депортации в </w:t>
      </w:r>
      <w:r w:rsidRPr="008B0BA4">
        <w:rPr>
          <w:rFonts w:ascii="Times New Roman" w:hAnsi="Times New Roman"/>
          <w:sz w:val="24"/>
          <w:szCs w:val="24"/>
        </w:rPr>
        <w:br/>
        <w:t>с. Белогорье, г. Благовещенск» (далее – Объект) выполнены ИП Помченко Н.К., г. Хабаровск (свидетельство от 26.09</w:t>
      </w:r>
      <w:r w:rsidR="002A7430">
        <w:rPr>
          <w:rFonts w:ascii="Times New Roman" w:hAnsi="Times New Roman"/>
          <w:sz w:val="24"/>
          <w:szCs w:val="24"/>
        </w:rPr>
        <w:t>.2013 № П-175-272328023605-01).</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На проект имеется положительное заключение государственной экспертизы по проверке достоверности определения сметной стоимости (реестровый № 28-1-6-0019-14 от 14.08.2014), выданное ГАУ «Амургосэкспертиза».</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lastRenderedPageBreak/>
        <w:t>Приказом ГКУ «Строитель» от 15.08.2014 № 100-од утверждена проектная документация по Объекту со сметной стоимостью 6186,3 тыс. рублей (в базисных ценах 2001 года) и 35913,9</w:t>
      </w:r>
      <w:r w:rsidRPr="008B0BA4">
        <w:rPr>
          <w:rFonts w:ascii="Times New Roman" w:hAnsi="Times New Roman"/>
          <w:b/>
          <w:sz w:val="24"/>
          <w:szCs w:val="24"/>
        </w:rPr>
        <w:t xml:space="preserve"> </w:t>
      </w:r>
      <w:r w:rsidRPr="008B0BA4">
        <w:rPr>
          <w:rFonts w:ascii="Times New Roman" w:hAnsi="Times New Roman"/>
          <w:sz w:val="24"/>
          <w:szCs w:val="24"/>
        </w:rPr>
        <w:t>тыс. рублей (в текущих ценах 2 квартала 201</w:t>
      </w:r>
      <w:r w:rsidR="002A7430">
        <w:rPr>
          <w:rFonts w:ascii="Times New Roman" w:hAnsi="Times New Roman"/>
          <w:sz w:val="24"/>
          <w:szCs w:val="24"/>
        </w:rPr>
        <w:t>4).</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Согласно разделу 5 Проекта организации строительства (27.04.05-ПОС) изменения объекта капитального строительства не затрагивают конструктивные и другие характеристики надежности и безопасности здания и не превышают предельные параметры разрешенной реконструкции, установленные градостроительным регламентом.</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Администрацией г. Благовещенска в письме от 25.06.2014 № 884/19 сообщено, что в соответствии с п.4 ч.17 ст. 51 Градостроительного кодекса Российской Федерации выдача разрешения на реконструкцию Объекта не требуется. Разрешение на реконструкцию Объекта Администрацией </w:t>
      </w:r>
      <w:r w:rsidR="002A7430">
        <w:rPr>
          <w:rFonts w:ascii="Times New Roman" w:hAnsi="Times New Roman"/>
          <w:sz w:val="24"/>
          <w:szCs w:val="24"/>
        </w:rPr>
        <w:t>г. Благовещенска не выдавалось.</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За ГКУ Амурской области «Строитель» на праве оперативного управления закреплено здание, расположенное по адресу: Амурская область, г. Благовещенск, </w:t>
      </w:r>
      <w:r w:rsidRPr="008B0BA4">
        <w:rPr>
          <w:rFonts w:ascii="Times New Roman" w:hAnsi="Times New Roman"/>
          <w:sz w:val="24"/>
          <w:szCs w:val="24"/>
        </w:rPr>
        <w:br/>
        <w:t>с. Белогорье ул. Релочная, 5 лит. А9, балансовой стоимостью 1323,9 тыс. рублей, остаточной стоимостью по состоянию на 09.01.2014 - 714,9 тыс. рублей (приказ министерства имущественных от</w:t>
      </w:r>
      <w:r w:rsidR="002A7430">
        <w:rPr>
          <w:rFonts w:ascii="Times New Roman" w:hAnsi="Times New Roman"/>
          <w:sz w:val="24"/>
          <w:szCs w:val="24"/>
        </w:rPr>
        <w:t>ношений от 10.01.2014 № 05-од).</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Здание управления на момент передачи находилось под обременением (в аренде сроком с 16.07.2005 по 15.07.2015). Согласно Уведомлению от 12.03.2015 </w:t>
      </w:r>
      <w:r w:rsidRPr="008B0BA4">
        <w:rPr>
          <w:rFonts w:ascii="Times New Roman" w:hAnsi="Times New Roman"/>
          <w:sz w:val="24"/>
          <w:szCs w:val="24"/>
        </w:rPr>
        <w:br/>
        <w:t>№ 28/101/003/2015-490  регистрационная запись об ограничении (обременении) погашена.</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Строительно-монтажные работы на объекте выполнялись ООО «Мрагвал», с которым ГКУ Амурской области «Строитель» по результатам открытого аукциона в электронной форме заключен государственный контракт от 30.09.2014 № 115. Общая стоимость работ по государственному контракту составляет 26710,8 тыс. рублей. Срок окончания работ – 25.05.2015.</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В 2014 году объем освоенных капитальных вложений составил 9658,3 тыс. рублей (в том числе строительно-монтажные работы – 8013,3 тыс. рублей, прочие работы – 521,6 тыс. рублей, проектно-изыскательски</w:t>
      </w:r>
      <w:r w:rsidR="002A7430">
        <w:rPr>
          <w:rFonts w:ascii="Times New Roman" w:hAnsi="Times New Roman"/>
          <w:sz w:val="24"/>
          <w:szCs w:val="24"/>
        </w:rPr>
        <w:t>е работы – 1123,4 тыс. рублей).</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Согласно справкам о стоимости выполненных работ и затрат (КС-3) и актам о приемке выполненных работ (КС-2) работы на Объекте в 2015 году выполнены на общую сумму 18697,6 тыс. руб</w:t>
      </w:r>
      <w:r w:rsidR="002A7430">
        <w:rPr>
          <w:rFonts w:ascii="Times New Roman" w:hAnsi="Times New Roman"/>
          <w:sz w:val="24"/>
          <w:szCs w:val="24"/>
        </w:rPr>
        <w:t>лей и оплачены в полном объеме.</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Проверкой установлено, что при реконструкции Объекта выявлены работы, которые не были учтены ИП Помченко Н.К. при проектировании, в связи с чем </w:t>
      </w:r>
      <w:r w:rsidRPr="008B0BA4">
        <w:rPr>
          <w:rFonts w:ascii="Times New Roman" w:eastAsia="Times New Roman" w:hAnsi="Times New Roman"/>
          <w:sz w:val="24"/>
          <w:szCs w:val="24"/>
          <w:lang w:eastAsia="ru-RU"/>
        </w:rPr>
        <w:t xml:space="preserve">ГКУ Амурской области «Строитель» </w:t>
      </w:r>
      <w:r w:rsidRPr="008B0BA4">
        <w:rPr>
          <w:rFonts w:ascii="Times New Roman" w:hAnsi="Times New Roman"/>
          <w:sz w:val="24"/>
          <w:szCs w:val="24"/>
        </w:rPr>
        <w:t xml:space="preserve">направлены письма с требованием внести корректировки в проектную документацию. В связи с неустранением замечаний заказчиком в адрес исполнителя направлена претензия с требованием об уплате штрафа за ненадлежащее исполнение обязательств, предусмотренных государственным контрактом от 24.03.2014 </w:t>
      </w:r>
      <w:r w:rsidRPr="008B0BA4">
        <w:rPr>
          <w:rFonts w:ascii="Times New Roman" w:hAnsi="Times New Roman"/>
          <w:sz w:val="24"/>
          <w:szCs w:val="24"/>
        </w:rPr>
        <w:br/>
        <w:t>№ 39, а впоследствии исковое заявление в Ар</w:t>
      </w:r>
      <w:r w:rsidR="00B55FEE">
        <w:rPr>
          <w:rFonts w:ascii="Times New Roman" w:hAnsi="Times New Roman"/>
          <w:sz w:val="24"/>
          <w:szCs w:val="24"/>
        </w:rPr>
        <w:t>битражный суд Амурской области.</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eastAsia="Times New Roman" w:hAnsi="Times New Roman"/>
          <w:sz w:val="24"/>
          <w:szCs w:val="24"/>
          <w:lang w:eastAsia="ru-RU"/>
        </w:rPr>
        <w:t xml:space="preserve">Решением Арбитражного суда Амурской области </w:t>
      </w:r>
      <w:r w:rsidRPr="008B0BA4">
        <w:rPr>
          <w:rFonts w:ascii="Times New Roman" w:hAnsi="Times New Roman"/>
          <w:sz w:val="24"/>
          <w:szCs w:val="24"/>
        </w:rPr>
        <w:t>от 08.04.2015</w:t>
      </w:r>
      <w:r w:rsidRPr="008B0BA4">
        <w:rPr>
          <w:rFonts w:ascii="Times New Roman" w:eastAsia="Times New Roman" w:hAnsi="Times New Roman"/>
          <w:sz w:val="24"/>
          <w:szCs w:val="24"/>
          <w:lang w:eastAsia="ru-RU"/>
        </w:rPr>
        <w:t xml:space="preserve"> по делу </w:t>
      </w:r>
      <w:r w:rsidRPr="008B0BA4">
        <w:rPr>
          <w:rFonts w:ascii="Times New Roman" w:eastAsia="Times New Roman" w:hAnsi="Times New Roman"/>
          <w:sz w:val="24"/>
          <w:szCs w:val="24"/>
          <w:lang w:eastAsia="ru-RU"/>
        </w:rPr>
        <w:br/>
        <w:t xml:space="preserve">№ А04-792/2015 удовлетворены исковые требования о взыскании </w:t>
      </w:r>
      <w:r w:rsidRPr="008B0BA4">
        <w:rPr>
          <w:rFonts w:ascii="Times New Roman" w:hAnsi="Times New Roman"/>
          <w:sz w:val="24"/>
          <w:szCs w:val="24"/>
        </w:rPr>
        <w:t xml:space="preserve">штрафа </w:t>
      </w:r>
      <w:r w:rsidRPr="008B0BA4">
        <w:rPr>
          <w:rFonts w:ascii="Times New Roman" w:eastAsia="Times New Roman" w:hAnsi="Times New Roman"/>
          <w:sz w:val="24"/>
          <w:szCs w:val="24"/>
          <w:lang w:eastAsia="ru-RU"/>
        </w:rPr>
        <w:t>с</w:t>
      </w:r>
      <w:r w:rsidRPr="008B0BA4">
        <w:rPr>
          <w:rFonts w:ascii="Times New Roman" w:hAnsi="Times New Roman"/>
          <w:sz w:val="24"/>
          <w:szCs w:val="24"/>
        </w:rPr>
        <w:t xml:space="preserve"> </w:t>
      </w:r>
      <w:r w:rsidRPr="008B0BA4">
        <w:rPr>
          <w:rFonts w:ascii="Times New Roman" w:hAnsi="Times New Roman"/>
          <w:sz w:val="24"/>
          <w:szCs w:val="24"/>
        </w:rPr>
        <w:br/>
        <w:t>ИП Помченко Н.К.</w:t>
      </w:r>
      <w:r w:rsidRPr="008B0BA4">
        <w:rPr>
          <w:rFonts w:ascii="Times New Roman" w:eastAsia="Times New Roman" w:hAnsi="Times New Roman"/>
          <w:sz w:val="24"/>
          <w:szCs w:val="24"/>
          <w:lang w:eastAsia="ru-RU"/>
        </w:rPr>
        <w:t xml:space="preserve"> </w:t>
      </w:r>
      <w:r w:rsidRPr="008B0BA4">
        <w:rPr>
          <w:rFonts w:ascii="Times New Roman" w:hAnsi="Times New Roman"/>
          <w:sz w:val="24"/>
          <w:szCs w:val="24"/>
        </w:rPr>
        <w:t>в размере 104,8 тыс. рублей за ненадлежащее исполнение обязательств, предусмотренных государственным контрактом от 24.03.</w:t>
      </w:r>
      <w:r w:rsidR="00B55FEE">
        <w:rPr>
          <w:rFonts w:ascii="Times New Roman" w:hAnsi="Times New Roman"/>
          <w:sz w:val="24"/>
          <w:szCs w:val="24"/>
        </w:rPr>
        <w:t>2014 № 39.</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За период 2014-2015 годы затраты по реконструкции Объекта составили 29374,6 тыс. рублей. К проверке представлен Акт приемки законченного строительством объекта от 25.05.2015 (форма КС-11).</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На основании приказа министерства имущественных отношений от 31.07.2015 </w:t>
      </w:r>
      <w:r w:rsidRPr="008B0BA4">
        <w:rPr>
          <w:rFonts w:ascii="Times New Roman" w:hAnsi="Times New Roman"/>
          <w:sz w:val="24"/>
          <w:szCs w:val="24"/>
        </w:rPr>
        <w:br/>
        <w:t xml:space="preserve">№ 509-од прекращено право оперативного управления ГКУ Амурской области «Строитель» на здание, расположенное по адресу: Амурская область, г. Благовещенск, с. Белогорье, </w:t>
      </w:r>
      <w:r w:rsidRPr="008B0BA4">
        <w:rPr>
          <w:rFonts w:ascii="Times New Roman" w:hAnsi="Times New Roman"/>
          <w:sz w:val="24"/>
          <w:szCs w:val="24"/>
        </w:rPr>
        <w:br/>
        <w:t>ул. Релочная, 5 лит. А9.</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Согласно извещению от 31.07.2015 № 7 ГКУ Амурской области «Строитель» на основании приказа министерства имущественных отношений от 31.07.2015 </w:t>
      </w:r>
      <w:r w:rsidRPr="008B0BA4">
        <w:rPr>
          <w:rFonts w:ascii="Times New Roman" w:hAnsi="Times New Roman"/>
          <w:sz w:val="24"/>
          <w:szCs w:val="24"/>
        </w:rPr>
        <w:br/>
        <w:t>№ 509-од по актам приема-передачи передано министерству имущественных отношений Амурской области имущество на сумму 30698,5 тыс. рублей, в том числе:</w:t>
      </w:r>
    </w:p>
    <w:p w:rsidR="008B0BA4" w:rsidRPr="00B55FEE" w:rsidRDefault="008B0BA4" w:rsidP="0014690C">
      <w:pPr>
        <w:pStyle w:val="afa"/>
        <w:numPr>
          <w:ilvl w:val="0"/>
          <w:numId w:val="45"/>
        </w:numPr>
        <w:tabs>
          <w:tab w:val="left" w:pos="851"/>
        </w:tabs>
        <w:jc w:val="both"/>
        <w:rPr>
          <w:sz w:val="24"/>
          <w:szCs w:val="24"/>
        </w:rPr>
      </w:pPr>
      <w:r w:rsidRPr="00B55FEE">
        <w:rPr>
          <w:sz w:val="24"/>
          <w:szCs w:val="24"/>
        </w:rPr>
        <w:t>здание – 26200,2 тыс. рублей;</w:t>
      </w:r>
    </w:p>
    <w:p w:rsidR="008B0BA4" w:rsidRPr="00B55FEE" w:rsidRDefault="008B0BA4" w:rsidP="0014690C">
      <w:pPr>
        <w:pStyle w:val="afa"/>
        <w:numPr>
          <w:ilvl w:val="0"/>
          <w:numId w:val="45"/>
        </w:numPr>
        <w:tabs>
          <w:tab w:val="left" w:pos="851"/>
        </w:tabs>
        <w:jc w:val="both"/>
        <w:rPr>
          <w:sz w:val="24"/>
          <w:szCs w:val="24"/>
        </w:rPr>
      </w:pPr>
      <w:r w:rsidRPr="00B55FEE">
        <w:rPr>
          <w:sz w:val="24"/>
          <w:szCs w:val="24"/>
        </w:rPr>
        <w:lastRenderedPageBreak/>
        <w:t>сети электроснабжения – 175,7 тыс. рублей;</w:t>
      </w:r>
    </w:p>
    <w:p w:rsidR="008B0BA4" w:rsidRPr="00B55FEE" w:rsidRDefault="008B0BA4" w:rsidP="0014690C">
      <w:pPr>
        <w:pStyle w:val="afa"/>
        <w:numPr>
          <w:ilvl w:val="0"/>
          <w:numId w:val="45"/>
        </w:numPr>
        <w:tabs>
          <w:tab w:val="left" w:pos="851"/>
        </w:tabs>
        <w:jc w:val="both"/>
        <w:rPr>
          <w:sz w:val="24"/>
          <w:szCs w:val="24"/>
        </w:rPr>
      </w:pPr>
      <w:r w:rsidRPr="00B55FEE">
        <w:rPr>
          <w:sz w:val="24"/>
          <w:szCs w:val="24"/>
        </w:rPr>
        <w:t>сети канализации – 35,0 тыс. рублей;</w:t>
      </w:r>
    </w:p>
    <w:p w:rsidR="008B0BA4" w:rsidRPr="00B55FEE" w:rsidRDefault="008B0BA4" w:rsidP="0014690C">
      <w:pPr>
        <w:pStyle w:val="afa"/>
        <w:numPr>
          <w:ilvl w:val="0"/>
          <w:numId w:val="45"/>
        </w:numPr>
        <w:tabs>
          <w:tab w:val="left" w:pos="851"/>
        </w:tabs>
        <w:jc w:val="both"/>
        <w:rPr>
          <w:sz w:val="24"/>
          <w:szCs w:val="24"/>
        </w:rPr>
      </w:pPr>
      <w:r w:rsidRPr="00B55FEE">
        <w:rPr>
          <w:sz w:val="24"/>
          <w:szCs w:val="24"/>
        </w:rPr>
        <w:t>благоустройство – 1658,5 тыс. рублей;</w:t>
      </w:r>
    </w:p>
    <w:p w:rsidR="008B0BA4" w:rsidRPr="00B55FEE" w:rsidRDefault="008B0BA4" w:rsidP="0014690C">
      <w:pPr>
        <w:pStyle w:val="afa"/>
        <w:numPr>
          <w:ilvl w:val="0"/>
          <w:numId w:val="45"/>
        </w:numPr>
        <w:tabs>
          <w:tab w:val="left" w:pos="851"/>
        </w:tabs>
        <w:jc w:val="both"/>
        <w:rPr>
          <w:sz w:val="24"/>
          <w:szCs w:val="24"/>
        </w:rPr>
      </w:pPr>
      <w:r w:rsidRPr="00B55FEE">
        <w:rPr>
          <w:sz w:val="24"/>
          <w:szCs w:val="24"/>
        </w:rPr>
        <w:t>наружное водоснабжение – 420,0 тыс. рублей;</w:t>
      </w:r>
    </w:p>
    <w:p w:rsidR="008B0BA4" w:rsidRPr="00B55FEE" w:rsidRDefault="008B0BA4" w:rsidP="0014690C">
      <w:pPr>
        <w:pStyle w:val="afa"/>
        <w:numPr>
          <w:ilvl w:val="0"/>
          <w:numId w:val="45"/>
        </w:numPr>
        <w:tabs>
          <w:tab w:val="left" w:pos="851"/>
        </w:tabs>
        <w:jc w:val="both"/>
        <w:rPr>
          <w:sz w:val="24"/>
          <w:szCs w:val="24"/>
        </w:rPr>
      </w:pPr>
      <w:r w:rsidRPr="00B55FEE">
        <w:rPr>
          <w:sz w:val="24"/>
          <w:szCs w:val="24"/>
        </w:rPr>
        <w:t>оборудование – 2209,1 тыс. рублей.</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На здание в управлении Федеральной службы государственной регистрации, кадастра и картографии по Амурской области оформлено право собственности Амурской области (свидетельство о государственной регистрации от 26.06.2015 серия 28АБ № 051386).</w:t>
      </w:r>
    </w:p>
    <w:p w:rsidR="008B0BA4" w:rsidRDefault="008B0BA4" w:rsidP="008B0BA4">
      <w:pPr>
        <w:autoSpaceDE w:val="0"/>
        <w:autoSpaceDN w:val="0"/>
        <w:adjustRightInd w:val="0"/>
        <w:spacing w:after="0" w:line="240" w:lineRule="auto"/>
        <w:ind w:firstLine="709"/>
        <w:jc w:val="both"/>
        <w:rPr>
          <w:rFonts w:ascii="Times New Roman" w:hAnsi="Times New Roman" w:cs="Times New Roman"/>
          <w:sz w:val="24"/>
          <w:szCs w:val="24"/>
        </w:rPr>
      </w:pPr>
      <w:r w:rsidRPr="008B0BA4">
        <w:rPr>
          <w:rFonts w:ascii="Times New Roman" w:hAnsi="Times New Roman" w:cs="Times New Roman"/>
          <w:sz w:val="24"/>
          <w:szCs w:val="24"/>
        </w:rPr>
        <w:t>Распоряжением Правительства Амурской области от 01.07.2015 № 81-р предоставлено согласие на заключение с Управлением Федеральной миграционной службы по Амурской области договора безвозмездного пользования областным недвижимым имуществом (здание для содержания иностранных граждан и лиц без гражданства, подлежащих административному выдворению за пределы Российской Федерации или депортации, в с. Белогорье, г. Благовещенск, общей площадь</w:t>
      </w:r>
      <w:r w:rsidR="00B55FEE">
        <w:rPr>
          <w:rFonts w:ascii="Times New Roman" w:hAnsi="Times New Roman" w:cs="Times New Roman"/>
          <w:sz w:val="24"/>
          <w:szCs w:val="24"/>
        </w:rPr>
        <w:t>ю 675,2 кв. м) сроком на 5 лет.</w:t>
      </w:r>
    </w:p>
    <w:p w:rsidR="008B0BA4" w:rsidRPr="008B0BA4" w:rsidRDefault="008B0BA4" w:rsidP="008B0BA4">
      <w:pPr>
        <w:autoSpaceDE w:val="0"/>
        <w:autoSpaceDN w:val="0"/>
        <w:adjustRightInd w:val="0"/>
        <w:spacing w:after="0" w:line="240" w:lineRule="auto"/>
        <w:ind w:firstLine="709"/>
        <w:jc w:val="both"/>
        <w:rPr>
          <w:rFonts w:ascii="Times New Roman" w:hAnsi="Times New Roman" w:cs="Times New Roman"/>
          <w:sz w:val="24"/>
          <w:szCs w:val="24"/>
        </w:rPr>
      </w:pPr>
    </w:p>
    <w:p w:rsidR="008B0BA4" w:rsidRPr="008B0BA4" w:rsidRDefault="008B0BA4" w:rsidP="0014690C">
      <w:pPr>
        <w:numPr>
          <w:ilvl w:val="0"/>
          <w:numId w:val="18"/>
        </w:numPr>
        <w:spacing w:after="0" w:line="240" w:lineRule="auto"/>
        <w:ind w:left="0" w:firstLine="709"/>
        <w:contextualSpacing/>
        <w:jc w:val="center"/>
        <w:rPr>
          <w:rFonts w:ascii="Times New Roman" w:hAnsi="Times New Roman" w:cs="Times New Roman"/>
          <w:b/>
          <w:sz w:val="24"/>
          <w:szCs w:val="24"/>
        </w:rPr>
      </w:pPr>
      <w:r w:rsidRPr="008B0BA4">
        <w:rPr>
          <w:rFonts w:ascii="Times New Roman" w:hAnsi="Times New Roman" w:cs="Times New Roman"/>
          <w:b/>
          <w:bCs/>
          <w:sz w:val="24"/>
          <w:szCs w:val="24"/>
        </w:rPr>
        <w:t>С</w:t>
      </w:r>
      <w:r w:rsidRPr="008B0BA4">
        <w:rPr>
          <w:rFonts w:ascii="Times New Roman" w:hAnsi="Times New Roman" w:cs="Times New Roman"/>
          <w:b/>
          <w:sz w:val="24"/>
          <w:szCs w:val="24"/>
        </w:rPr>
        <w:t>троительство малоэтажных быстровозводимых жилых домов для граждан, лишившихся жилых помещений вследствие чрезвычайной ситуации, вызванной крупномасштабным наводнением, произошедшим на территории Амурской области в августе-сентябре 2013 года</w:t>
      </w:r>
    </w:p>
    <w:p w:rsidR="008B0BA4" w:rsidRPr="008B0BA4" w:rsidRDefault="008B0BA4" w:rsidP="008B0BA4">
      <w:pPr>
        <w:spacing w:after="0" w:line="240" w:lineRule="auto"/>
        <w:ind w:firstLine="709"/>
        <w:contextualSpacing/>
        <w:jc w:val="both"/>
        <w:outlineLvl w:val="2"/>
        <w:rPr>
          <w:rFonts w:ascii="Times New Roman" w:hAnsi="Times New Roman"/>
          <w:sz w:val="24"/>
          <w:szCs w:val="24"/>
        </w:rPr>
      </w:pPr>
      <w:r w:rsidRPr="008B0BA4">
        <w:rPr>
          <w:rFonts w:ascii="Times New Roman" w:hAnsi="Times New Roman" w:cs="Times New Roman"/>
          <w:bCs/>
          <w:sz w:val="24"/>
          <w:szCs w:val="24"/>
        </w:rPr>
        <w:t xml:space="preserve">В 2015 году продолжено строительство жилых домов за счет средств, предусмотренных </w:t>
      </w:r>
      <w:r w:rsidRPr="008B0BA4">
        <w:rPr>
          <w:rFonts w:ascii="Times New Roman" w:hAnsi="Times New Roman"/>
          <w:bCs/>
          <w:sz w:val="24"/>
          <w:szCs w:val="24"/>
        </w:rPr>
        <w:t xml:space="preserve">договорами целевого пожертвования, </w:t>
      </w:r>
      <w:r w:rsidRPr="008B0BA4">
        <w:rPr>
          <w:rFonts w:ascii="Times New Roman" w:hAnsi="Times New Roman" w:cs="Times New Roman"/>
          <w:bCs/>
          <w:sz w:val="24"/>
          <w:szCs w:val="24"/>
        </w:rPr>
        <w:t xml:space="preserve">заключенными между </w:t>
      </w:r>
      <w:r w:rsidRPr="008B0BA4">
        <w:rPr>
          <w:rFonts w:ascii="Times New Roman" w:hAnsi="Times New Roman"/>
          <w:bCs/>
          <w:sz w:val="24"/>
          <w:szCs w:val="24"/>
        </w:rPr>
        <w:t xml:space="preserve">Правительством Амурской области и ОАО «Первый канал», согласно которым ОАО «Первый канал» на основании ст. 582 Гражданского кодекса Российской Федерации, Федерального закона от 11.08.1995 № 135 «О благотворительной деятельности и благотворительных организациях» в рамках благотворительного марафона «Всем миром» осуществляет пожертвование в форме безвозмездной передачи Правительству Амурской области денежных средств в </w:t>
      </w:r>
      <w:r w:rsidRPr="008B0BA4">
        <w:rPr>
          <w:rFonts w:ascii="Times New Roman" w:hAnsi="Times New Roman"/>
          <w:sz w:val="24"/>
          <w:szCs w:val="24"/>
        </w:rPr>
        <w:t>общей сумме 264160,0 тыс. рублей.</w:t>
      </w:r>
    </w:p>
    <w:p w:rsidR="008B0BA4" w:rsidRPr="008B0BA4" w:rsidRDefault="008B0BA4" w:rsidP="008B0BA4">
      <w:pPr>
        <w:autoSpaceDE w:val="0"/>
        <w:autoSpaceDN w:val="0"/>
        <w:adjustRightInd w:val="0"/>
        <w:spacing w:after="0" w:line="240" w:lineRule="auto"/>
        <w:ind w:firstLine="709"/>
        <w:jc w:val="both"/>
        <w:rPr>
          <w:rFonts w:ascii="Times New Roman" w:hAnsi="Times New Roman"/>
          <w:bCs/>
          <w:sz w:val="24"/>
          <w:szCs w:val="24"/>
        </w:rPr>
      </w:pPr>
      <w:r w:rsidRPr="008B0BA4">
        <w:rPr>
          <w:rFonts w:ascii="Times New Roman" w:hAnsi="Times New Roman"/>
          <w:bCs/>
          <w:sz w:val="24"/>
          <w:szCs w:val="24"/>
        </w:rPr>
        <w:t>Согласно заключенным договорам цель использования пожертвования – оказание помощи гражданам, пострадавшим в результате наводнения, произошедшего на территории Амурской области в 2013 году, а именно: проектирование и строительство индивидуальных жилых домов экономического класса на территории Амурской области для граждан, постра</w:t>
      </w:r>
      <w:r w:rsidR="00B55FEE">
        <w:rPr>
          <w:rFonts w:ascii="Times New Roman" w:hAnsi="Times New Roman"/>
          <w:bCs/>
          <w:sz w:val="24"/>
          <w:szCs w:val="24"/>
        </w:rPr>
        <w:t>давших в результате наводнения.</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По состоянию на 01.01.2015 года осуществлено строительство и введены в эксплуатацию следующие объекты:</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-24 индивидуальных жилых дома экономического класса на территории: Амурская область, Благовещенский район, с. Волково;</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-трехэтажный жилой дом, состоящий из 14 квартир на территории: Амурская область, г. Свободный, квартал 69;</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-4 двухквартирных жилых дома, состоящих из двух квартир каждый, на территории: Амурская область, Зейский район, с. Сосновый Бор;</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-блокированный жилой дом общей площадью 432 кв. м из предусмотренных Д</w:t>
      </w:r>
      <w:r w:rsidRPr="008B0BA4">
        <w:rPr>
          <w:rFonts w:ascii="Times New Roman" w:hAnsi="Times New Roman"/>
          <w:bCs/>
          <w:sz w:val="24"/>
          <w:szCs w:val="24"/>
        </w:rPr>
        <w:t xml:space="preserve">оговором </w:t>
      </w:r>
      <w:r w:rsidRPr="008B0BA4">
        <w:rPr>
          <w:rFonts w:ascii="Times New Roman" w:hAnsi="Times New Roman"/>
          <w:sz w:val="24"/>
          <w:szCs w:val="24"/>
        </w:rPr>
        <w:t>32 индивидуальных жилых домов экономического класса на территории: Амурская область, Благовещенский район, с. Чигири.</w:t>
      </w:r>
    </w:p>
    <w:p w:rsidR="008B0BA4" w:rsidRPr="008B0BA4" w:rsidRDefault="008B0BA4" w:rsidP="008B0BA4">
      <w:pPr>
        <w:autoSpaceDE w:val="0"/>
        <w:autoSpaceDN w:val="0"/>
        <w:adjustRightInd w:val="0"/>
        <w:spacing w:after="0" w:line="240" w:lineRule="auto"/>
        <w:ind w:firstLine="709"/>
        <w:jc w:val="both"/>
        <w:rPr>
          <w:rFonts w:ascii="Times New Roman" w:hAnsi="Times New Roman" w:cs="Times New Roman"/>
          <w:sz w:val="24"/>
          <w:szCs w:val="24"/>
        </w:rPr>
      </w:pPr>
      <w:r w:rsidRPr="008B0BA4">
        <w:rPr>
          <w:rFonts w:ascii="Times New Roman" w:hAnsi="Times New Roman" w:cs="Times New Roman"/>
          <w:sz w:val="24"/>
          <w:szCs w:val="24"/>
        </w:rPr>
        <w:t xml:space="preserve">Согласно ст.7 </w:t>
      </w:r>
      <w:r w:rsidRPr="008B0BA4">
        <w:rPr>
          <w:rFonts w:ascii="Times New Roman" w:hAnsi="Times New Roman" w:cs="Times New Roman"/>
          <w:bCs/>
          <w:sz w:val="24"/>
          <w:szCs w:val="24"/>
        </w:rPr>
        <w:t>Закона Амурской области от 10.12.2014 № 458-ОЗ «Об областном бюджете на 2015 год и плановый период 2016 и 2017 годов»</w:t>
      </w:r>
      <w:r w:rsidRPr="008B0BA4">
        <w:rPr>
          <w:rFonts w:ascii="Times New Roman" w:hAnsi="Times New Roman" w:cs="Times New Roman"/>
          <w:sz w:val="24"/>
          <w:szCs w:val="24"/>
        </w:rPr>
        <w:t xml:space="preserve"> не использованные по состоянию на 01.01.2015 года добровольные взносы и пожертвования, поступившие в </w:t>
      </w:r>
      <w:r w:rsidRPr="008B0BA4">
        <w:rPr>
          <w:rFonts w:ascii="Times New Roman" w:hAnsi="Times New Roman" w:cs="Times New Roman"/>
          <w:sz w:val="24"/>
          <w:szCs w:val="24"/>
        </w:rPr>
        <w:br/>
        <w:t>2013-2014 годах и поступающие в 2015 году в доход областного бюджета от физических и юридических лиц в связи с чрезвычайной ситуацией в Амурской области, предоставляются на основании решений Правительства области в порядке, установленном законодательством Российской Федерации, главным распорядителям средств областного бюджета для расходования указанных средств на достижение целей, для которых они предназначены.</w:t>
      </w:r>
    </w:p>
    <w:p w:rsidR="008B0BA4" w:rsidRPr="008B0BA4" w:rsidRDefault="008B0BA4" w:rsidP="008B0BA4">
      <w:pPr>
        <w:autoSpaceDE w:val="0"/>
        <w:autoSpaceDN w:val="0"/>
        <w:adjustRightInd w:val="0"/>
        <w:spacing w:after="0" w:line="240" w:lineRule="auto"/>
        <w:ind w:firstLine="709"/>
        <w:jc w:val="both"/>
        <w:rPr>
          <w:rFonts w:ascii="Times New Roman" w:hAnsi="Times New Roman" w:cs="Times New Roman"/>
          <w:sz w:val="24"/>
          <w:szCs w:val="24"/>
        </w:rPr>
      </w:pPr>
      <w:r w:rsidRPr="008B0BA4">
        <w:rPr>
          <w:rFonts w:ascii="Times New Roman" w:hAnsi="Times New Roman" w:cs="Times New Roman"/>
          <w:sz w:val="24"/>
          <w:szCs w:val="24"/>
        </w:rPr>
        <w:t xml:space="preserve">В 2015 году ГКУ Амурской области «Строитель» предоставлены бюджетные инвестиции в форме капитальных вложений в объекты капитального строительства в сумме </w:t>
      </w:r>
      <w:r w:rsidRPr="008B0BA4">
        <w:rPr>
          <w:rFonts w:ascii="Times New Roman" w:hAnsi="Times New Roman" w:cs="Times New Roman"/>
          <w:sz w:val="24"/>
          <w:szCs w:val="24"/>
        </w:rPr>
        <w:lastRenderedPageBreak/>
        <w:t xml:space="preserve">30646,5 тыс. рублей, поступившие в доход областного бюджета по договорам целевого пожертвования денежных средств, заключенным между Правительством области и </w:t>
      </w:r>
      <w:r w:rsidRPr="008B0BA4">
        <w:rPr>
          <w:rFonts w:ascii="Times New Roman" w:hAnsi="Times New Roman" w:cs="Times New Roman"/>
          <w:sz w:val="24"/>
          <w:szCs w:val="24"/>
        </w:rPr>
        <w:br/>
        <w:t>ОАО «Первый канал», и не использованные в 2014 году, для использования их в текущем году на те же цели, в том числе по объектам:</w:t>
      </w:r>
    </w:p>
    <w:p w:rsidR="008B0BA4" w:rsidRPr="008B0BA4" w:rsidRDefault="008B0BA4" w:rsidP="0014690C">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B0BA4">
        <w:rPr>
          <w:rFonts w:ascii="Times New Roman" w:hAnsi="Times New Roman" w:cs="Times New Roman"/>
          <w:sz w:val="24"/>
          <w:szCs w:val="24"/>
        </w:rPr>
        <w:t>с. Сосновый Бор Зейского района Амурской области:</w:t>
      </w:r>
    </w:p>
    <w:p w:rsidR="008B0BA4" w:rsidRPr="008B0BA4" w:rsidRDefault="008B0BA4" w:rsidP="008B0BA4">
      <w:pPr>
        <w:autoSpaceDE w:val="0"/>
        <w:autoSpaceDN w:val="0"/>
        <w:adjustRightInd w:val="0"/>
        <w:spacing w:after="0" w:line="240" w:lineRule="auto"/>
        <w:ind w:firstLine="709"/>
        <w:jc w:val="both"/>
        <w:rPr>
          <w:rFonts w:ascii="Times New Roman" w:hAnsi="Times New Roman" w:cs="Times New Roman"/>
          <w:sz w:val="24"/>
          <w:szCs w:val="24"/>
        </w:rPr>
      </w:pPr>
      <w:r w:rsidRPr="008B0BA4">
        <w:rPr>
          <w:rFonts w:ascii="Times New Roman" w:hAnsi="Times New Roman" w:cs="Times New Roman"/>
          <w:sz w:val="24"/>
          <w:szCs w:val="24"/>
        </w:rPr>
        <w:t>-распоряжением Правительства Амурской области от 16.01.2015 № 1-р «О внесении изменения в распоряжение Правительства области от 04.06.2014 № 131-р» на строительство малоэтажных быстровозводимых жилых домов объем денежных средств увеличен на сумму 978,7 тыс. рублей;</w:t>
      </w:r>
    </w:p>
    <w:p w:rsidR="008B0BA4" w:rsidRPr="008B0BA4" w:rsidRDefault="008B0BA4" w:rsidP="008B0BA4">
      <w:pPr>
        <w:autoSpaceDE w:val="0"/>
        <w:autoSpaceDN w:val="0"/>
        <w:adjustRightInd w:val="0"/>
        <w:spacing w:after="0" w:line="240" w:lineRule="auto"/>
        <w:ind w:firstLine="709"/>
        <w:jc w:val="both"/>
        <w:rPr>
          <w:rFonts w:ascii="Times New Roman" w:hAnsi="Times New Roman" w:cs="Times New Roman"/>
          <w:sz w:val="24"/>
          <w:szCs w:val="24"/>
        </w:rPr>
      </w:pPr>
      <w:r w:rsidRPr="008B0BA4">
        <w:rPr>
          <w:rFonts w:ascii="Times New Roman" w:hAnsi="Times New Roman" w:cs="Times New Roman"/>
          <w:sz w:val="24"/>
          <w:szCs w:val="24"/>
        </w:rPr>
        <w:t xml:space="preserve">-распоряжением Правительства Амурской области от </w:t>
      </w:r>
      <w:smartTag w:uri="urn:schemas-microsoft-com:office:smarttags" w:element="date">
        <w:smartTagPr>
          <w:attr w:name="Year" w:val="2015"/>
          <w:attr w:name="Day" w:val="07"/>
          <w:attr w:name="Month" w:val="05"/>
          <w:attr w:name="ls" w:val="trans"/>
        </w:smartTagPr>
        <w:r w:rsidRPr="008B0BA4">
          <w:rPr>
            <w:rFonts w:ascii="Times New Roman" w:hAnsi="Times New Roman" w:cs="Times New Roman"/>
            <w:sz w:val="24"/>
            <w:szCs w:val="24"/>
          </w:rPr>
          <w:t>07.05.2015</w:t>
        </w:r>
      </w:smartTag>
      <w:r w:rsidRPr="008B0BA4">
        <w:rPr>
          <w:rFonts w:ascii="Times New Roman" w:hAnsi="Times New Roman" w:cs="Times New Roman"/>
          <w:sz w:val="24"/>
          <w:szCs w:val="24"/>
        </w:rPr>
        <w:t xml:space="preserve"> № 58-р «О выделении средств за счет добровольных взносов и пожертвований» на проектирование и строительство внутриплощадочных инженерных и инфраструктурных объектов на территории для граждан, пострадавших в результате наводнения, п</w:t>
      </w:r>
      <w:r w:rsidR="00B55FEE">
        <w:rPr>
          <w:rFonts w:ascii="Times New Roman" w:hAnsi="Times New Roman" w:cs="Times New Roman"/>
          <w:sz w:val="24"/>
          <w:szCs w:val="24"/>
        </w:rPr>
        <w:t>редусмотрено 231,9 тыс. рублей;</w:t>
      </w:r>
    </w:p>
    <w:p w:rsidR="008B0BA4" w:rsidRPr="008B0BA4" w:rsidRDefault="008B0BA4" w:rsidP="0014690C">
      <w:pPr>
        <w:numPr>
          <w:ilvl w:val="0"/>
          <w:numId w:val="18"/>
        </w:numPr>
        <w:tabs>
          <w:tab w:val="left" w:pos="993"/>
        </w:tabs>
        <w:autoSpaceDE w:val="0"/>
        <w:autoSpaceDN w:val="0"/>
        <w:adjustRightInd w:val="0"/>
        <w:spacing w:after="0" w:line="240" w:lineRule="auto"/>
        <w:ind w:left="142" w:firstLine="567"/>
        <w:jc w:val="both"/>
        <w:rPr>
          <w:rFonts w:ascii="Times New Roman" w:hAnsi="Times New Roman" w:cs="Times New Roman"/>
          <w:sz w:val="24"/>
          <w:szCs w:val="24"/>
        </w:rPr>
      </w:pPr>
      <w:r w:rsidRPr="008B0BA4">
        <w:rPr>
          <w:rFonts w:ascii="Times New Roman" w:hAnsi="Times New Roman" w:cs="Times New Roman"/>
          <w:sz w:val="24"/>
          <w:szCs w:val="24"/>
        </w:rPr>
        <w:t xml:space="preserve"> с. Чигири Благовещенского района Амурской области:</w:t>
      </w:r>
    </w:p>
    <w:p w:rsidR="008B0BA4" w:rsidRPr="008B0BA4" w:rsidRDefault="008B0BA4" w:rsidP="008B0BA4">
      <w:pPr>
        <w:autoSpaceDE w:val="0"/>
        <w:autoSpaceDN w:val="0"/>
        <w:adjustRightInd w:val="0"/>
        <w:spacing w:after="0" w:line="240" w:lineRule="auto"/>
        <w:ind w:firstLine="709"/>
        <w:jc w:val="both"/>
        <w:rPr>
          <w:rFonts w:ascii="Times New Roman" w:hAnsi="Times New Roman" w:cs="Times New Roman"/>
          <w:sz w:val="24"/>
          <w:szCs w:val="24"/>
        </w:rPr>
      </w:pPr>
      <w:r w:rsidRPr="008B0BA4">
        <w:rPr>
          <w:rFonts w:ascii="Times New Roman" w:hAnsi="Times New Roman" w:cs="Times New Roman"/>
          <w:sz w:val="24"/>
          <w:szCs w:val="24"/>
        </w:rPr>
        <w:t xml:space="preserve">-распоряжением Правительства Амурской области от 07.05.2015 № 57-р «О выделении средств за счет добровольных взносов и пожертвований» на строительство </w:t>
      </w:r>
      <w:r w:rsidRPr="008B0BA4">
        <w:rPr>
          <w:rFonts w:ascii="Times New Roman" w:hAnsi="Times New Roman" w:cs="Times New Roman"/>
          <w:sz w:val="24"/>
          <w:szCs w:val="24"/>
        </w:rPr>
        <w:br/>
        <w:t>32 индивидуальных жилых домов экономического класса на территории для граждан, пострадавших в результате наводнения, предусмотрено 21325,3 тыс. рублей;</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-распоряжением Правительства Амурской области от 07.05.2015 № 59-р «О выделении средств за счет добровольных взносов и пожертвований» предусмотрено </w:t>
      </w:r>
      <w:r w:rsidRPr="008B0BA4">
        <w:rPr>
          <w:rFonts w:ascii="Times New Roman" w:hAnsi="Times New Roman"/>
          <w:sz w:val="24"/>
          <w:szCs w:val="24"/>
        </w:rPr>
        <w:br/>
        <w:t>8110,6 тыс. рублей</w:t>
      </w:r>
      <w:r w:rsidRPr="008B0BA4">
        <w:rPr>
          <w:rFonts w:ascii="Times New Roman" w:hAnsi="Times New Roman"/>
          <w:i/>
          <w:sz w:val="24"/>
          <w:szCs w:val="24"/>
        </w:rPr>
        <w:t>,</w:t>
      </w:r>
      <w:r w:rsidRPr="008B0BA4">
        <w:rPr>
          <w:rFonts w:ascii="Times New Roman" w:hAnsi="Times New Roman"/>
          <w:sz w:val="24"/>
          <w:szCs w:val="24"/>
        </w:rPr>
        <w:t xml:space="preserve"> в том числе на проектирование и строительство внутриплощадочных инженерных и инфраструктурных объектов, на оплату коммунальных расходов, затрат перед ресурсоснабжающими организациями на содержание малоэтажны</w:t>
      </w:r>
      <w:r w:rsidR="00B55FEE">
        <w:rPr>
          <w:rFonts w:ascii="Times New Roman" w:hAnsi="Times New Roman"/>
          <w:sz w:val="24"/>
          <w:szCs w:val="24"/>
        </w:rPr>
        <w:t>х быстровозводимых жилых домов.</w:t>
      </w:r>
    </w:p>
    <w:p w:rsidR="008B0BA4" w:rsidRPr="008B0BA4" w:rsidRDefault="008B0BA4" w:rsidP="008B0BA4">
      <w:pPr>
        <w:tabs>
          <w:tab w:val="left" w:pos="851"/>
        </w:tabs>
        <w:spacing w:after="0" w:line="240" w:lineRule="auto"/>
        <w:ind w:firstLine="709"/>
        <w:jc w:val="both"/>
        <w:rPr>
          <w:rFonts w:ascii="Times New Roman" w:hAnsi="Times New Roman"/>
          <w:i/>
          <w:sz w:val="26"/>
          <w:szCs w:val="26"/>
        </w:rPr>
      </w:pPr>
    </w:p>
    <w:p w:rsidR="008B0BA4" w:rsidRPr="008B0BA4" w:rsidRDefault="008B0BA4" w:rsidP="0014690C">
      <w:pPr>
        <w:numPr>
          <w:ilvl w:val="0"/>
          <w:numId w:val="20"/>
        </w:numPr>
        <w:tabs>
          <w:tab w:val="left" w:pos="851"/>
        </w:tabs>
        <w:spacing w:after="0" w:line="240" w:lineRule="auto"/>
        <w:contextualSpacing/>
        <w:jc w:val="both"/>
        <w:rPr>
          <w:rFonts w:ascii="Times New Roman" w:hAnsi="Times New Roman" w:cs="Times New Roman"/>
          <w:b/>
          <w:sz w:val="24"/>
          <w:szCs w:val="24"/>
          <w:lang w:eastAsia="ru-RU"/>
        </w:rPr>
      </w:pPr>
      <w:r w:rsidRPr="008B0BA4">
        <w:rPr>
          <w:rFonts w:ascii="Times New Roman" w:hAnsi="Times New Roman" w:cs="Times New Roman"/>
          <w:b/>
          <w:sz w:val="24"/>
          <w:szCs w:val="24"/>
          <w:lang w:eastAsia="ru-RU"/>
        </w:rPr>
        <w:t>Строительство малоэтажных быстровозводимых жилых домов для граждан, лишившихся жилых помещений вследствие чрезвычайной ситуации, вызванной крупномасштабным наводнением, произошедшим на территории Амурской области в августе-сентябре 2013 года, с. Сосновый Бор Зейского района</w:t>
      </w:r>
    </w:p>
    <w:p w:rsidR="008B0BA4" w:rsidRPr="008B0BA4" w:rsidRDefault="008B0BA4" w:rsidP="008B0BA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0BA4">
        <w:rPr>
          <w:rFonts w:ascii="Times New Roman" w:hAnsi="Times New Roman"/>
          <w:sz w:val="24"/>
          <w:szCs w:val="24"/>
        </w:rPr>
        <w:t xml:space="preserve">Строительство объектов начато в 2014 году. По состоянию на 01.01.2015 </w:t>
      </w:r>
      <w:r w:rsidRPr="008B0BA4">
        <w:rPr>
          <w:rFonts w:ascii="Times New Roman" w:hAnsi="Times New Roman"/>
          <w:sz w:val="24"/>
          <w:szCs w:val="24"/>
        </w:rPr>
        <w:br/>
        <w:t xml:space="preserve">ОАО «Амурское ипотечное агентство», являющееся подрядчиком по строительству домов, </w:t>
      </w:r>
      <w:r w:rsidRPr="008B0BA4">
        <w:rPr>
          <w:rFonts w:ascii="Times New Roman" w:eastAsia="Times New Roman" w:hAnsi="Times New Roman"/>
          <w:sz w:val="24"/>
          <w:szCs w:val="24"/>
          <w:lang w:eastAsia="ru-RU"/>
        </w:rPr>
        <w:t xml:space="preserve">предъявлено, а заказчиком-застройщиком - ГКУ Амурской области «Строитель» принято к оплате и оплачено </w:t>
      </w:r>
      <w:r w:rsidRPr="008B0BA4">
        <w:rPr>
          <w:rFonts w:ascii="Times New Roman" w:hAnsi="Times New Roman"/>
          <w:sz w:val="24"/>
          <w:szCs w:val="24"/>
        </w:rPr>
        <w:t xml:space="preserve">16892,9 тыс. рублей, или 94,5 процента </w:t>
      </w:r>
      <w:r w:rsidRPr="008B0BA4">
        <w:rPr>
          <w:rFonts w:ascii="Times New Roman" w:eastAsia="Times New Roman" w:hAnsi="Times New Roman"/>
          <w:sz w:val="24"/>
          <w:szCs w:val="24"/>
          <w:lang w:eastAsia="ru-RU"/>
        </w:rPr>
        <w:t xml:space="preserve">объемов, предусмотренных условиями </w:t>
      </w:r>
      <w:r w:rsidRPr="008B0BA4">
        <w:rPr>
          <w:rFonts w:ascii="Times New Roman" w:hAnsi="Times New Roman"/>
          <w:sz w:val="24"/>
          <w:szCs w:val="24"/>
        </w:rPr>
        <w:t>государственного</w:t>
      </w:r>
      <w:r w:rsidRPr="008B0BA4">
        <w:rPr>
          <w:rFonts w:ascii="Times New Roman" w:eastAsia="Times New Roman" w:hAnsi="Times New Roman"/>
          <w:sz w:val="24"/>
          <w:szCs w:val="24"/>
          <w:lang w:eastAsia="ru-RU"/>
        </w:rPr>
        <w:t xml:space="preserve"> контракта.</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Малоэтажные быстровозводимые жилые дома для граждан, лишившихся жилых помещений вследствие чрезвычайной ситуации, вызванной крупномасштабным наводнением, произошедшим на территории Амурской области в августе-сентябре 2013 года, расположенные по адресу: Зейский район, с. Сосновый Бор, ул. Трудовая, №№ 51, 53, 55, 57, введены в эксплуатацию в августе 2014</w:t>
      </w:r>
      <w:r w:rsidRPr="008B0BA4">
        <w:rPr>
          <w:rFonts w:ascii="Times New Roman" w:hAnsi="Times New Roman"/>
          <w:i/>
          <w:sz w:val="24"/>
          <w:szCs w:val="24"/>
        </w:rPr>
        <w:t xml:space="preserve"> </w:t>
      </w:r>
      <w:r w:rsidRPr="008B0BA4">
        <w:rPr>
          <w:rFonts w:ascii="Times New Roman" w:hAnsi="Times New Roman"/>
          <w:sz w:val="24"/>
          <w:szCs w:val="24"/>
        </w:rPr>
        <w:t>года</w:t>
      </w:r>
      <w:r w:rsidRPr="008B0BA4">
        <w:rPr>
          <w:rFonts w:ascii="Times New Roman" w:hAnsi="Times New Roman"/>
          <w:i/>
          <w:sz w:val="24"/>
          <w:szCs w:val="24"/>
        </w:rPr>
        <w:t xml:space="preserve"> </w:t>
      </w:r>
      <w:r w:rsidRPr="008B0BA4">
        <w:rPr>
          <w:rFonts w:ascii="Times New Roman" w:hAnsi="Times New Roman"/>
          <w:sz w:val="24"/>
          <w:szCs w:val="24"/>
        </w:rPr>
        <w:t>(разрешение на ввод объекта в эксплуатацию администрации Зейского района Амурской области от 25.08.2014, акты приемки законченных строительством объектов от 24.08.2014 (ф. КС-11)). В соответствии с постановлением Правительства Амурской области от 30.12.2014 № 796 «О безвозмездной передаче имущества, находящегося в казне области, из собственности Амурской области в собственность муниципального образования Сосновоборский сельсовет» осуществлена безвозмездная передача из собственности Амурской области в собственность муниципального образования Сосновоборский сельсовет имущества - 4 двухквартирных жилых дома.</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Проверкой установлено, что в 2015 году в</w:t>
      </w:r>
      <w:r w:rsidRPr="008B0BA4">
        <w:rPr>
          <w:rFonts w:ascii="Times New Roman" w:hAnsi="Times New Roman"/>
          <w:bCs/>
          <w:sz w:val="24"/>
          <w:szCs w:val="24"/>
        </w:rPr>
        <w:t xml:space="preserve"> соответствии с распоряжениями Правительства Амурской области объем финансирования </w:t>
      </w:r>
      <w:r w:rsidRPr="008B0BA4">
        <w:rPr>
          <w:rFonts w:ascii="Times New Roman" w:hAnsi="Times New Roman"/>
          <w:sz w:val="24"/>
          <w:szCs w:val="24"/>
        </w:rPr>
        <w:t>составил 1210,6 тыс. рублей, использовано денежных средств в объеме 1210,6 тыс. рублей, или 100 пр</w:t>
      </w:r>
      <w:r w:rsidR="00B55FEE">
        <w:rPr>
          <w:rFonts w:ascii="Times New Roman" w:hAnsi="Times New Roman"/>
          <w:sz w:val="24"/>
          <w:szCs w:val="24"/>
        </w:rPr>
        <w:t>оцентов бюджетных ассигнований.</w:t>
      </w:r>
    </w:p>
    <w:p w:rsidR="008B0BA4" w:rsidRPr="008B0BA4" w:rsidRDefault="008B0BA4" w:rsidP="008B0BA4">
      <w:pPr>
        <w:spacing w:after="0" w:line="240" w:lineRule="auto"/>
        <w:ind w:firstLine="709"/>
        <w:jc w:val="both"/>
        <w:outlineLvl w:val="2"/>
        <w:rPr>
          <w:rFonts w:ascii="Times New Roman" w:hAnsi="Times New Roman"/>
          <w:sz w:val="24"/>
          <w:szCs w:val="24"/>
        </w:rPr>
      </w:pPr>
      <w:r w:rsidRPr="008B0BA4">
        <w:rPr>
          <w:rFonts w:ascii="Times New Roman" w:hAnsi="Times New Roman"/>
          <w:sz w:val="24"/>
          <w:szCs w:val="24"/>
        </w:rPr>
        <w:lastRenderedPageBreak/>
        <w:t>Согласно актам о приемке выполненных работ (форма № КС-2) и справкам о стоимости выполненных работ и затрат (форма № КС-3), объем освоенных капитальных вложений на объекте составил 1751,7 тыс. рублей, в том числе:</w:t>
      </w:r>
    </w:p>
    <w:p w:rsidR="008B0BA4" w:rsidRPr="008B0BA4" w:rsidRDefault="008B0BA4" w:rsidP="008B0BA4">
      <w:pPr>
        <w:spacing w:after="0" w:line="240" w:lineRule="auto"/>
        <w:ind w:firstLine="709"/>
        <w:jc w:val="both"/>
        <w:outlineLvl w:val="2"/>
        <w:rPr>
          <w:rFonts w:ascii="Times New Roman" w:hAnsi="Times New Roman"/>
          <w:sz w:val="24"/>
          <w:szCs w:val="24"/>
        </w:rPr>
      </w:pPr>
      <w:r w:rsidRPr="008B0BA4">
        <w:rPr>
          <w:rFonts w:ascii="Times New Roman" w:hAnsi="Times New Roman"/>
          <w:sz w:val="24"/>
          <w:szCs w:val="24"/>
        </w:rPr>
        <w:t>-ООО «Заборторг» строительство детской площадки на сумму</w:t>
      </w:r>
      <w:r w:rsidRPr="008B0BA4">
        <w:rPr>
          <w:rFonts w:ascii="Times New Roman" w:hAnsi="Times New Roman"/>
          <w:i/>
          <w:sz w:val="24"/>
          <w:szCs w:val="24"/>
        </w:rPr>
        <w:t xml:space="preserve"> </w:t>
      </w:r>
      <w:r w:rsidRPr="008B0BA4">
        <w:rPr>
          <w:rFonts w:ascii="Times New Roman" w:hAnsi="Times New Roman"/>
          <w:sz w:val="24"/>
          <w:szCs w:val="24"/>
        </w:rPr>
        <w:t>773,0 тыс. рублей (акты выполненных работ от 24.11.2015);</w:t>
      </w:r>
    </w:p>
    <w:p w:rsidR="008B0BA4" w:rsidRPr="008B0BA4" w:rsidRDefault="008B0BA4" w:rsidP="008B0BA4">
      <w:pPr>
        <w:spacing w:after="0" w:line="240" w:lineRule="auto"/>
        <w:ind w:firstLine="709"/>
        <w:jc w:val="both"/>
        <w:outlineLvl w:val="2"/>
        <w:rPr>
          <w:rFonts w:ascii="Times New Roman" w:hAnsi="Times New Roman"/>
          <w:sz w:val="24"/>
          <w:szCs w:val="24"/>
        </w:rPr>
      </w:pPr>
      <w:r w:rsidRPr="008B0BA4">
        <w:rPr>
          <w:rFonts w:ascii="Times New Roman" w:hAnsi="Times New Roman"/>
          <w:sz w:val="24"/>
          <w:szCs w:val="24"/>
        </w:rPr>
        <w:t>-ОАО «Амурское ипотечное агентство» работы по завершению строительства двух двухквартирных жилых домов на сумму 978,7 тыс. рублей (акты вы</w:t>
      </w:r>
      <w:r w:rsidR="00B55FEE">
        <w:rPr>
          <w:rFonts w:ascii="Times New Roman" w:hAnsi="Times New Roman"/>
          <w:sz w:val="24"/>
          <w:szCs w:val="24"/>
        </w:rPr>
        <w:t>полненных работ от 26.03.2015).</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ГКУ Амурской области «Строитель» переданы муниципальному образованию Сосновоборский сельсовет – объемы освоенных капитальных вложений на объекте по двум двухквартирным жилым домам (ул. Трудовая, 51; ул. Трудовая, 55) за 2015 год в сумме </w:t>
      </w:r>
      <w:r w:rsidRPr="008B0BA4">
        <w:rPr>
          <w:rFonts w:ascii="Times New Roman" w:hAnsi="Times New Roman"/>
          <w:sz w:val="24"/>
          <w:szCs w:val="24"/>
        </w:rPr>
        <w:br/>
        <w:t>978,7 тыс. рублей (акт приема-передачи затрат, извещение от 02.07.2015 № 3).</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eastAsia="Times New Roman" w:hAnsi="Times New Roman"/>
          <w:sz w:val="24"/>
          <w:szCs w:val="24"/>
          <w:lang w:eastAsia="ru-RU"/>
        </w:rPr>
        <w:t xml:space="preserve">К проверке представлена выписка из Единого государственного реестра прав на недвижимое имущество и сделок с ним от 14.04.2016 № 90-17384488 о том, что в Едином государственном реестре прав на недвижимое имущество и сделок с ним зарегистрирован объект «Детская площадка» с правообладателем - Амурская область. </w:t>
      </w:r>
      <w:r w:rsidRPr="008B0BA4">
        <w:rPr>
          <w:rFonts w:ascii="Times New Roman" w:hAnsi="Times New Roman"/>
          <w:sz w:val="24"/>
          <w:szCs w:val="24"/>
        </w:rPr>
        <w:t xml:space="preserve">ГКУ Амурской области «Строитель» направлены в министерство имущественных отношений Амурской области </w:t>
      </w:r>
      <w:r w:rsidRPr="008B0BA4">
        <w:rPr>
          <w:rFonts w:ascii="Times New Roman" w:hAnsi="Times New Roman"/>
          <w:sz w:val="24"/>
          <w:szCs w:val="24"/>
        </w:rPr>
        <w:br/>
        <w:t>(вх. № 2740 от 22.04.2016) акт о приеме-передаче объектов нефинансовых активов, извещение на объект «Детская площадка» (Амурская область, Зейский район, с Сосновый Бор).</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 xml:space="preserve">При невыполнении подрядчиком в установленные сроки своих обязательств заказчиком-застройщиком - ГКУ </w:t>
      </w:r>
      <w:r w:rsidRPr="008B0BA4">
        <w:rPr>
          <w:rFonts w:ascii="Times New Roman" w:hAnsi="Times New Roman"/>
          <w:sz w:val="24"/>
          <w:szCs w:val="24"/>
        </w:rPr>
        <w:t>Амурской области</w:t>
      </w:r>
      <w:r w:rsidRPr="008B0BA4">
        <w:rPr>
          <w:rFonts w:ascii="Times New Roman" w:eastAsia="Times New Roman" w:hAnsi="Times New Roman"/>
          <w:sz w:val="24"/>
          <w:szCs w:val="24"/>
          <w:lang w:eastAsia="ru-RU"/>
        </w:rPr>
        <w:t xml:space="preserve"> «Строитель» направлена претензия</w:t>
      </w:r>
      <w:r w:rsidRPr="008B0BA4">
        <w:rPr>
          <w:rFonts w:ascii="Times New Roman" w:eastAsia="Times New Roman" w:hAnsi="Times New Roman"/>
          <w:sz w:val="24"/>
          <w:szCs w:val="24"/>
          <w:lang w:eastAsia="ru-RU"/>
        </w:rPr>
        <w:br/>
        <w:t xml:space="preserve">(исх. от 10.03.2015 № 08-02-4170 с предложением </w:t>
      </w:r>
      <w:r w:rsidRPr="008B0BA4">
        <w:rPr>
          <w:rFonts w:ascii="Times New Roman" w:hAnsi="Times New Roman"/>
          <w:sz w:val="24"/>
          <w:szCs w:val="24"/>
        </w:rPr>
        <w:t xml:space="preserve">ООО «Заборторг» </w:t>
      </w:r>
      <w:r w:rsidRPr="008B0BA4">
        <w:rPr>
          <w:rFonts w:ascii="Times New Roman" w:eastAsia="Times New Roman" w:hAnsi="Times New Roman"/>
          <w:sz w:val="24"/>
          <w:szCs w:val="24"/>
          <w:lang w:eastAsia="ru-RU"/>
        </w:rPr>
        <w:t xml:space="preserve">в добровольном порядке перечислить неустойку </w:t>
      </w:r>
      <w:r w:rsidRPr="008B0BA4">
        <w:rPr>
          <w:rFonts w:ascii="Times New Roman" w:hAnsi="Times New Roman"/>
          <w:sz w:val="24"/>
          <w:szCs w:val="24"/>
        </w:rPr>
        <w:t>за нарушение сроков выполнения работ по контракту в размере</w:t>
      </w:r>
      <w:r w:rsidRPr="008B0BA4">
        <w:rPr>
          <w:rFonts w:ascii="Times New Roman" w:hAnsi="Times New Roman"/>
          <w:sz w:val="24"/>
          <w:szCs w:val="24"/>
        </w:rPr>
        <w:br/>
        <w:t>21,0 тыс. рублей за период просрочки исполнения обязательств с 25.11.2014 по 03.03.2015, а также штраф в сумме 77,3 тыс. рублей.</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При отсутствии добровольного возмещения неустойки за ненадлежащее исполнение обязательств, ГКУ Амурской области «Строитель» обратилось в Арбитражный суд Амурской области с исковым заявлением (исх. от 01.04.2015 № 08-02-560) о взыскании с ООО «Заборторг» неустойки по государственному контракту от 30.09.2014 № 110. Решением Арбитражного суда Амурской области от 01.06.2015 по делу № А04-2447/2015 в пользу </w:t>
      </w:r>
      <w:r w:rsidRPr="008B0BA4">
        <w:rPr>
          <w:rFonts w:ascii="Times New Roman" w:hAnsi="Times New Roman"/>
          <w:sz w:val="24"/>
          <w:szCs w:val="24"/>
        </w:rPr>
        <w:br/>
        <w:t>ГКУ Амурской области «Строитель» взыскана неустойка за просрочку выполнения работ в размере 21,0 тыс. рублей (кассовое поступление от 09.12.2015 № 00000084).</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lang w:eastAsia="ru-RU"/>
        </w:rPr>
      </w:pPr>
      <w:r w:rsidRPr="008B0BA4">
        <w:rPr>
          <w:rFonts w:ascii="Times New Roman" w:hAnsi="Times New Roman"/>
          <w:sz w:val="24"/>
          <w:szCs w:val="24"/>
        </w:rPr>
        <w:t xml:space="preserve">Кроме того, в период проверки ГКУ Амурской области «Строитель» направлено в Арбитражный суд Амурской области исковое заявление от 26.04.2016 о взыскании с </w:t>
      </w:r>
      <w:r w:rsidRPr="008B0BA4">
        <w:rPr>
          <w:rFonts w:ascii="Times New Roman" w:hAnsi="Times New Roman"/>
          <w:sz w:val="24"/>
          <w:szCs w:val="24"/>
        </w:rPr>
        <w:br/>
        <w:t xml:space="preserve">ООО «Заборторг» 136,6 тыс. рублей, из которых: 59,3 тыс. рублей - </w:t>
      </w:r>
      <w:r w:rsidRPr="008B0BA4">
        <w:rPr>
          <w:rFonts w:ascii="Times New Roman" w:eastAsia="Times New Roman" w:hAnsi="Times New Roman"/>
          <w:sz w:val="24"/>
          <w:szCs w:val="24"/>
          <w:lang w:eastAsia="ru-RU"/>
        </w:rPr>
        <w:t xml:space="preserve">неустойка </w:t>
      </w:r>
      <w:r w:rsidRPr="008B0BA4">
        <w:rPr>
          <w:rFonts w:ascii="Times New Roman" w:hAnsi="Times New Roman"/>
          <w:sz w:val="24"/>
          <w:szCs w:val="24"/>
        </w:rPr>
        <w:t>за нарушение сроков выполнения работ за период просрочки исполнения обязательств с 03.03.2015 по 24.11.2015; 77,3 тыс. рублей – штраф за ненадлежащее исполнение обязательств, предусмотренных контрактом от 30.09.2014 № 110. Определением Арбитражного суда Амурской области от 05.05.2016 исковое заявление принято, возбуждено произв</w:t>
      </w:r>
      <w:r w:rsidR="00B55FEE">
        <w:rPr>
          <w:rFonts w:ascii="Times New Roman" w:hAnsi="Times New Roman"/>
          <w:sz w:val="24"/>
          <w:szCs w:val="24"/>
        </w:rPr>
        <w:t>одство по делу № А04-4037/2016.</w:t>
      </w:r>
    </w:p>
    <w:p w:rsidR="008B0BA4" w:rsidRPr="008B0BA4" w:rsidRDefault="008B0BA4" w:rsidP="008B0BA4">
      <w:pPr>
        <w:tabs>
          <w:tab w:val="left" w:pos="851"/>
        </w:tabs>
        <w:spacing w:after="0" w:line="240" w:lineRule="auto"/>
        <w:ind w:firstLine="709"/>
        <w:jc w:val="both"/>
        <w:rPr>
          <w:rFonts w:ascii="Times New Roman" w:eastAsia="Times New Roman" w:hAnsi="Times New Roman"/>
          <w:sz w:val="24"/>
          <w:szCs w:val="24"/>
          <w:lang w:eastAsia="ru-RU"/>
        </w:rPr>
      </w:pPr>
    </w:p>
    <w:p w:rsidR="008B0BA4" w:rsidRPr="008B0BA4" w:rsidRDefault="008B0BA4" w:rsidP="0014690C">
      <w:pPr>
        <w:numPr>
          <w:ilvl w:val="0"/>
          <w:numId w:val="20"/>
        </w:numPr>
        <w:tabs>
          <w:tab w:val="left" w:pos="851"/>
        </w:tabs>
        <w:spacing w:after="0" w:line="240" w:lineRule="auto"/>
        <w:contextualSpacing/>
        <w:jc w:val="both"/>
        <w:rPr>
          <w:rFonts w:ascii="Times New Roman" w:hAnsi="Times New Roman" w:cs="Times New Roman"/>
          <w:b/>
          <w:sz w:val="24"/>
          <w:szCs w:val="24"/>
          <w:lang w:eastAsia="ru-RU"/>
        </w:rPr>
      </w:pPr>
      <w:r w:rsidRPr="008B0BA4">
        <w:rPr>
          <w:rFonts w:ascii="Times New Roman" w:hAnsi="Times New Roman" w:cs="Times New Roman"/>
          <w:b/>
          <w:sz w:val="24"/>
          <w:szCs w:val="24"/>
          <w:lang w:eastAsia="ru-RU"/>
        </w:rPr>
        <w:t>Строительство малоэтажных быстровозводимых жилых домов для граждан, лишившихся жилых помещений вследствие чрезвычайной ситуации, вызванной крупномасштабным наводнением, произошедшим на территории Амурской области в августе-сентябре 2013 года, с. Чигири Благовещенского района</w:t>
      </w:r>
    </w:p>
    <w:p w:rsidR="008B0BA4" w:rsidRPr="008B0BA4" w:rsidRDefault="008B0BA4" w:rsidP="008B0BA4">
      <w:pPr>
        <w:tabs>
          <w:tab w:val="left" w:pos="851"/>
          <w:tab w:val="left" w:pos="993"/>
        </w:tabs>
        <w:spacing w:after="0" w:line="240" w:lineRule="auto"/>
        <w:ind w:firstLine="709"/>
        <w:jc w:val="both"/>
        <w:rPr>
          <w:rFonts w:ascii="Times New Roman" w:hAnsi="Times New Roman"/>
          <w:sz w:val="24"/>
          <w:szCs w:val="24"/>
        </w:rPr>
      </w:pPr>
      <w:r w:rsidRPr="008B0BA4">
        <w:rPr>
          <w:rFonts w:ascii="Times New Roman" w:hAnsi="Times New Roman"/>
          <w:sz w:val="24"/>
          <w:szCs w:val="24"/>
        </w:rPr>
        <w:t>Строительство объектов начато в 2014 году. В соответствии с п. 9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 на выполнение работ по строительству жилых домов объекта ГКУ Амурской области «Строитель» с ОАО «Амурское ипотечное агентство» заключены государственные контракты на общую сумму 79700,0 тыс. рублей, в том числе:</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lastRenderedPageBreak/>
        <w:t>-от 04.07.2014 № 68 на строительство 28 быстровозводимых жилых домов (конструктив ЗАО «ПЛИТСПИЧПРОМ» Калужская область, г. Балабаново) на сумму</w:t>
      </w:r>
      <w:r w:rsidRPr="008B0BA4">
        <w:rPr>
          <w:rFonts w:ascii="Times New Roman" w:hAnsi="Times New Roman"/>
          <w:i/>
          <w:sz w:val="24"/>
          <w:szCs w:val="24"/>
        </w:rPr>
        <w:t xml:space="preserve"> </w:t>
      </w:r>
      <w:r w:rsidRPr="008B0BA4">
        <w:rPr>
          <w:rFonts w:ascii="Times New Roman" w:hAnsi="Times New Roman"/>
          <w:sz w:val="24"/>
          <w:szCs w:val="24"/>
        </w:rPr>
        <w:t>49332,3 тыс. рублей;</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-от 04.07.2014 № 69 на строительство 3 жилых домов (конструктив РУП «Завод газетной бумаги» республика Беларусь) на сумму</w:t>
      </w:r>
      <w:r w:rsidRPr="008B0BA4">
        <w:rPr>
          <w:rFonts w:ascii="Times New Roman" w:hAnsi="Times New Roman"/>
          <w:i/>
          <w:sz w:val="24"/>
          <w:szCs w:val="24"/>
        </w:rPr>
        <w:t xml:space="preserve"> </w:t>
      </w:r>
      <w:r w:rsidRPr="008B0BA4">
        <w:rPr>
          <w:rFonts w:ascii="Times New Roman" w:hAnsi="Times New Roman"/>
          <w:sz w:val="24"/>
          <w:szCs w:val="24"/>
        </w:rPr>
        <w:t>5588,8 тыс. рублей;</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-от 04.07.2014 № 70 на строительство двухквартирного жилого дома общей площадью 432 кв.м на сумму</w:t>
      </w:r>
      <w:r w:rsidRPr="008B0BA4">
        <w:rPr>
          <w:rFonts w:ascii="Times New Roman" w:hAnsi="Times New Roman"/>
          <w:i/>
          <w:sz w:val="24"/>
          <w:szCs w:val="24"/>
        </w:rPr>
        <w:t xml:space="preserve"> </w:t>
      </w:r>
      <w:r w:rsidRPr="008B0BA4">
        <w:rPr>
          <w:rFonts w:ascii="Times New Roman" w:hAnsi="Times New Roman"/>
          <w:sz w:val="24"/>
          <w:szCs w:val="24"/>
        </w:rPr>
        <w:t>15476,8 тыс. рублей;</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-от 09.07.2014 № 77 на выполнение работ по строительству выгребов (септиков), наружных сетей канализации и забора из профильного листа к жилым домам объекта на сумму</w:t>
      </w:r>
      <w:r w:rsidRPr="008B0BA4">
        <w:rPr>
          <w:rFonts w:ascii="Times New Roman" w:hAnsi="Times New Roman"/>
          <w:i/>
          <w:sz w:val="24"/>
          <w:szCs w:val="24"/>
        </w:rPr>
        <w:t xml:space="preserve"> </w:t>
      </w:r>
      <w:r w:rsidR="00B55FEE">
        <w:rPr>
          <w:rFonts w:ascii="Times New Roman" w:hAnsi="Times New Roman"/>
          <w:sz w:val="24"/>
          <w:szCs w:val="24"/>
        </w:rPr>
        <w:t>9302,0 тыс. рублей.</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Определением Арбитражного суда Амурской области от 12.12.2014, между </w:t>
      </w:r>
      <w:r w:rsidRPr="008B0BA4">
        <w:rPr>
          <w:rFonts w:ascii="Times New Roman" w:hAnsi="Times New Roman"/>
          <w:sz w:val="24"/>
          <w:szCs w:val="24"/>
        </w:rPr>
        <w:br/>
        <w:t xml:space="preserve">ОАО «Амурское ипотечное агентство» и ГКУ Амурской области «Строитель» утверждено мировое соглашение, в соответствии с которым в государственные контракты от 04.07.2014 №№ 68, 69, 70, от 09.07.2014 № 77 внесены изменения в части сроков выполнения работ и передаче их государственному заказчику - </w:t>
      </w:r>
      <w:r w:rsidRPr="008B0BA4">
        <w:rPr>
          <w:rFonts w:ascii="Times New Roman" w:hAnsi="Times New Roman"/>
          <w:sz w:val="24"/>
          <w:szCs w:val="24"/>
          <w:u w:val="single"/>
        </w:rPr>
        <w:t>не позднее 31.12.2014 года</w:t>
      </w:r>
      <w:r w:rsidRPr="008B0BA4">
        <w:rPr>
          <w:rFonts w:ascii="Times New Roman" w:hAnsi="Times New Roman"/>
          <w:sz w:val="24"/>
          <w:szCs w:val="24"/>
        </w:rPr>
        <w:t xml:space="preserve">, при первоначально предусмотренных сроках окончания работ </w:t>
      </w:r>
      <w:r w:rsidRPr="008B0BA4">
        <w:rPr>
          <w:rFonts w:ascii="Times New Roman" w:hAnsi="Times New Roman"/>
          <w:i/>
          <w:sz w:val="24"/>
          <w:szCs w:val="24"/>
        </w:rPr>
        <w:t xml:space="preserve">- </w:t>
      </w:r>
      <w:r w:rsidRPr="008B0BA4">
        <w:rPr>
          <w:rFonts w:ascii="Times New Roman" w:hAnsi="Times New Roman"/>
          <w:sz w:val="24"/>
          <w:szCs w:val="24"/>
        </w:rPr>
        <w:t>30.09.2014.</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В 2014 году в соответствии с п. 8.2. государственных контрактов ГКУ Амурской области «Строитель» перечислены авансовые платежи (70 процентов от стоимости контрактов на закупку материалов и конструкций, необходимых для выполнения генеральным подрядчиком работ по строительству объекта) в размере 54600,0 тыс. рублей.</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За 2014 год </w:t>
      </w:r>
      <w:r w:rsidRPr="008B0BA4">
        <w:rPr>
          <w:rFonts w:ascii="Times New Roman" w:eastAsia="Times New Roman" w:hAnsi="Times New Roman"/>
          <w:sz w:val="24"/>
          <w:szCs w:val="24"/>
          <w:lang w:eastAsia="ru-RU"/>
        </w:rPr>
        <w:t xml:space="preserve">ГКУ Амурской области «Строитель» принято к оплате и оплачено </w:t>
      </w:r>
      <w:r w:rsidRPr="008B0BA4">
        <w:rPr>
          <w:rFonts w:ascii="Times New Roman" w:hAnsi="Times New Roman"/>
          <w:sz w:val="24"/>
          <w:szCs w:val="24"/>
        </w:rPr>
        <w:t xml:space="preserve">согласно актам о приемке выполненных работ (ф. КС-2) и справкам о стоимости выполненных работ и затрат (ф. КС-3) - 31370,9 тыс. рублей, или 39,4 процента </w:t>
      </w:r>
      <w:r w:rsidRPr="008B0BA4">
        <w:rPr>
          <w:rFonts w:ascii="Times New Roman" w:eastAsia="Times New Roman" w:hAnsi="Times New Roman"/>
          <w:sz w:val="24"/>
          <w:szCs w:val="24"/>
          <w:lang w:eastAsia="ru-RU"/>
        </w:rPr>
        <w:t xml:space="preserve">объемов, предусмотренных условиями </w:t>
      </w:r>
      <w:r w:rsidRPr="008B0BA4">
        <w:rPr>
          <w:rFonts w:ascii="Times New Roman" w:hAnsi="Times New Roman"/>
          <w:sz w:val="24"/>
          <w:szCs w:val="24"/>
        </w:rPr>
        <w:t>государственных</w:t>
      </w:r>
      <w:r w:rsidRPr="008B0BA4">
        <w:rPr>
          <w:rFonts w:ascii="Times New Roman" w:eastAsia="Times New Roman" w:hAnsi="Times New Roman"/>
          <w:sz w:val="24"/>
          <w:szCs w:val="24"/>
          <w:lang w:eastAsia="ru-RU"/>
        </w:rPr>
        <w:t xml:space="preserve"> контрактов</w:t>
      </w:r>
      <w:r w:rsidRPr="008B0BA4">
        <w:rPr>
          <w:rFonts w:ascii="Times New Roman" w:hAnsi="Times New Roman"/>
          <w:sz w:val="24"/>
          <w:szCs w:val="24"/>
        </w:rPr>
        <w:t xml:space="preserve"> стоимости работ.</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Таким образом, по состоянию на 31.12.2014 года объем невыполненных ОАО «Амурское ипотечное агентство» работ составил 48329,1 тыс. рублей.</w:t>
      </w:r>
    </w:p>
    <w:p w:rsidR="008B0BA4" w:rsidRPr="008B0BA4" w:rsidRDefault="008B0BA4" w:rsidP="008B0BA4">
      <w:pPr>
        <w:autoSpaceDE w:val="0"/>
        <w:autoSpaceDN w:val="0"/>
        <w:adjustRightInd w:val="0"/>
        <w:spacing w:after="0" w:line="240" w:lineRule="auto"/>
        <w:ind w:firstLine="709"/>
        <w:jc w:val="both"/>
        <w:rPr>
          <w:rFonts w:ascii="Times New Roman" w:hAnsi="Times New Roman" w:cs="Times New Roman"/>
          <w:sz w:val="24"/>
          <w:szCs w:val="24"/>
        </w:rPr>
      </w:pPr>
      <w:r w:rsidRPr="008B0BA4">
        <w:rPr>
          <w:rFonts w:ascii="Times New Roman" w:hAnsi="Times New Roman" w:cs="Times New Roman"/>
          <w:bCs/>
          <w:sz w:val="24"/>
          <w:szCs w:val="24"/>
        </w:rPr>
        <w:t xml:space="preserve">В соответствии с распоряжением Правительства Амурской области объем финансирования на </w:t>
      </w:r>
      <w:r w:rsidRPr="008B0BA4">
        <w:rPr>
          <w:rFonts w:ascii="Times New Roman" w:hAnsi="Times New Roman" w:cs="Times New Roman"/>
          <w:sz w:val="24"/>
          <w:szCs w:val="24"/>
        </w:rPr>
        <w:t>строительство 32 индивидуальных жилых домов экономического класса на территории с. Чигири Благовещенского района Амурской области для граждан, пострадавших в результате наводнения, в 2015 году составил 21325,3 тыс. рублей, использовано денежных средств в объеме 21325,3 тыс. рублей, или 100 пр</w:t>
      </w:r>
      <w:r w:rsidR="00B55FEE">
        <w:rPr>
          <w:rFonts w:ascii="Times New Roman" w:hAnsi="Times New Roman" w:cs="Times New Roman"/>
          <w:sz w:val="24"/>
          <w:szCs w:val="24"/>
        </w:rPr>
        <w:t>оцентов бюджетных ассигнований.</w:t>
      </w:r>
    </w:p>
    <w:p w:rsidR="008B0BA4" w:rsidRPr="008B0BA4" w:rsidRDefault="008B0BA4" w:rsidP="008B0BA4">
      <w:pPr>
        <w:spacing w:after="0" w:line="240" w:lineRule="auto"/>
        <w:ind w:firstLine="709"/>
        <w:jc w:val="both"/>
        <w:outlineLvl w:val="2"/>
        <w:rPr>
          <w:rFonts w:ascii="Times New Roman" w:hAnsi="Times New Roman"/>
          <w:sz w:val="24"/>
          <w:szCs w:val="24"/>
        </w:rPr>
      </w:pPr>
      <w:r w:rsidRPr="008B0BA4">
        <w:rPr>
          <w:rFonts w:ascii="Times New Roman" w:hAnsi="Times New Roman"/>
          <w:sz w:val="24"/>
          <w:szCs w:val="24"/>
        </w:rPr>
        <w:t>Согласно актам о приемке выполненных работ (форма № КС-2) и справкам о стоимости выполненных работ и затрат (форма № КС-3) объем освоенных капитальных вложений в 2015 году на объектах составил 48329,1 тыс. рублей.</w:t>
      </w:r>
    </w:p>
    <w:p w:rsidR="008B0BA4" w:rsidRPr="008B0BA4" w:rsidRDefault="008B0BA4" w:rsidP="008B0BA4">
      <w:pPr>
        <w:spacing w:after="0" w:line="240" w:lineRule="auto"/>
        <w:ind w:firstLine="709"/>
        <w:jc w:val="both"/>
        <w:outlineLvl w:val="2"/>
        <w:rPr>
          <w:rFonts w:ascii="Times New Roman" w:eastAsia="Times New Roman" w:hAnsi="Times New Roman"/>
          <w:b/>
          <w:sz w:val="24"/>
          <w:szCs w:val="24"/>
          <w:lang w:eastAsia="ru-RU"/>
        </w:rPr>
      </w:pPr>
      <w:r w:rsidRPr="008B0BA4">
        <w:rPr>
          <w:rFonts w:ascii="Times New Roman" w:eastAsia="Times New Roman" w:hAnsi="Times New Roman"/>
          <w:sz w:val="24"/>
          <w:szCs w:val="24"/>
          <w:lang w:eastAsia="ru-RU"/>
        </w:rPr>
        <w:t xml:space="preserve">При невыполнении обязательств в установленные с учетом мирового соглашения сроки со стороны заказчика-застройщика ГКУ </w:t>
      </w:r>
      <w:r w:rsidRPr="008B0BA4">
        <w:rPr>
          <w:rFonts w:ascii="Times New Roman" w:hAnsi="Times New Roman"/>
          <w:sz w:val="24"/>
          <w:szCs w:val="24"/>
        </w:rPr>
        <w:t>Амурской области</w:t>
      </w:r>
      <w:r w:rsidRPr="008B0BA4">
        <w:rPr>
          <w:rFonts w:ascii="Times New Roman" w:eastAsia="Times New Roman" w:hAnsi="Times New Roman"/>
          <w:sz w:val="24"/>
          <w:szCs w:val="24"/>
          <w:lang w:eastAsia="ru-RU"/>
        </w:rPr>
        <w:t xml:space="preserve"> «Строитель» направлены претензии </w:t>
      </w:r>
      <w:r w:rsidRPr="008B0BA4">
        <w:rPr>
          <w:rFonts w:ascii="Times New Roman" w:hAnsi="Times New Roman"/>
          <w:sz w:val="24"/>
          <w:szCs w:val="24"/>
        </w:rPr>
        <w:t xml:space="preserve">ОАО «Амурское ипотечное агентство» </w:t>
      </w:r>
      <w:r w:rsidRPr="008B0BA4">
        <w:rPr>
          <w:rFonts w:ascii="Times New Roman" w:eastAsia="Times New Roman" w:hAnsi="Times New Roman"/>
          <w:sz w:val="24"/>
          <w:szCs w:val="24"/>
          <w:lang w:eastAsia="ru-RU"/>
        </w:rPr>
        <w:t xml:space="preserve">с предложением в добровольном порядке уплатить неустойку за нарушение сроков завершения работ по государственным контрактам, в ответ на которые </w:t>
      </w:r>
      <w:r w:rsidRPr="008B0BA4">
        <w:rPr>
          <w:rFonts w:ascii="Times New Roman" w:hAnsi="Times New Roman"/>
          <w:sz w:val="24"/>
          <w:szCs w:val="24"/>
        </w:rPr>
        <w:t xml:space="preserve">ОАО «Амурское ипотечное агентство» </w:t>
      </w:r>
      <w:r w:rsidRPr="008B0BA4">
        <w:rPr>
          <w:rFonts w:ascii="Times New Roman" w:eastAsia="Times New Roman" w:hAnsi="Times New Roman"/>
          <w:sz w:val="24"/>
          <w:szCs w:val="24"/>
          <w:lang w:eastAsia="ru-RU"/>
        </w:rPr>
        <w:t>сообщило о невыполнении в установленный срок обязательств по передаче подрядчику утвержденных проектов</w:t>
      </w:r>
      <w:r w:rsidR="00B55FEE">
        <w:rPr>
          <w:rFonts w:ascii="Times New Roman" w:eastAsia="Times New Roman" w:hAnsi="Times New Roman"/>
          <w:sz w:val="24"/>
          <w:szCs w:val="24"/>
          <w:lang w:eastAsia="ru-RU"/>
        </w:rPr>
        <w:t>.</w:t>
      </w:r>
    </w:p>
    <w:p w:rsidR="008B0BA4" w:rsidRPr="008B0BA4" w:rsidRDefault="008B0BA4" w:rsidP="008B0BA4">
      <w:pPr>
        <w:spacing w:after="0" w:line="240" w:lineRule="auto"/>
        <w:ind w:firstLine="709"/>
        <w:jc w:val="both"/>
        <w:outlineLvl w:val="2"/>
        <w:rPr>
          <w:rFonts w:ascii="Times New Roman" w:hAnsi="Times New Roman"/>
          <w:sz w:val="24"/>
          <w:szCs w:val="24"/>
        </w:rPr>
      </w:pPr>
      <w:r w:rsidRPr="008B0BA4">
        <w:rPr>
          <w:rFonts w:ascii="Times New Roman" w:eastAsia="Times New Roman" w:hAnsi="Times New Roman"/>
          <w:color w:val="000000" w:themeColor="text1"/>
          <w:sz w:val="24"/>
          <w:szCs w:val="24"/>
          <w:lang w:eastAsia="ru-RU"/>
        </w:rPr>
        <w:t xml:space="preserve">При оставлении претензий без удовлетворения, заказчиком-застройщиком в Арбитражный суд Амурской области направлены исковые заявления о взыскании с </w:t>
      </w:r>
      <w:r w:rsidRPr="008B0BA4">
        <w:rPr>
          <w:rFonts w:ascii="Times New Roman" w:eastAsia="Times New Roman" w:hAnsi="Times New Roman"/>
          <w:color w:val="000000" w:themeColor="text1"/>
          <w:sz w:val="24"/>
          <w:szCs w:val="24"/>
          <w:lang w:eastAsia="ru-RU"/>
        </w:rPr>
        <w:br/>
      </w:r>
      <w:r w:rsidRPr="008B0BA4">
        <w:rPr>
          <w:rFonts w:ascii="Times New Roman" w:hAnsi="Times New Roman"/>
          <w:color w:val="000000" w:themeColor="text1"/>
          <w:sz w:val="24"/>
          <w:szCs w:val="24"/>
        </w:rPr>
        <w:t xml:space="preserve">ОАО «Амурское ипотечное агентство» </w:t>
      </w:r>
      <w:r w:rsidRPr="008B0BA4">
        <w:rPr>
          <w:rFonts w:ascii="Times New Roman" w:eastAsia="Times New Roman" w:hAnsi="Times New Roman"/>
          <w:color w:val="000000" w:themeColor="text1"/>
          <w:sz w:val="24"/>
          <w:szCs w:val="24"/>
          <w:lang w:eastAsia="ru-RU"/>
        </w:rPr>
        <w:t xml:space="preserve">неустойки за нарушение сроков </w:t>
      </w:r>
      <w:r w:rsidRPr="008B0BA4">
        <w:rPr>
          <w:rFonts w:ascii="Times New Roman" w:eastAsia="Times New Roman" w:hAnsi="Times New Roman"/>
          <w:sz w:val="24"/>
          <w:szCs w:val="24"/>
          <w:lang w:eastAsia="ru-RU"/>
        </w:rPr>
        <w:t>завершения работ на сумму 1498,2 тыс. ру</w:t>
      </w:r>
      <w:r w:rsidR="00B55FEE">
        <w:rPr>
          <w:rFonts w:ascii="Times New Roman" w:eastAsia="Times New Roman" w:hAnsi="Times New Roman"/>
          <w:sz w:val="24"/>
          <w:szCs w:val="24"/>
          <w:lang w:eastAsia="ru-RU"/>
        </w:rPr>
        <w:t>блей.</w:t>
      </w:r>
    </w:p>
    <w:p w:rsidR="008B0BA4" w:rsidRPr="008B0BA4" w:rsidRDefault="008B0BA4" w:rsidP="008B0BA4">
      <w:pPr>
        <w:tabs>
          <w:tab w:val="left" w:pos="993"/>
        </w:tabs>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В соответствии с п. 9 ч. 1 ст. 93 Федерального закона от 05.04.2013 № 44-ФЗ </w:t>
      </w:r>
      <w:r w:rsidRPr="008B0BA4">
        <w:rPr>
          <w:rFonts w:ascii="Times New Roman" w:hAnsi="Times New Roman"/>
          <w:sz w:val="24"/>
          <w:szCs w:val="24"/>
        </w:rPr>
        <w:br/>
        <w:t xml:space="preserve">«О контрактной системе в сфере закупок товаров, работ, услуг для обеспечения государственных и муниципальных нужд» ГКУ Амурской области «Строитель» заключены государственные контракты на выполнение строительно-монтажных работ на общую </w:t>
      </w:r>
      <w:r w:rsidRPr="008B0BA4">
        <w:rPr>
          <w:rFonts w:ascii="Times New Roman" w:hAnsi="Times New Roman"/>
          <w:color w:val="000000" w:themeColor="text1"/>
          <w:sz w:val="24"/>
          <w:szCs w:val="24"/>
        </w:rPr>
        <w:t xml:space="preserve">сумму 53292,6 </w:t>
      </w:r>
      <w:r w:rsidRPr="008B0BA4">
        <w:rPr>
          <w:rFonts w:ascii="Times New Roman" w:hAnsi="Times New Roman"/>
          <w:sz w:val="24"/>
          <w:szCs w:val="24"/>
        </w:rPr>
        <w:t xml:space="preserve">тыс. рублей (ООО «Калининэнергострой» - строительство внутриплощадочных инженерных сетей и подъездной автодороги к жилым домам, наружных сетей водоснабжения, внутриквартальной дороги; ООО «Дальневосточная буровая компания» - выполнение работ по бурению разведочно-эксплуатационной скважины глубиной 270 </w:t>
      </w:r>
      <w:r w:rsidRPr="008B0BA4">
        <w:rPr>
          <w:rFonts w:ascii="Times New Roman" w:hAnsi="Times New Roman"/>
          <w:sz w:val="24"/>
          <w:szCs w:val="24"/>
        </w:rPr>
        <w:lastRenderedPageBreak/>
        <w:t>метров, опытно-эксплуатационную откачку воды; ООО «Компания «Хуа-Ша» - выполнение работ по строительству здания водопроводной насосной станции; ООО «Заборторг» - строительство детской площадки).</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За 2014 год согласно актам о приемке выполненных работ (ф. КС-2) и справкам о стоимости выполненных работ и затрат (ф. КС-3) работы выполнены и оплачены ГКУ Амурской области «Строитель» на общую сумму 44283,4 тыс. рублей, или 83,6 процента стоимости работ. Таким образом, по состоянию на 01.01.2015 года объем невыполненных строительно-монтажных работ по вышеназванным контрактам составил 8661,2 тыс. рублей.</w:t>
      </w:r>
    </w:p>
    <w:p w:rsidR="008B0BA4" w:rsidRPr="008B0BA4" w:rsidRDefault="008B0BA4" w:rsidP="008B0BA4">
      <w:pPr>
        <w:autoSpaceDE w:val="0"/>
        <w:autoSpaceDN w:val="0"/>
        <w:adjustRightInd w:val="0"/>
        <w:spacing w:after="0" w:line="240" w:lineRule="auto"/>
        <w:ind w:firstLine="709"/>
        <w:jc w:val="both"/>
        <w:rPr>
          <w:rFonts w:ascii="Times New Roman" w:hAnsi="Times New Roman" w:cs="Times New Roman"/>
          <w:sz w:val="24"/>
          <w:szCs w:val="24"/>
        </w:rPr>
      </w:pPr>
      <w:r w:rsidRPr="008B0BA4">
        <w:rPr>
          <w:rFonts w:ascii="Times New Roman" w:hAnsi="Times New Roman" w:cs="Times New Roman"/>
          <w:bCs/>
          <w:sz w:val="24"/>
          <w:szCs w:val="24"/>
        </w:rPr>
        <w:t>В соответствии с распоряжением Правительства Амурской области от 07.05.2015</w:t>
      </w:r>
      <w:r w:rsidRPr="008B0BA4">
        <w:rPr>
          <w:rFonts w:ascii="Times New Roman" w:hAnsi="Times New Roman" w:cs="Times New Roman"/>
          <w:bCs/>
          <w:sz w:val="24"/>
          <w:szCs w:val="24"/>
        </w:rPr>
        <w:br/>
        <w:t xml:space="preserve">№ 59-р </w:t>
      </w:r>
      <w:r w:rsidRPr="008B0BA4">
        <w:rPr>
          <w:rFonts w:ascii="Times New Roman" w:hAnsi="Times New Roman" w:cs="Times New Roman"/>
          <w:sz w:val="24"/>
          <w:szCs w:val="24"/>
        </w:rPr>
        <w:t xml:space="preserve">«О выделении средств за счет добровольных взносов и пожертвований» </w:t>
      </w:r>
      <w:r w:rsidRPr="008B0BA4">
        <w:rPr>
          <w:rFonts w:ascii="Times New Roman" w:hAnsi="Times New Roman" w:cs="Times New Roman"/>
          <w:bCs/>
          <w:sz w:val="24"/>
          <w:szCs w:val="24"/>
        </w:rPr>
        <w:t xml:space="preserve">объем финансирования на </w:t>
      </w:r>
      <w:r w:rsidRPr="008B0BA4">
        <w:rPr>
          <w:rFonts w:ascii="Times New Roman" w:hAnsi="Times New Roman" w:cs="Times New Roman"/>
          <w:sz w:val="24"/>
          <w:szCs w:val="24"/>
        </w:rPr>
        <w:t xml:space="preserve">проектирование и строительство внутриплощадочных инженерных и инфраструктурных объектов в 2015 году составил 7858,0 тыс. рублей, использовано денежных средств в объеме 7636,7 тыс. рублей, или 97,2 процента бюджетных ассигнований. </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По состоянию на 01.01.2016 года по государственному контракту от 27.08.2014</w:t>
      </w:r>
      <w:r w:rsidRPr="008B0BA4">
        <w:rPr>
          <w:rFonts w:ascii="Times New Roman" w:hAnsi="Times New Roman"/>
          <w:sz w:val="24"/>
          <w:szCs w:val="24"/>
        </w:rPr>
        <w:br/>
        <w:t xml:space="preserve">№ 101, заключенному с ООО «Калининэнергострой», работы по строительству внутриквартальной дороги выполнены на сумму 30803,4 тыс. рублей, или </w:t>
      </w:r>
      <w:r w:rsidRPr="008B0BA4">
        <w:rPr>
          <w:rFonts w:ascii="Times New Roman" w:hAnsi="Times New Roman"/>
          <w:sz w:val="24"/>
          <w:szCs w:val="24"/>
        </w:rPr>
        <w:br/>
        <w:t>99,3 процента от суммы контракта (31024,7 тыс. рублей). Объем невыполненных работ (отсыпка просадок грунта в местах прокладки водопровода к жилым домам) составил</w:t>
      </w:r>
      <w:r w:rsidRPr="008B0BA4">
        <w:rPr>
          <w:rFonts w:ascii="Times New Roman" w:hAnsi="Times New Roman"/>
          <w:sz w:val="24"/>
          <w:szCs w:val="24"/>
        </w:rPr>
        <w:br/>
        <w:t>221,3 тыс. рублей. Согласно гарантийному письму ООО «Калининэнергострой» от 17.09.2015 № 580 выполнение отсыпки было нецелесообразно в текущий период 2015 года и гарантируется к выполнению в пер</w:t>
      </w:r>
      <w:r w:rsidR="00B55FEE">
        <w:rPr>
          <w:rFonts w:ascii="Times New Roman" w:hAnsi="Times New Roman"/>
          <w:sz w:val="24"/>
          <w:szCs w:val="24"/>
        </w:rPr>
        <w:t>иод с 01.06.2016 по 10.06.2016.</w:t>
      </w:r>
    </w:p>
    <w:p w:rsidR="008B0BA4" w:rsidRPr="008B0BA4" w:rsidRDefault="008B0BA4" w:rsidP="008B0BA4">
      <w:pPr>
        <w:tabs>
          <w:tab w:val="left" w:pos="993"/>
        </w:tabs>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В 2015 году согласно предъявленным актам приемки выполненных работ </w:t>
      </w:r>
      <w:r w:rsidRPr="008B0BA4">
        <w:rPr>
          <w:rFonts w:ascii="Times New Roman" w:hAnsi="Times New Roman"/>
          <w:sz w:val="24"/>
          <w:szCs w:val="24"/>
        </w:rPr>
        <w:br/>
        <w:t>ГКУ Амурской области «Строитель» принято и оплачено прочих работ (изготовление технических паспортов и технических планов с постановкой на кадастровый учет, исполнительная съемка, услуги по передаче электрической энергии (мощности) и услуги, оказание которых является неотъемлемой частью процесса постановки электроэнергии (насосная станция) и др.) на сумму 1178,3 тыс. рублей.</w:t>
      </w:r>
    </w:p>
    <w:p w:rsidR="008B0BA4" w:rsidRPr="008B0BA4" w:rsidRDefault="008B0BA4" w:rsidP="008B0B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0BA4">
        <w:rPr>
          <w:rFonts w:ascii="Times New Roman" w:hAnsi="Times New Roman" w:cs="Times New Roman"/>
          <w:sz w:val="24"/>
          <w:szCs w:val="24"/>
        </w:rPr>
        <w:t xml:space="preserve">Согласно актам о приемке выполненных работ (форма № КС-2) и справкам о стоимости выполненных работ и затрат (форма № КС-3) от 25.04.2015, от 23.06.2015, от 18.08.2015, от 18.11.2015 </w:t>
      </w:r>
      <w:r w:rsidRPr="008B0BA4">
        <w:rPr>
          <w:rFonts w:ascii="Times New Roman" w:eastAsia="Times New Roman" w:hAnsi="Times New Roman" w:cs="Times New Roman"/>
          <w:sz w:val="24"/>
          <w:szCs w:val="24"/>
          <w:lang w:eastAsia="ru-RU"/>
        </w:rPr>
        <w:t>по государственному контракту</w:t>
      </w:r>
      <w:r w:rsidRPr="008B0BA4">
        <w:rPr>
          <w:rFonts w:ascii="Times New Roman" w:hAnsi="Times New Roman" w:cs="Times New Roman"/>
          <w:sz w:val="24"/>
          <w:szCs w:val="24"/>
        </w:rPr>
        <w:t xml:space="preserve"> от 04.08.2014 № 91, заключенному с ООО «Компания «Хуа-Ша» на строительство здания водопроводной насосной станции, освоение капитальных вложений</w:t>
      </w:r>
      <w:r w:rsidRPr="008B0BA4">
        <w:rPr>
          <w:rFonts w:ascii="Times New Roman" w:eastAsia="Times New Roman" w:hAnsi="Times New Roman" w:cs="Times New Roman"/>
          <w:sz w:val="24"/>
          <w:szCs w:val="24"/>
          <w:lang w:eastAsia="ru-RU"/>
        </w:rPr>
        <w:t xml:space="preserve"> по объекту осуществлялось до ноября 2015 года, при предусмотренных условиями контракта сроках выполнения работ – до 30.09.2014.</w:t>
      </w:r>
    </w:p>
    <w:p w:rsidR="008B0BA4" w:rsidRPr="008B0BA4" w:rsidRDefault="008B0BA4" w:rsidP="008B0BA4">
      <w:pPr>
        <w:spacing w:after="0" w:line="240" w:lineRule="auto"/>
        <w:ind w:firstLine="709"/>
        <w:jc w:val="both"/>
        <w:outlineLvl w:val="2"/>
        <w:rPr>
          <w:rFonts w:ascii="Times New Roman" w:eastAsia="Times New Roman" w:hAnsi="Times New Roman"/>
          <w:sz w:val="24"/>
          <w:szCs w:val="24"/>
          <w:lang w:eastAsia="ru-RU"/>
        </w:rPr>
      </w:pPr>
      <w:r w:rsidRPr="008B0BA4">
        <w:rPr>
          <w:rFonts w:ascii="Times New Roman" w:eastAsia="Times New Roman" w:hAnsi="Times New Roman"/>
          <w:sz w:val="24"/>
          <w:szCs w:val="24"/>
          <w:lang w:eastAsia="ru-RU"/>
        </w:rPr>
        <w:t>При невыполнении в установленные сроки обязательств - невыполнении объемов работ, предусмотренных графиком выполнения работ по объекту (государственный контракт</w:t>
      </w:r>
      <w:r w:rsidRPr="008B0BA4">
        <w:rPr>
          <w:rFonts w:ascii="Times New Roman" w:hAnsi="Times New Roman"/>
          <w:sz w:val="24"/>
          <w:szCs w:val="24"/>
        </w:rPr>
        <w:t xml:space="preserve"> от 04.08.2014 № 91 на выполнение работ по строительству здания водопроводной насосной станции)</w:t>
      </w:r>
      <w:r w:rsidRPr="008B0BA4">
        <w:rPr>
          <w:rFonts w:ascii="Times New Roman" w:eastAsia="Times New Roman" w:hAnsi="Times New Roman"/>
          <w:sz w:val="24"/>
          <w:szCs w:val="24"/>
          <w:lang w:eastAsia="ru-RU"/>
        </w:rPr>
        <w:t xml:space="preserve">, заказчиком-застройщиком - ГКУ </w:t>
      </w:r>
      <w:r w:rsidRPr="008B0BA4">
        <w:rPr>
          <w:rFonts w:ascii="Times New Roman" w:hAnsi="Times New Roman"/>
          <w:sz w:val="24"/>
          <w:szCs w:val="24"/>
        </w:rPr>
        <w:t>Амурской области</w:t>
      </w:r>
      <w:r w:rsidRPr="008B0BA4">
        <w:rPr>
          <w:rFonts w:ascii="Times New Roman" w:eastAsia="Times New Roman" w:hAnsi="Times New Roman"/>
          <w:sz w:val="24"/>
          <w:szCs w:val="24"/>
          <w:lang w:eastAsia="ru-RU"/>
        </w:rPr>
        <w:t xml:space="preserve"> «Строитель» в Арбитражный суд Амурской области подано исковое заявление от 28.04.2015 к </w:t>
      </w:r>
      <w:r w:rsidRPr="008B0BA4">
        <w:rPr>
          <w:rFonts w:ascii="Times New Roman" w:hAnsi="Times New Roman"/>
          <w:sz w:val="24"/>
          <w:szCs w:val="24"/>
        </w:rPr>
        <w:t>ООО «Компания «Хуа-Ша» с</w:t>
      </w:r>
      <w:r w:rsidRPr="008B0BA4">
        <w:rPr>
          <w:rFonts w:ascii="Times New Roman" w:eastAsia="Times New Roman" w:hAnsi="Times New Roman"/>
          <w:sz w:val="24"/>
          <w:szCs w:val="24"/>
          <w:lang w:eastAsia="ru-RU"/>
        </w:rPr>
        <w:t xml:space="preserve"> исковыми требованиями - обязать подрядчика выполнить работы, предусмотренные контрактом, о взыскании суммы неустойки за период с 01.09.2014 по 18.12.2014 в размере 74,9 тыс. рублей. В соответствии с Решением Арбитражного суда Амурской области от 13.05.2015 </w:t>
      </w:r>
      <w:r w:rsidRPr="008B0BA4">
        <w:rPr>
          <w:rFonts w:ascii="Times New Roman" w:hAnsi="Times New Roman"/>
          <w:sz w:val="24"/>
          <w:szCs w:val="24"/>
        </w:rPr>
        <w:t>ООО «Хуа-Ша» произведена</w:t>
      </w:r>
      <w:r w:rsidRPr="008B0BA4">
        <w:rPr>
          <w:rFonts w:ascii="Times New Roman" w:eastAsia="Times New Roman" w:hAnsi="Times New Roman"/>
          <w:sz w:val="24"/>
          <w:szCs w:val="24"/>
          <w:lang w:eastAsia="ru-RU"/>
        </w:rPr>
        <w:t xml:space="preserve"> оплата неустойки за просрочку исполнения обязательств</w:t>
      </w:r>
      <w:r w:rsidRPr="008B0BA4">
        <w:rPr>
          <w:rFonts w:ascii="Times New Roman" w:hAnsi="Times New Roman"/>
          <w:sz w:val="24"/>
          <w:szCs w:val="24"/>
        </w:rPr>
        <w:t xml:space="preserve"> в сумме 74,9 тыс. рублей (кассовое поступление от 03.12.2015 № 00000081).</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Объект «Насосная станция», расположенный по адресу: Амурская область, Благовещенский район, с. Чигири, ул. Виноградная, Л-74, введен в эксплуатацию в декабре 2015</w:t>
      </w:r>
      <w:r w:rsidRPr="008B0BA4">
        <w:rPr>
          <w:rFonts w:ascii="Times New Roman" w:hAnsi="Times New Roman"/>
          <w:i/>
          <w:sz w:val="24"/>
          <w:szCs w:val="24"/>
        </w:rPr>
        <w:t xml:space="preserve"> </w:t>
      </w:r>
      <w:r w:rsidRPr="008B0BA4">
        <w:rPr>
          <w:rFonts w:ascii="Times New Roman" w:hAnsi="Times New Roman"/>
          <w:sz w:val="24"/>
          <w:szCs w:val="24"/>
        </w:rPr>
        <w:t>года</w:t>
      </w:r>
      <w:r w:rsidRPr="008B0BA4">
        <w:rPr>
          <w:rFonts w:ascii="Times New Roman" w:hAnsi="Times New Roman"/>
          <w:i/>
          <w:sz w:val="24"/>
          <w:szCs w:val="24"/>
        </w:rPr>
        <w:t xml:space="preserve"> </w:t>
      </w:r>
      <w:r w:rsidRPr="008B0BA4">
        <w:rPr>
          <w:rFonts w:ascii="Times New Roman" w:hAnsi="Times New Roman"/>
          <w:sz w:val="24"/>
          <w:szCs w:val="24"/>
        </w:rPr>
        <w:t>(разрешение на ввод объекта в эксплуатацию администрации Благовещенского района от 08.12.2015, акт приемки законченного строительством объекта от 05.11.2015).</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В соответствии с выданными администрацией Благовещенского района разрешениями на ввод объектов в эксплуатацию и актами приемки законченных строительством объектов (ф. КС-11) ГКУ Амурской области «Строитель» по актам о приеме-передаче здания (сооружения) произведена передача министерству имущественных отношений Амурской области следующих объектов:</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lastRenderedPageBreak/>
        <w:t>-31 индивидуальных одноэтажных жилых дома, стоимостью 68070,1 тыс. рублей, насосная станция, стоимостью 5864,9 тыс. рублей (извещения от 25.12.2015 № 3, от 29.12.2015 № 18, от 23.03.2016 № 2);</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-подъездная дорога, стоимостью 5369,5 тыс. рублей (извещение от 19.11.2015 № 12);</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-детская площадка, стоимостью 2417,9 тыс. рублей (извещения от 07.08.2015 № 8, от 29.12.2015 № 12).</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Согласно извещениям</w:t>
      </w:r>
      <w:r w:rsidRPr="008B0BA4">
        <w:rPr>
          <w:rFonts w:ascii="Times New Roman" w:hAnsi="Times New Roman"/>
          <w:color w:val="FF0000"/>
          <w:sz w:val="24"/>
          <w:szCs w:val="24"/>
        </w:rPr>
        <w:t xml:space="preserve"> </w:t>
      </w:r>
      <w:r w:rsidRPr="008B0BA4">
        <w:rPr>
          <w:rFonts w:ascii="Times New Roman" w:hAnsi="Times New Roman"/>
          <w:sz w:val="24"/>
          <w:szCs w:val="24"/>
        </w:rPr>
        <w:t>указанные объекты приняты министерством имущественных отношений Амурской области и учтены в составе объектов недвижимого имущества, составляющих казну.</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В соответствии с постановлениями Правительства Амурской области от 19.11.2015 </w:t>
      </w:r>
      <w:r w:rsidRPr="008B0BA4">
        <w:rPr>
          <w:rFonts w:ascii="Times New Roman" w:hAnsi="Times New Roman"/>
          <w:sz w:val="24"/>
          <w:szCs w:val="24"/>
        </w:rPr>
        <w:br/>
        <w:t>№ 551, от 29.12.2015 № 643, от 23.03.2016 № 93 осуществлена безвозмездная передача из собственности Амурской области в собственность муниципального образования Чигиринский сельсовет имущества вышеуказанных объектов.</w:t>
      </w:r>
    </w:p>
    <w:p w:rsidR="008B0BA4" w:rsidRPr="008B0BA4" w:rsidRDefault="008B0BA4" w:rsidP="008B0BA4">
      <w:pPr>
        <w:spacing w:after="0" w:line="240" w:lineRule="auto"/>
        <w:ind w:firstLine="709"/>
        <w:jc w:val="both"/>
        <w:outlineLvl w:val="2"/>
        <w:rPr>
          <w:rFonts w:ascii="Times New Roman" w:hAnsi="Times New Roman"/>
          <w:i/>
          <w:sz w:val="24"/>
          <w:szCs w:val="24"/>
        </w:rPr>
      </w:pPr>
      <w:r w:rsidRPr="008B0BA4">
        <w:rPr>
          <w:rFonts w:ascii="Times New Roman" w:hAnsi="Times New Roman"/>
          <w:sz w:val="24"/>
          <w:szCs w:val="24"/>
        </w:rPr>
        <w:t>По данным бухгалтерского учета ГКУ Амурской области «Строитель» по состоянию на 01.05.2016 по счету 1 106 11 «Вложения в недвижимое имущество учреждения» по объекту «Строительство малоэтажных быстровозводимых жилых домов для граждан, лишившихся жилых помещений вследствие чрезвычайной ситуации, вызванной крупномасштабным наводнением, произошедшим на территории Амурской области в августе-сентябре 2013 года, с. Чигири Благовещенского района» числятся расходы в объеме 43631,5 тыс. рублей, в том числе в разрезе объектов:</w:t>
      </w:r>
    </w:p>
    <w:p w:rsidR="008B0BA4" w:rsidRPr="008B0BA4" w:rsidRDefault="008B0BA4" w:rsidP="008B0BA4">
      <w:pPr>
        <w:spacing w:after="0" w:line="240" w:lineRule="auto"/>
        <w:ind w:firstLine="709"/>
        <w:jc w:val="both"/>
        <w:outlineLvl w:val="2"/>
        <w:rPr>
          <w:rFonts w:ascii="Times New Roman" w:hAnsi="Times New Roman"/>
          <w:sz w:val="24"/>
          <w:szCs w:val="24"/>
        </w:rPr>
      </w:pPr>
      <w:r w:rsidRPr="008B0BA4">
        <w:rPr>
          <w:rFonts w:ascii="Times New Roman" w:hAnsi="Times New Roman"/>
          <w:sz w:val="24"/>
          <w:szCs w:val="24"/>
        </w:rPr>
        <w:t>-внутриквартальная гравийная дорога – 32582,1 тыс. рублей;</w:t>
      </w:r>
    </w:p>
    <w:p w:rsidR="008B0BA4" w:rsidRPr="008B0BA4" w:rsidRDefault="008B0BA4" w:rsidP="008B0BA4">
      <w:pPr>
        <w:spacing w:after="0" w:line="240" w:lineRule="auto"/>
        <w:ind w:firstLine="709"/>
        <w:jc w:val="both"/>
        <w:outlineLvl w:val="2"/>
        <w:rPr>
          <w:rFonts w:ascii="Times New Roman" w:hAnsi="Times New Roman"/>
          <w:sz w:val="24"/>
          <w:szCs w:val="24"/>
        </w:rPr>
      </w:pPr>
      <w:r w:rsidRPr="008B0BA4">
        <w:rPr>
          <w:rFonts w:ascii="Times New Roman" w:hAnsi="Times New Roman"/>
          <w:sz w:val="24"/>
          <w:szCs w:val="24"/>
        </w:rPr>
        <w:t>-наружные сети водоснабжения – 10511,3 тыс. рублей;</w:t>
      </w:r>
    </w:p>
    <w:p w:rsidR="008B0BA4" w:rsidRPr="008B0BA4" w:rsidRDefault="008B0BA4" w:rsidP="008B0BA4">
      <w:pPr>
        <w:spacing w:after="0" w:line="240" w:lineRule="auto"/>
        <w:ind w:firstLine="709"/>
        <w:jc w:val="both"/>
        <w:outlineLvl w:val="2"/>
        <w:rPr>
          <w:rFonts w:ascii="Times New Roman" w:hAnsi="Times New Roman"/>
          <w:sz w:val="24"/>
          <w:szCs w:val="24"/>
        </w:rPr>
      </w:pPr>
      <w:r w:rsidRPr="008B0BA4">
        <w:rPr>
          <w:rFonts w:ascii="Times New Roman" w:hAnsi="Times New Roman"/>
          <w:sz w:val="24"/>
          <w:szCs w:val="24"/>
        </w:rPr>
        <w:t xml:space="preserve">-наружные сети электроосвещения 0,4 кВ – 538,1 тыс. рублей. </w:t>
      </w:r>
    </w:p>
    <w:p w:rsidR="008B0BA4" w:rsidRPr="008B0BA4" w:rsidRDefault="008B0BA4" w:rsidP="008B0BA4">
      <w:pPr>
        <w:spacing w:after="0" w:line="240" w:lineRule="auto"/>
        <w:ind w:firstLine="709"/>
        <w:jc w:val="both"/>
        <w:outlineLvl w:val="2"/>
        <w:rPr>
          <w:rFonts w:ascii="Times New Roman" w:hAnsi="Times New Roman"/>
          <w:sz w:val="24"/>
          <w:szCs w:val="24"/>
        </w:rPr>
      </w:pPr>
      <w:r w:rsidRPr="008B0BA4">
        <w:rPr>
          <w:rFonts w:ascii="Times New Roman" w:hAnsi="Times New Roman"/>
          <w:sz w:val="24"/>
          <w:szCs w:val="24"/>
        </w:rPr>
        <w:t xml:space="preserve">Актом приема-передачи от 01.03.2016 администрациями Благовещенского района и Чигиринского сельского совета произведена приемка наружных сетей электроосвещения </w:t>
      </w:r>
      <w:r w:rsidRPr="008B0BA4">
        <w:rPr>
          <w:rFonts w:ascii="Times New Roman" w:hAnsi="Times New Roman"/>
          <w:sz w:val="24"/>
          <w:szCs w:val="24"/>
        </w:rPr>
        <w:br/>
        <w:t>0,4 кВ.</w:t>
      </w:r>
    </w:p>
    <w:p w:rsidR="008B0BA4" w:rsidRPr="008B0BA4" w:rsidRDefault="008B0BA4" w:rsidP="008B0BA4">
      <w:pPr>
        <w:spacing w:after="0" w:line="240" w:lineRule="auto"/>
        <w:ind w:firstLine="709"/>
        <w:jc w:val="both"/>
        <w:outlineLvl w:val="2"/>
        <w:rPr>
          <w:rFonts w:ascii="Times New Roman" w:hAnsi="Times New Roman"/>
          <w:sz w:val="24"/>
          <w:szCs w:val="24"/>
        </w:rPr>
      </w:pPr>
      <w:r w:rsidRPr="008B0BA4">
        <w:rPr>
          <w:rFonts w:ascii="Times New Roman" w:hAnsi="Times New Roman"/>
          <w:sz w:val="24"/>
          <w:szCs w:val="24"/>
        </w:rPr>
        <w:t>Письмом министерства имущественных отношений Амурской области от 20.04.2016 № 15-12/1985 главе администрации Чигиринского сельсовета предложено подготовить документы для принятия Правительством области решения о передаче объекта из собственности области в собственнос</w:t>
      </w:r>
      <w:r w:rsidR="00B55FEE">
        <w:rPr>
          <w:rFonts w:ascii="Times New Roman" w:hAnsi="Times New Roman"/>
          <w:sz w:val="24"/>
          <w:szCs w:val="24"/>
        </w:rPr>
        <w:t>ть муниципального образования.</w:t>
      </w:r>
    </w:p>
    <w:p w:rsidR="008B0BA4" w:rsidRPr="008B0BA4" w:rsidRDefault="008B0BA4" w:rsidP="008B0BA4">
      <w:pPr>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По объектам: внутриквартальная гравийная дорога и наружные сети водоснабжения требуется выполнение работ по отсыпке просадок грунта в местах прокладки водопровода к жилым домам, которые согласно гарантийному письму подрядчика - </w:t>
      </w:r>
      <w:r w:rsidRPr="008B0BA4">
        <w:rPr>
          <w:rFonts w:ascii="Times New Roman" w:hAnsi="Times New Roman"/>
          <w:sz w:val="24"/>
          <w:szCs w:val="24"/>
        </w:rPr>
        <w:br/>
        <w:t>ООО «Калининэнергострой» планирую</w:t>
      </w:r>
      <w:r w:rsidR="00B55FEE">
        <w:rPr>
          <w:rFonts w:ascii="Times New Roman" w:hAnsi="Times New Roman"/>
          <w:sz w:val="24"/>
          <w:szCs w:val="24"/>
        </w:rPr>
        <w:t>тся к выполнению до 10.06.2016.</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8B0BA4">
        <w:rPr>
          <w:rFonts w:ascii="Times New Roman" w:hAnsi="Times New Roman" w:cs="Arial"/>
          <w:sz w:val="24"/>
          <w:szCs w:val="24"/>
          <w:lang w:eastAsia="ru-RU"/>
        </w:rPr>
        <w:t>По данным бухгалтерского учета</w:t>
      </w:r>
      <w:r w:rsidRPr="008B0BA4">
        <w:rPr>
          <w:rFonts w:ascii="Times New Roman" w:eastAsia="Times New Roman" w:hAnsi="Times New Roman" w:cs="Arial"/>
          <w:sz w:val="24"/>
          <w:szCs w:val="24"/>
          <w:lang w:eastAsia="ru-RU"/>
        </w:rPr>
        <w:t xml:space="preserve"> ГКУ Амурской области «Строитель» остаток неиспользованных денежных средств, выделенных в соответствии с распоряжениями Правительства Амурской области в 2015 году, по состоянию на 01.01.2016 года составил 242,5 тыс. рублей.</w:t>
      </w:r>
      <w:r w:rsidRPr="008B0BA4">
        <w:rPr>
          <w:rFonts w:ascii="Times New Roman" w:eastAsia="Times New Roman" w:hAnsi="Times New Roman" w:cs="Times New Roman"/>
          <w:sz w:val="24"/>
          <w:szCs w:val="24"/>
          <w:lang w:eastAsia="ru-RU"/>
        </w:rPr>
        <w:t xml:space="preserve"> Неиспользованные средства возвращены в доход бюджета.</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8B0BA4">
        <w:rPr>
          <w:rFonts w:ascii="Times New Roman" w:eastAsia="Times New Roman" w:hAnsi="Times New Roman" w:cs="Arial"/>
          <w:sz w:val="24"/>
          <w:szCs w:val="24"/>
          <w:lang w:eastAsia="ru-RU"/>
        </w:rPr>
        <w:t xml:space="preserve">Уведомлением об изменении бюджетных назначений на 2016 год от 19.04.2016 </w:t>
      </w:r>
      <w:r w:rsidRPr="008B0BA4">
        <w:rPr>
          <w:rFonts w:ascii="Times New Roman" w:eastAsia="Times New Roman" w:hAnsi="Times New Roman" w:cs="Arial"/>
          <w:sz w:val="24"/>
          <w:szCs w:val="24"/>
          <w:lang w:eastAsia="ru-RU"/>
        </w:rPr>
        <w:br/>
        <w:t>№ 1838 ГКУ Амурской области «Строитель» доведены бюджетные ассигнования в объеме 242,5 тыс. рублей на мероприятия, проводимые в связи с чрезвычайной ситуацией в Амурской области в 2013 году за счет средств добров</w:t>
      </w:r>
      <w:r w:rsidR="00B55FEE">
        <w:rPr>
          <w:rFonts w:ascii="Times New Roman" w:eastAsia="Times New Roman" w:hAnsi="Times New Roman" w:cs="Arial"/>
          <w:sz w:val="24"/>
          <w:szCs w:val="24"/>
          <w:lang w:eastAsia="ru-RU"/>
        </w:rPr>
        <w:t>ольных взносов и пожертвований.</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cs="Arial"/>
          <w:sz w:val="24"/>
          <w:szCs w:val="24"/>
          <w:lang w:eastAsia="ru-RU"/>
        </w:rPr>
      </w:pPr>
    </w:p>
    <w:p w:rsidR="008B0BA4" w:rsidRPr="008B0BA4" w:rsidRDefault="008B0BA4" w:rsidP="0014690C">
      <w:pPr>
        <w:numPr>
          <w:ilvl w:val="0"/>
          <w:numId w:val="18"/>
        </w:numPr>
        <w:tabs>
          <w:tab w:val="left" w:pos="709"/>
          <w:tab w:val="left" w:pos="1276"/>
        </w:tabs>
        <w:suppressAutoHyphens/>
        <w:spacing w:after="0" w:line="240" w:lineRule="auto"/>
        <w:ind w:left="0" w:firstLine="709"/>
        <w:contextualSpacing/>
        <w:jc w:val="both"/>
        <w:rPr>
          <w:sz w:val="24"/>
          <w:szCs w:val="24"/>
        </w:rPr>
      </w:pPr>
      <w:r w:rsidRPr="008B0BA4">
        <w:rPr>
          <w:rFonts w:ascii="Times New Roman" w:hAnsi="Times New Roman" w:cs="Times New Roman"/>
          <w:b/>
          <w:sz w:val="24"/>
          <w:szCs w:val="24"/>
        </w:rPr>
        <w:t xml:space="preserve">Анализ объектов незавершенного строительства, числящихся на балансе </w:t>
      </w:r>
      <w:r w:rsidRPr="008B0BA4">
        <w:rPr>
          <w:rFonts w:ascii="Times New Roman" w:hAnsi="Times New Roman" w:cs="Times New Roman"/>
          <w:b/>
          <w:sz w:val="24"/>
          <w:szCs w:val="24"/>
        </w:rPr>
        <w:br/>
        <w:t>ГК</w:t>
      </w:r>
      <w:r w:rsidR="00B55FEE">
        <w:rPr>
          <w:rFonts w:ascii="Times New Roman" w:hAnsi="Times New Roman" w:cs="Times New Roman"/>
          <w:b/>
          <w:sz w:val="24"/>
          <w:szCs w:val="24"/>
        </w:rPr>
        <w:t>У Амурской области «Строитель»</w:t>
      </w:r>
    </w:p>
    <w:p w:rsidR="008B0BA4" w:rsidRPr="008B0BA4" w:rsidRDefault="008B0BA4" w:rsidP="008B0BA4">
      <w:pPr>
        <w:tabs>
          <w:tab w:val="left" w:pos="709"/>
        </w:tabs>
        <w:suppressAutoHyphens/>
        <w:spacing w:after="0" w:line="240" w:lineRule="auto"/>
        <w:ind w:firstLine="709"/>
        <w:jc w:val="both"/>
        <w:rPr>
          <w:rFonts w:ascii="Times New Roman" w:eastAsia="Lucida Sans Unicode" w:hAnsi="Times New Roman"/>
          <w:sz w:val="24"/>
          <w:szCs w:val="24"/>
        </w:rPr>
      </w:pPr>
      <w:r w:rsidRPr="008B0BA4">
        <w:rPr>
          <w:rFonts w:ascii="Times New Roman" w:eastAsia="Lucida Sans Unicode" w:hAnsi="Times New Roman"/>
          <w:sz w:val="24"/>
          <w:szCs w:val="24"/>
        </w:rPr>
        <w:t xml:space="preserve">Проверкой установлено, что в 2015 году ГКУ Амурской области «Строитель» на основании решений комиссии от 11.06.2015, 26.10.2015 по рассмотрению ходатайств учреждения о списании затрат по разработке проектно-сметной документации и иных расходов, не приведших к возведению объектов, в соответствии с Положением о порядке списания затрат по объектам незавершенного строительства, финансирование которых осуществлялось за счет средств областного бюджета, утвержденным постановлением Правительства Амурской области от 15.11.2012 № 641, произведено списание затрат, числящихся на балансе учреждения, по 3 объектам на сумму 239,3 тыс. рублей. В качестве </w:t>
      </w:r>
      <w:r w:rsidRPr="008B0BA4">
        <w:rPr>
          <w:rFonts w:ascii="Times New Roman" w:eastAsia="Lucida Sans Unicode" w:hAnsi="Times New Roman"/>
          <w:sz w:val="24"/>
          <w:szCs w:val="24"/>
        </w:rPr>
        <w:lastRenderedPageBreak/>
        <w:t>причин списания затрат, представляющих собой расходы, связанные с инженерно-геологическими изысканиями и подготовкой проектно-сметной документации по объектам: «9-этажный жилой дом, г.Шимановск», «Индивидуальный жилой дом, с.Державинка», «Многоквартирный жилой дом по ул. Кирова,10 г.Тында» указаны невозможность использования проектно-сметной документации в дальнейшем строительстве в связи с нецелесообразностью применения проектов, утратой актуальности проектно-сметной документации. При рассмотрении вопросов списания затрат комиссией учтено, что строительство объектов, по которым разработана проектно-сметная документация, расходами областног</w:t>
      </w:r>
      <w:r w:rsidR="00B55FEE">
        <w:rPr>
          <w:rFonts w:ascii="Times New Roman" w:eastAsia="Lucida Sans Unicode" w:hAnsi="Times New Roman"/>
          <w:sz w:val="24"/>
          <w:szCs w:val="24"/>
        </w:rPr>
        <w:t>о бюджета не предусматривается.</w:t>
      </w:r>
    </w:p>
    <w:p w:rsidR="008B0BA4" w:rsidRPr="008B0BA4" w:rsidRDefault="008B0BA4" w:rsidP="008B0BA4">
      <w:pPr>
        <w:tabs>
          <w:tab w:val="left" w:pos="709"/>
        </w:tabs>
        <w:suppressAutoHyphens/>
        <w:spacing w:after="0" w:line="240" w:lineRule="auto"/>
        <w:ind w:firstLine="709"/>
        <w:jc w:val="both"/>
        <w:rPr>
          <w:rFonts w:ascii="Times New Roman" w:eastAsia="Lucida Sans Unicode" w:hAnsi="Times New Roman"/>
          <w:sz w:val="24"/>
          <w:szCs w:val="24"/>
        </w:rPr>
      </w:pPr>
      <w:r w:rsidRPr="008B0BA4">
        <w:rPr>
          <w:rFonts w:ascii="Times New Roman" w:eastAsia="Lucida Sans Unicode" w:hAnsi="Times New Roman"/>
          <w:sz w:val="24"/>
          <w:szCs w:val="24"/>
        </w:rPr>
        <w:t>Таким образом, списание с баланса ГКУ Амурской области «Строитель» затрат на сумму 239,3 тыс. рублей, представляющих собой расходы областного бюджета на подготовительные работы и подготовку проектно-сметной документации, свидетельствует о недостижении заданных результатов и необеспечении принципа эффективности использования бюджетных средств, предусмотренного статьей 34 Бюджетног</w:t>
      </w:r>
      <w:r w:rsidR="00B55FEE">
        <w:rPr>
          <w:rFonts w:ascii="Times New Roman" w:eastAsia="Lucida Sans Unicode" w:hAnsi="Times New Roman"/>
          <w:sz w:val="24"/>
          <w:szCs w:val="24"/>
        </w:rPr>
        <w:t>о кодекса Российской Федерации.</w:t>
      </w:r>
    </w:p>
    <w:p w:rsidR="008B0BA4" w:rsidRPr="008B0BA4" w:rsidRDefault="008B0BA4" w:rsidP="008B0BA4">
      <w:pPr>
        <w:tabs>
          <w:tab w:val="left" w:pos="709"/>
        </w:tabs>
        <w:suppressAutoHyphens/>
        <w:spacing w:after="0" w:line="240" w:lineRule="auto"/>
        <w:ind w:firstLine="709"/>
        <w:jc w:val="both"/>
        <w:rPr>
          <w:rFonts w:ascii="Times New Roman" w:eastAsia="Lucida Sans Unicode" w:hAnsi="Times New Roman"/>
          <w:sz w:val="24"/>
          <w:szCs w:val="24"/>
        </w:rPr>
      </w:pPr>
      <w:r w:rsidRPr="008B0BA4">
        <w:rPr>
          <w:rFonts w:ascii="Times New Roman" w:eastAsia="Lucida Sans Unicode" w:hAnsi="Times New Roman"/>
          <w:sz w:val="24"/>
          <w:szCs w:val="24"/>
        </w:rPr>
        <w:t xml:space="preserve">Согласно данным годового отчета ГКУ Амурской области «Строитель» по состоянию на 01.01.2016 по данным баланса получателя бюджетных средств (ф. 0503130) по строке </w:t>
      </w:r>
      <w:r w:rsidRPr="008B0BA4">
        <w:rPr>
          <w:rFonts w:ascii="Times New Roman" w:eastAsia="Lucida Sans Unicode" w:hAnsi="Times New Roman"/>
          <w:sz w:val="24"/>
          <w:szCs w:val="24"/>
        </w:rPr>
        <w:br/>
        <w:t>091 «Вложения в недвижимое имущество учреждения» отражена сумма 5246662,4 тыс. рублей (по состоянию на 01.01.2015 - 6100824,1 тыс. рублей), представляющая собой объем затрат по незавер</w:t>
      </w:r>
      <w:r w:rsidR="00B55FEE">
        <w:rPr>
          <w:rFonts w:ascii="Times New Roman" w:eastAsia="Lucida Sans Unicode" w:hAnsi="Times New Roman"/>
          <w:sz w:val="24"/>
          <w:szCs w:val="24"/>
        </w:rPr>
        <w:t>шенным строительством объектам.</w:t>
      </w:r>
    </w:p>
    <w:p w:rsidR="008B0BA4" w:rsidRPr="008B0BA4" w:rsidRDefault="008B0BA4" w:rsidP="008B0BA4">
      <w:pPr>
        <w:autoSpaceDE w:val="0"/>
        <w:autoSpaceDN w:val="0"/>
        <w:adjustRightInd w:val="0"/>
        <w:spacing w:after="0" w:line="240" w:lineRule="auto"/>
        <w:ind w:firstLine="709"/>
        <w:jc w:val="both"/>
        <w:outlineLvl w:val="1"/>
        <w:rPr>
          <w:rFonts w:ascii="Times New Roman" w:hAnsi="Times New Roman"/>
          <w:sz w:val="24"/>
          <w:szCs w:val="24"/>
        </w:rPr>
      </w:pPr>
      <w:r w:rsidRPr="008B0BA4">
        <w:rPr>
          <w:rFonts w:ascii="Times New Roman" w:hAnsi="Times New Roman"/>
          <w:sz w:val="24"/>
          <w:szCs w:val="24"/>
        </w:rPr>
        <w:t xml:space="preserve">Анализом расходов в отношении незавершенных строительством объектов установлено, что продолжают сохраняться отмеченные по результатам ранее проведенных контрольно-счетной палатой Амурской области проверок риски, связанные с невостребованностью проектно-сметной документации в связи с отсутствием предусмотренных за счет бюджетных средств расходов на строительство объектов, что в конечном итоге не позволит обеспечить соблюдение принципа эффективности использования бюджетных средств, предусмотренного статьей 34 Бюджетного кодекса Российской Федерации, и может привести к неэффективному расходованию средств областного бюджета. По состоянию на 01.01.2016 года объем расходов на подготовку проектно-сметной документации по 53 объектам, строительство которых не начато и государственными программами области на период 2014-2020 годы не предусмотрено, </w:t>
      </w:r>
      <w:r w:rsidR="00B55FEE">
        <w:rPr>
          <w:rFonts w:ascii="Times New Roman" w:hAnsi="Times New Roman"/>
          <w:sz w:val="24"/>
          <w:szCs w:val="24"/>
        </w:rPr>
        <w:t>составляет 62122,5 тыс. рублей.</w:t>
      </w:r>
    </w:p>
    <w:p w:rsidR="008B0BA4" w:rsidRPr="008B0BA4" w:rsidRDefault="008B0BA4" w:rsidP="008B0BA4">
      <w:pPr>
        <w:autoSpaceDE w:val="0"/>
        <w:autoSpaceDN w:val="0"/>
        <w:adjustRightInd w:val="0"/>
        <w:spacing w:after="0" w:line="240" w:lineRule="auto"/>
        <w:ind w:firstLine="709"/>
        <w:jc w:val="both"/>
        <w:rPr>
          <w:rFonts w:ascii="Times New Roman" w:hAnsi="Times New Roman" w:cs="Times New Roman"/>
          <w:sz w:val="24"/>
          <w:szCs w:val="24"/>
        </w:rPr>
      </w:pPr>
      <w:r w:rsidRPr="008B0BA4">
        <w:rPr>
          <w:rFonts w:ascii="Times New Roman" w:hAnsi="Times New Roman" w:cs="Times New Roman"/>
          <w:sz w:val="24"/>
          <w:szCs w:val="24"/>
        </w:rPr>
        <w:t>Кроме того, в перечне незавершенных строительством объектов по состоянию на 01.01.2016 года отражены расходы в размере 928417,6 тыс. рублей по 13 объектам, фактически завершенных строительством и введенных в эксплуатацию. Затраты по строительству объектов не переданы эксплуатирующим организациям по различным причинам, в числе которых отсутствие распорядительных документов, отказ в приемке затрат, отсутствие возможности в определении балансодержателя объекта, и продолжают числиться по данным учета ГКУ Амурской области «Строитель» в составе вложений в нефинансовые активы, что в свою очередь не дает достоверного представления о фактических объемах незавершенного строительства на отчетную дату.</w:t>
      </w:r>
    </w:p>
    <w:p w:rsidR="008B0BA4" w:rsidRPr="008B0BA4" w:rsidRDefault="008B0BA4" w:rsidP="008B0BA4">
      <w:pPr>
        <w:tabs>
          <w:tab w:val="left" w:pos="709"/>
          <w:tab w:val="left" w:pos="851"/>
        </w:tabs>
        <w:suppressAutoHyphens/>
        <w:spacing w:after="0" w:line="240" w:lineRule="auto"/>
        <w:ind w:firstLine="709"/>
        <w:jc w:val="both"/>
        <w:rPr>
          <w:rFonts w:ascii="Times New Roman" w:eastAsia="Lucida Sans Unicode" w:hAnsi="Times New Roman"/>
          <w:sz w:val="24"/>
          <w:szCs w:val="24"/>
        </w:rPr>
      </w:pPr>
      <w:r w:rsidRPr="008B0BA4">
        <w:rPr>
          <w:rFonts w:ascii="Times New Roman" w:eastAsia="Lucida Sans Unicode" w:hAnsi="Times New Roman"/>
          <w:sz w:val="24"/>
          <w:szCs w:val="24"/>
        </w:rPr>
        <w:t xml:space="preserve">ГКУ Амурской области «Строитель» письмами от 09.09.2015 № 11-02-2004; 16.10.2015 № 11-02-2325/2158; 10.12.2015 № 11-02-2755; 26.01.2016 № 11-02-132; 29.02.2016 № 11-012-411; 23.03.2016 № 11-02-530 в адрес министерства транспорта и строительства направлены предложения по определению порядка списания затрат по объектам, законченным строительством и находящихся в эксплуатации, часть затрат по которым продолжает по различным причинам числиться по данным учета ГКУ Амурской области «Строитель» </w:t>
      </w:r>
      <w:r w:rsidRPr="008B0BA4">
        <w:rPr>
          <w:rFonts w:ascii="Times New Roman" w:hAnsi="Times New Roman"/>
          <w:sz w:val="24"/>
          <w:szCs w:val="24"/>
        </w:rPr>
        <w:t xml:space="preserve">на счете 1 106 1 «Вложения в нефинансовые активы». На момент проверки ответа со стороны </w:t>
      </w:r>
      <w:r w:rsidRPr="008B0BA4">
        <w:rPr>
          <w:rFonts w:ascii="Times New Roman" w:eastAsia="Lucida Sans Unicode" w:hAnsi="Times New Roman"/>
          <w:sz w:val="24"/>
          <w:szCs w:val="24"/>
        </w:rPr>
        <w:t xml:space="preserve">министерства транспорта и строительства области не поступало, </w:t>
      </w:r>
      <w:r w:rsidRPr="008B0BA4">
        <w:rPr>
          <w:rFonts w:ascii="Times New Roman" w:hAnsi="Times New Roman"/>
          <w:sz w:val="24"/>
          <w:szCs w:val="24"/>
        </w:rPr>
        <w:t>порядок списания не определен и до учреждения не доведен.</w:t>
      </w:r>
    </w:p>
    <w:p w:rsidR="008B0BA4" w:rsidRPr="008B0BA4" w:rsidRDefault="008B0BA4" w:rsidP="008B0BA4">
      <w:pPr>
        <w:tabs>
          <w:tab w:val="left" w:pos="0"/>
        </w:tabs>
        <w:spacing w:after="0" w:line="240" w:lineRule="auto"/>
        <w:ind w:firstLine="709"/>
        <w:contextualSpacing/>
        <w:jc w:val="both"/>
      </w:pPr>
      <w:r w:rsidRPr="008B0BA4">
        <w:rPr>
          <w:rFonts w:ascii="Times New Roman" w:hAnsi="Times New Roman"/>
          <w:sz w:val="24"/>
          <w:szCs w:val="24"/>
        </w:rPr>
        <w:t xml:space="preserve">В перечне незавершенных строительством объектов отражены 20 объектов со стоимостью затрат 4256122,2 тыс. рублей, из которых в отношении 14 объектов со стоимостью затрат 748030,5 тыс. рублей не принято решений о продолжении </w:t>
      </w:r>
      <w:r w:rsidRPr="008B0BA4">
        <w:rPr>
          <w:rFonts w:ascii="Times New Roman" w:hAnsi="Times New Roman"/>
          <w:sz w:val="24"/>
          <w:szCs w:val="24"/>
        </w:rPr>
        <w:lastRenderedPageBreak/>
        <w:t>финансирования для завершения их строительством в рамках расходов областного бюджета на период 2015-2016 годов, в том числе:</w:t>
      </w:r>
    </w:p>
    <w:p w:rsidR="008B0BA4" w:rsidRPr="008B0BA4" w:rsidRDefault="008B0BA4" w:rsidP="008B0BA4">
      <w:pPr>
        <w:tabs>
          <w:tab w:val="left" w:pos="0"/>
        </w:tabs>
        <w:spacing w:after="0" w:line="240" w:lineRule="auto"/>
        <w:ind w:firstLine="709"/>
        <w:contextualSpacing/>
        <w:jc w:val="both"/>
      </w:pPr>
      <w:r w:rsidRPr="008B0BA4">
        <w:rPr>
          <w:rFonts w:ascii="Times New Roman" w:hAnsi="Times New Roman"/>
          <w:sz w:val="24"/>
          <w:szCs w:val="24"/>
        </w:rPr>
        <w:t>-</w:t>
      </w:r>
      <w:r w:rsidRPr="008B0BA4">
        <w:rPr>
          <w:rFonts w:ascii="Times New Roman" w:hAnsi="Times New Roman"/>
          <w:sz w:val="24"/>
          <w:szCs w:val="24"/>
          <w:lang w:val="en-US"/>
        </w:rPr>
        <w:t>II</w:t>
      </w:r>
      <w:r w:rsidRPr="008B0BA4">
        <w:rPr>
          <w:rFonts w:ascii="Times New Roman" w:hAnsi="Times New Roman"/>
          <w:sz w:val="24"/>
          <w:szCs w:val="24"/>
        </w:rPr>
        <w:t xml:space="preserve"> очередь Шумиловского участка временного захоронения твердых токсичных отходов – 14178,1 тыс. рублей, срок окончания работ по государственному контракту </w:t>
      </w:r>
      <w:r w:rsidRPr="008B0BA4">
        <w:rPr>
          <w:rFonts w:ascii="Times New Roman" w:hAnsi="Times New Roman"/>
          <w:sz w:val="24"/>
          <w:szCs w:val="24"/>
        </w:rPr>
        <w:br/>
        <w:t>№ 12 от 24.10.2011 с ООО «</w:t>
      </w:r>
      <w:r w:rsidRPr="008B0BA4">
        <w:rPr>
          <w:rFonts w:ascii="Times New Roman" w:hAnsi="Times New Roman"/>
          <w:sz w:val="24"/>
          <w:szCs w:val="24"/>
          <w:lang w:val="en-US"/>
        </w:rPr>
        <w:t>HOTEX</w:t>
      </w:r>
      <w:r w:rsidRPr="008B0BA4">
        <w:rPr>
          <w:rFonts w:ascii="Times New Roman" w:hAnsi="Times New Roman"/>
          <w:sz w:val="24"/>
          <w:szCs w:val="24"/>
        </w:rPr>
        <w:t>-2000» на строительство объекта, определен до 31.08.2012, техническая готовность объекта – 28 процентов, вопрос о дальнейшем строительстве объекта или его консервации не решен, работы не ведутся, истек срок действия заключения по экологической экспертизе;</w:t>
      </w:r>
    </w:p>
    <w:p w:rsidR="008B0BA4" w:rsidRPr="008B0BA4" w:rsidRDefault="008B0BA4" w:rsidP="008B0BA4">
      <w:pPr>
        <w:spacing w:after="0" w:line="240" w:lineRule="auto"/>
        <w:ind w:firstLine="709"/>
        <w:jc w:val="both"/>
        <w:outlineLvl w:val="2"/>
        <w:rPr>
          <w:rFonts w:ascii="Times New Roman" w:hAnsi="Times New Roman"/>
          <w:sz w:val="24"/>
          <w:szCs w:val="24"/>
        </w:rPr>
      </w:pPr>
      <w:r w:rsidRPr="008B0BA4">
        <w:rPr>
          <w:rFonts w:ascii="Times New Roman" w:hAnsi="Times New Roman"/>
          <w:sz w:val="24"/>
          <w:szCs w:val="24"/>
        </w:rPr>
        <w:t>-Психоневрологический интернат в с. Новый Быт Ромненского района. Спальный корпус - 10734,0 тыс. рублей, срок окончания работ по государственному контракту от 13.09.2012 № 0123200000312002120 с ООО «Строй Город» определен до 25.09.2014, техническая готовность объекта – 35,0 процентов, в 2014 году строительство объекта не финансировалось, работы не ведутся в связи с отсутствием средств. Мероприятиями государственной программы Амурской области «Развитие системы социальной защиты населения Амурской области на 2014-2020 годы», утвержденной Постановлением Правительства Амурской области от 25.09.2013 № 444, финансирование незавершенного строительством здания спального корпуса психоневрологического интерната в с. Новый Быт Ромненского района предусмотрено на 2018 год;</w:t>
      </w:r>
    </w:p>
    <w:p w:rsidR="008B0BA4" w:rsidRPr="008B0BA4" w:rsidRDefault="008B0BA4" w:rsidP="008B0BA4">
      <w:pPr>
        <w:tabs>
          <w:tab w:val="left" w:pos="851"/>
        </w:tabs>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-Дом-интернат для умственно отсталых детей, с. Малиновка Бурейского района (завершение работ по блоку «А», выполнение работ по блоку «В») - </w:t>
      </w:r>
      <w:r w:rsidRPr="008B0BA4">
        <w:rPr>
          <w:rFonts w:ascii="Times New Roman" w:hAnsi="Times New Roman"/>
          <w:color w:val="000000" w:themeColor="text1"/>
          <w:sz w:val="24"/>
          <w:szCs w:val="24"/>
        </w:rPr>
        <w:t xml:space="preserve">141949,3 тыс. рублей, </w:t>
      </w:r>
      <w:r w:rsidRPr="008B0BA4">
        <w:rPr>
          <w:rFonts w:ascii="Times New Roman" w:hAnsi="Times New Roman"/>
          <w:sz w:val="24"/>
          <w:szCs w:val="24"/>
        </w:rPr>
        <w:t xml:space="preserve">срок окончания работ по государственному контракту от 11.11.2009 № 18 с ЗАО «Строительная компания № 1» определен до 25.12.2012, техническая готовность объекта – </w:t>
      </w:r>
      <w:r w:rsidRPr="008B0BA4">
        <w:rPr>
          <w:rFonts w:ascii="Times New Roman" w:hAnsi="Times New Roman"/>
          <w:sz w:val="24"/>
          <w:szCs w:val="24"/>
        </w:rPr>
        <w:br/>
        <w:t>65,2 процента, работы не ведутся с 2014 года в связи с отсутствием бюджетных средств. Мероприятиями государственной программы Амурской области «Развитие системы социальной защиты населения Амурской области на 2014-2020 гг.», утвержденной Постановлением Правительства Амурской области от 25.09.2013 № 444, финансирование строительства объекта «Дом-интернат для умственно отсталых детей, с. Малиновка Бурейского рай</w:t>
      </w:r>
      <w:r w:rsidR="00B55FEE">
        <w:rPr>
          <w:rFonts w:ascii="Times New Roman" w:hAnsi="Times New Roman"/>
          <w:sz w:val="24"/>
          <w:szCs w:val="24"/>
        </w:rPr>
        <w:t>она» предусмотрено на 2019 год.</w:t>
      </w:r>
    </w:p>
    <w:p w:rsidR="008B0BA4" w:rsidRPr="008B0BA4" w:rsidRDefault="008B0BA4" w:rsidP="008B0BA4">
      <w:pPr>
        <w:tabs>
          <w:tab w:val="left" w:pos="709"/>
          <w:tab w:val="left" w:pos="851"/>
        </w:tabs>
        <w:suppressAutoHyphens/>
        <w:spacing w:after="0" w:line="100" w:lineRule="atLeast"/>
        <w:ind w:firstLine="709"/>
        <w:jc w:val="both"/>
        <w:rPr>
          <w:rFonts w:ascii="Times New Roman" w:eastAsia="Lucida Sans Unicode" w:hAnsi="Times New Roman"/>
          <w:b/>
          <w:color w:val="7030A0"/>
          <w:sz w:val="24"/>
          <w:szCs w:val="24"/>
        </w:rPr>
      </w:pPr>
      <w:r w:rsidRPr="008B0BA4">
        <w:rPr>
          <w:rFonts w:ascii="Times New Roman" w:eastAsia="Lucida Sans Unicode" w:hAnsi="Times New Roman"/>
          <w:sz w:val="24"/>
          <w:szCs w:val="24"/>
        </w:rPr>
        <w:t xml:space="preserve">-Реконструкция очистных сооружений 2-я очередь п. Новобурейский – 268194,7 тыс. рублей, кроме того по счету 1 105 34 «Материальные запасы - иное движимое имущество учреждения» числится оборудование на сумму 184399,5 тыс. рублей, требующее монтажа, оплата и передача на ответственное хранение оборудования осуществлены в 2007-2009 году. </w:t>
      </w:r>
      <w:r w:rsidRPr="008B0BA4">
        <w:rPr>
          <w:rFonts w:ascii="Times New Roman" w:eastAsia="Lucida Sans Unicode" w:hAnsi="Times New Roman"/>
          <w:sz w:val="24"/>
          <w:szCs w:val="24"/>
        </w:rPr>
        <w:br/>
        <w:t xml:space="preserve">В соответствии с условиями государственного контракта № 23 от 30.10.2006, заключенного между ГУП Амурской области «Строитель» и ОАО «Водоканал-Инжиниринг» на выполнение строительно-монтажных работ, текущего проектирования, поставку и монтаж оборудования на объекте «Очистные сооружения п. Новобурейский мощностью до </w:t>
      </w:r>
      <w:r w:rsidRPr="008B0BA4">
        <w:rPr>
          <w:rFonts w:ascii="Times New Roman" w:eastAsia="Lucida Sans Unicode" w:hAnsi="Times New Roman"/>
          <w:sz w:val="24"/>
          <w:szCs w:val="24"/>
        </w:rPr>
        <w:br/>
        <w:t>3200 м</w:t>
      </w:r>
      <w:r w:rsidRPr="008B0BA4">
        <w:rPr>
          <w:rFonts w:ascii="Times New Roman" w:eastAsia="Lucida Sans Unicode" w:hAnsi="Times New Roman"/>
          <w:sz w:val="24"/>
          <w:szCs w:val="24"/>
          <w:vertAlign w:val="superscript"/>
        </w:rPr>
        <w:t>3</w:t>
      </w:r>
      <w:r w:rsidRPr="008B0BA4">
        <w:rPr>
          <w:rFonts w:ascii="Times New Roman" w:eastAsia="Lucida Sans Unicode" w:hAnsi="Times New Roman"/>
          <w:sz w:val="24"/>
          <w:szCs w:val="24"/>
        </w:rPr>
        <w:t xml:space="preserve">/сутки в составе Зоны затопления Бурейской ГЭС», общая стоимость работ составляет 709674,0 тыс. рублей, сроки выполнения работ предусмотрены в период с 01.11.2006 до 31.08.2008. По состоянию на 01.01.2014 техническая готовность объекта – </w:t>
      </w:r>
      <w:r w:rsidRPr="008B0BA4">
        <w:rPr>
          <w:rFonts w:ascii="Times New Roman" w:eastAsia="Lucida Sans Unicode" w:hAnsi="Times New Roman"/>
          <w:sz w:val="24"/>
          <w:szCs w:val="24"/>
        </w:rPr>
        <w:br/>
        <w:t>78,8 процента, работы не ведутся с 2012 года в связи с отсутствием финансирования, вопрос о завершении строительства объекта или его консервации не решен.</w:t>
      </w:r>
    </w:p>
    <w:p w:rsidR="008B0BA4" w:rsidRPr="008B0BA4" w:rsidRDefault="008B0BA4" w:rsidP="008B0BA4">
      <w:pPr>
        <w:tabs>
          <w:tab w:val="left" w:pos="709"/>
          <w:tab w:val="left" w:pos="851"/>
        </w:tabs>
        <w:suppressAutoHyphens/>
        <w:spacing w:after="0" w:line="100" w:lineRule="atLeast"/>
        <w:ind w:firstLine="709"/>
        <w:jc w:val="both"/>
        <w:rPr>
          <w:rFonts w:ascii="Times New Roman" w:eastAsia="Lucida Sans Unicode" w:hAnsi="Times New Roman"/>
          <w:sz w:val="24"/>
          <w:szCs w:val="24"/>
        </w:rPr>
      </w:pPr>
      <w:r w:rsidRPr="008B0BA4">
        <w:rPr>
          <w:rFonts w:ascii="Times New Roman" w:eastAsia="Lucida Sans Unicode" w:hAnsi="Times New Roman"/>
          <w:sz w:val="24"/>
          <w:szCs w:val="24"/>
        </w:rPr>
        <w:t xml:space="preserve">Кроме того, по данным учета ГКУ Амурской области «Строитель» числятся незавершенные строительством объекты: с 2007 года – объекты «Благоустройство жилого квартала для переселенного населения п. Новобурейский», объем затрат 14000,0 тыс. рублей, «Благоустройство сетей водоснабжения п. Новобурейский», объем затрат 24193,2 тыс. рублей, 2009 года - объект «Реконструкция инженерных сетей п. Новобурейский </w:t>
      </w:r>
      <w:r w:rsidRPr="008B0BA4">
        <w:rPr>
          <w:rFonts w:ascii="Times New Roman" w:eastAsia="Lucida Sans Unicode" w:hAnsi="Times New Roman"/>
          <w:sz w:val="24"/>
          <w:szCs w:val="24"/>
        </w:rPr>
        <w:br/>
        <w:t xml:space="preserve">(2 очередь)»: объем затрат 13926,0 тыс. рублей, техническая готовность объекта – </w:t>
      </w:r>
      <w:r w:rsidRPr="008B0BA4">
        <w:rPr>
          <w:rFonts w:ascii="Times New Roman" w:eastAsia="Lucida Sans Unicode" w:hAnsi="Times New Roman"/>
          <w:sz w:val="24"/>
          <w:szCs w:val="24"/>
        </w:rPr>
        <w:br/>
        <w:t xml:space="preserve">34,6 процента; с 2010 года - объекты «Инженерная защита территорий п. Новобурейский»: объем затрат 132032,8 тыс. рублей, техническая готовность объекта – 51,4 процента; «Инженерная защита территорий с. Малиновка»: объем затрат 19343,5 тыс. рублей, техническая готовность объекта – 41,4 процента. Финансирование строительства объектов осуществлялось за счет государственных капитальных вложений, выделенных на реализацию Федеральной адресной инвестиционной программы в рамках непрограммной </w:t>
      </w:r>
      <w:r w:rsidRPr="008B0BA4">
        <w:rPr>
          <w:rFonts w:ascii="Times New Roman" w:eastAsia="Lucida Sans Unicode" w:hAnsi="Times New Roman"/>
          <w:sz w:val="24"/>
          <w:szCs w:val="24"/>
        </w:rPr>
        <w:lastRenderedPageBreak/>
        <w:t xml:space="preserve">части, федеральных целевых программ «Энергоэффективная экономика на </w:t>
      </w:r>
      <w:r w:rsidRPr="008B0BA4">
        <w:rPr>
          <w:rFonts w:ascii="Times New Roman" w:eastAsia="Lucida Sans Unicode" w:hAnsi="Times New Roman"/>
          <w:sz w:val="24"/>
          <w:szCs w:val="24"/>
        </w:rPr>
        <w:br/>
        <w:t>2002-2005 годы и на период до 2010 года», «Экономическое и социальное развитие Дальнего Востока и Забайкалья на период до 2013 года». Ввиду отсутствия финансирования стро</w:t>
      </w:r>
      <w:r w:rsidR="00B55FEE">
        <w:rPr>
          <w:rFonts w:ascii="Times New Roman" w:eastAsia="Lucida Sans Unicode" w:hAnsi="Times New Roman"/>
          <w:sz w:val="24"/>
          <w:szCs w:val="24"/>
        </w:rPr>
        <w:t>ительство объектов остановлено.</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sz w:val="24"/>
          <w:szCs w:val="24"/>
        </w:rPr>
      </w:pPr>
      <w:r w:rsidRPr="008B0BA4">
        <w:rPr>
          <w:rFonts w:ascii="Times New Roman" w:hAnsi="Times New Roman"/>
          <w:sz w:val="24"/>
          <w:szCs w:val="24"/>
        </w:rPr>
        <w:t xml:space="preserve">Согласно </w:t>
      </w:r>
      <w:hyperlink r:id="rId59" w:history="1">
        <w:r w:rsidRPr="008B0BA4">
          <w:rPr>
            <w:rFonts w:ascii="Times New Roman" w:hAnsi="Times New Roman"/>
            <w:sz w:val="24"/>
            <w:szCs w:val="24"/>
          </w:rPr>
          <w:t>ч. 4 статьи 52</w:t>
        </w:r>
      </w:hyperlink>
      <w:r w:rsidRPr="008B0BA4">
        <w:rPr>
          <w:rFonts w:ascii="Times New Roman" w:hAnsi="Times New Roman"/>
          <w:sz w:val="24"/>
          <w:szCs w:val="24"/>
        </w:rPr>
        <w:t xml:space="preserve"> Градостроительного кодекса Российской Федерации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В соответствии со </w:t>
      </w:r>
      <w:hyperlink r:id="rId60" w:history="1">
        <w:r w:rsidRPr="008B0BA4">
          <w:rPr>
            <w:rFonts w:ascii="Times New Roman" w:hAnsi="Times New Roman"/>
            <w:sz w:val="24"/>
            <w:szCs w:val="24"/>
          </w:rPr>
          <w:t>статьей 752</w:t>
        </w:r>
      </w:hyperlink>
      <w:r w:rsidRPr="008B0BA4">
        <w:rPr>
          <w:rFonts w:ascii="Times New Roman" w:hAnsi="Times New Roman"/>
          <w:sz w:val="24"/>
          <w:szCs w:val="24"/>
        </w:rPr>
        <w:t xml:space="preserve"> Гражданского кодекса Российской Федерации, 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 Таким образом, при отсутствии решений о выделении средств на финансирование начатых строительством объектов возникают риски, связанные с дополнительными расходами по консервации объектов.</w:t>
      </w:r>
    </w:p>
    <w:p w:rsidR="008B0BA4" w:rsidRPr="008B0BA4" w:rsidRDefault="008B0BA4" w:rsidP="008B0BA4">
      <w:pPr>
        <w:tabs>
          <w:tab w:val="left" w:pos="709"/>
          <w:tab w:val="left" w:pos="851"/>
        </w:tabs>
        <w:suppressAutoHyphens/>
        <w:spacing w:after="0" w:line="100" w:lineRule="atLeast"/>
        <w:ind w:firstLine="709"/>
        <w:jc w:val="both"/>
        <w:rPr>
          <w:rFonts w:eastAsia="Lucida Sans Unicode"/>
        </w:rPr>
      </w:pPr>
      <w:r w:rsidRPr="008B0BA4">
        <w:rPr>
          <w:rFonts w:ascii="Times New Roman" w:eastAsia="Lucida Sans Unicode" w:hAnsi="Times New Roman"/>
          <w:sz w:val="24"/>
          <w:szCs w:val="24"/>
        </w:rPr>
        <w:t xml:space="preserve">Объем расходов по объектам незавершенного строительства, </w:t>
      </w:r>
      <w:r w:rsidRPr="008B0BA4">
        <w:rPr>
          <w:rFonts w:ascii="Times New Roman" w:hAnsi="Times New Roman"/>
          <w:sz w:val="24"/>
          <w:szCs w:val="24"/>
        </w:rPr>
        <w:t xml:space="preserve">строительство которых не ведется в связи с прекращением финансирования, </w:t>
      </w:r>
      <w:r w:rsidRPr="008B0BA4">
        <w:rPr>
          <w:rFonts w:ascii="Times New Roman" w:eastAsia="Lucida Sans Unicode" w:hAnsi="Times New Roman"/>
          <w:sz w:val="24"/>
          <w:szCs w:val="24"/>
        </w:rPr>
        <w:t xml:space="preserve">составил 932430,0 тыс. рублей </w:t>
      </w:r>
      <w:r w:rsidRPr="008B0BA4">
        <w:rPr>
          <w:rFonts w:ascii="Times New Roman" w:eastAsia="Lucida Sans Unicode" w:hAnsi="Times New Roman"/>
          <w:sz w:val="24"/>
          <w:szCs w:val="24"/>
        </w:rPr>
        <w:br/>
        <w:t xml:space="preserve">(с учетом стоимости переданного на ответственное хранение оборудования). Финансирование расходов на строительство объектов в 2015 году не осуществлялось и в рамках расходов областного бюджета на 2016 год не предусмотрено. Отсутствие решений о выделении средств на завершение строительства объектов не обеспечивает соблюдение принципа эффективности использования бюджетных средств, предусмотренного статьей </w:t>
      </w:r>
      <w:r w:rsidRPr="008B0BA4">
        <w:rPr>
          <w:rFonts w:ascii="Times New Roman" w:eastAsia="Lucida Sans Unicode" w:hAnsi="Times New Roman"/>
          <w:sz w:val="24"/>
          <w:szCs w:val="24"/>
        </w:rPr>
        <w:br/>
        <w:t>34 Бюджетного кодекса Российской Федерации, не позволяет обеспечить достижение заданных результатов и влечет значительные риски неэффективного расходования бюджетных средств, использованных на оплату работ по незавершенным строительством объектам.</w:t>
      </w:r>
    </w:p>
    <w:p w:rsidR="008B0BA4" w:rsidRPr="008B0BA4" w:rsidRDefault="008B0BA4" w:rsidP="008B0BA4">
      <w:pPr>
        <w:spacing w:after="0" w:line="240" w:lineRule="auto"/>
        <w:ind w:firstLine="709"/>
      </w:pPr>
    </w:p>
    <w:p w:rsidR="008B0BA4" w:rsidRPr="008B0BA4" w:rsidRDefault="008B0BA4" w:rsidP="008B0BA4">
      <w:pPr>
        <w:spacing w:after="0" w:line="240" w:lineRule="auto"/>
        <w:ind w:firstLine="709"/>
        <w:jc w:val="both"/>
        <w:rPr>
          <w:rFonts w:ascii="Times New Roman" w:hAnsi="Times New Roman"/>
          <w:b/>
          <w:sz w:val="24"/>
          <w:szCs w:val="24"/>
        </w:rPr>
      </w:pPr>
      <w:r w:rsidRPr="008B0BA4">
        <w:rPr>
          <w:rFonts w:ascii="Times New Roman" w:hAnsi="Times New Roman"/>
          <w:b/>
          <w:bCs/>
          <w:iCs/>
          <w:sz w:val="24"/>
          <w:szCs w:val="24"/>
        </w:rPr>
        <w:t>5.15</w:t>
      </w:r>
      <w:r>
        <w:rPr>
          <w:rFonts w:ascii="Times New Roman" w:hAnsi="Times New Roman"/>
          <w:b/>
          <w:bCs/>
          <w:iCs/>
          <w:sz w:val="24"/>
          <w:szCs w:val="24"/>
        </w:rPr>
        <w:t>.2</w:t>
      </w:r>
      <w:r w:rsidR="00580719">
        <w:rPr>
          <w:rFonts w:ascii="Times New Roman" w:hAnsi="Times New Roman"/>
          <w:b/>
          <w:bCs/>
          <w:iCs/>
          <w:sz w:val="24"/>
          <w:szCs w:val="24"/>
        </w:rPr>
        <w:t>.</w:t>
      </w:r>
      <w:r w:rsidRPr="008B0BA4">
        <w:rPr>
          <w:rFonts w:ascii="Times New Roman" w:hAnsi="Times New Roman"/>
          <w:b/>
          <w:bCs/>
          <w:iCs/>
          <w:sz w:val="24"/>
          <w:szCs w:val="24"/>
        </w:rPr>
        <w:t xml:space="preserve"> Исполнение областного бюджета по расходам на б</w:t>
      </w:r>
      <w:r w:rsidRPr="008B0BA4">
        <w:rPr>
          <w:rFonts w:ascii="Times New Roman" w:hAnsi="Times New Roman"/>
          <w:b/>
          <w:sz w:val="24"/>
          <w:szCs w:val="24"/>
        </w:rPr>
        <w:t>юджетные инвестиции, предоставляемые юридическим лицам, не являющимся государственными или муниципальными учреждениями и государственными или муниципальными унитарными предприятиями области (за исключением бюджетных инвестиций в объекты капитального строительства)</w:t>
      </w:r>
    </w:p>
    <w:p w:rsidR="008B0BA4" w:rsidRPr="008B0BA4" w:rsidRDefault="008B0BA4" w:rsidP="008B0B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0BA4">
        <w:rPr>
          <w:rFonts w:ascii="Times New Roman" w:hAnsi="Times New Roman" w:cs="Times New Roman"/>
          <w:sz w:val="24"/>
          <w:szCs w:val="24"/>
        </w:rPr>
        <w:t>В соответствии с требованиями пункта 2 статьи 80 Бюджетного кодекса Российской Федерации бюджетные инвестиции, планируемые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 утверждаются законом о бюджете в качестве отдельного приложения к данному закону с указанием юридического лица, объема и цели предоставляемых бюджетных инвестиций.</w:t>
      </w:r>
    </w:p>
    <w:p w:rsidR="008B0BA4" w:rsidRPr="008B0BA4" w:rsidRDefault="008B0BA4" w:rsidP="008B0BA4">
      <w:pPr>
        <w:spacing w:after="0" w:line="240" w:lineRule="auto"/>
        <w:ind w:firstLine="709"/>
        <w:jc w:val="both"/>
        <w:rPr>
          <w:rFonts w:ascii="Times New Roman" w:hAnsi="Times New Roman" w:cs="Times New Roman"/>
          <w:bCs/>
          <w:iCs/>
          <w:sz w:val="24"/>
          <w:szCs w:val="24"/>
        </w:rPr>
      </w:pPr>
      <w:r w:rsidRPr="008B0BA4">
        <w:rPr>
          <w:rFonts w:ascii="Times New Roman" w:hAnsi="Times New Roman" w:cs="Times New Roman"/>
          <w:sz w:val="24"/>
          <w:szCs w:val="24"/>
        </w:rPr>
        <w:t xml:space="preserve">Приложением № 34 к проекту закона Амурской области «Об исполнении областного бюджета за 2015 год» отражено исполнение по расходам </w:t>
      </w:r>
      <w:r w:rsidRPr="008B0BA4">
        <w:rPr>
          <w:rFonts w:ascii="Times New Roman" w:hAnsi="Times New Roman" w:cs="Times New Roman"/>
          <w:bCs/>
          <w:iCs/>
          <w:sz w:val="24"/>
          <w:szCs w:val="24"/>
        </w:rPr>
        <w:t>на б</w:t>
      </w:r>
      <w:r w:rsidRPr="008B0BA4">
        <w:rPr>
          <w:rFonts w:ascii="Times New Roman" w:hAnsi="Times New Roman" w:cs="Times New Roman"/>
          <w:sz w:val="24"/>
          <w:szCs w:val="24"/>
        </w:rPr>
        <w:t xml:space="preserve">юджетные инвестиции </w:t>
      </w:r>
      <w:r w:rsidRPr="008B0BA4">
        <w:rPr>
          <w:rFonts w:ascii="Times New Roman" w:hAnsi="Times New Roman" w:cs="Times New Roman"/>
          <w:sz w:val="24"/>
          <w:szCs w:val="24"/>
        </w:rPr>
        <w:br/>
        <w:t xml:space="preserve">ОАО «Амурское ипотечное агентство» в объеме 40000,0 тыс. рублей. Предоставление бюджетных инвестиций предусмотрено в целях формирования рынка доступного арендного жилья на территории Амурской области в рамках </w:t>
      </w:r>
      <w:r w:rsidRPr="008B0BA4">
        <w:rPr>
          <w:rFonts w:ascii="Times New Roman" w:hAnsi="Times New Roman" w:cs="Times New Roman"/>
          <w:bCs/>
          <w:iCs/>
          <w:sz w:val="24"/>
          <w:szCs w:val="24"/>
        </w:rPr>
        <w:t>расходов по основному мероприятию</w:t>
      </w:r>
      <w:r w:rsidRPr="008B0BA4">
        <w:rPr>
          <w:rFonts w:ascii="Times New Roman" w:hAnsi="Times New Roman" w:cs="Times New Roman"/>
          <w:sz w:val="24"/>
          <w:szCs w:val="24"/>
        </w:rPr>
        <w:t xml:space="preserve"> «</w:t>
      </w:r>
      <w:r w:rsidRPr="008B0BA4">
        <w:rPr>
          <w:rFonts w:ascii="Times New Roman" w:hAnsi="Times New Roman" w:cs="Times New Roman"/>
          <w:bCs/>
          <w:iCs/>
          <w:sz w:val="24"/>
          <w:szCs w:val="24"/>
        </w:rPr>
        <w:t>Государственная поддержка строительства жилья» подпрограммы «Развитие ипотечного жилищного кредитования в Амурской области» государственной программы «Обеспечение доступным и качественным жильем населения Амурской области на 2014-2020 годы».</w:t>
      </w:r>
    </w:p>
    <w:p w:rsidR="008B0BA4" w:rsidRPr="008B0BA4" w:rsidRDefault="008B0BA4" w:rsidP="008B0BA4">
      <w:pPr>
        <w:spacing w:after="0" w:line="240" w:lineRule="auto"/>
        <w:ind w:firstLine="709"/>
        <w:jc w:val="both"/>
        <w:rPr>
          <w:rFonts w:ascii="Times New Roman" w:eastAsia="Times New Roman" w:hAnsi="Times New Roman" w:cs="Times New Roman"/>
          <w:sz w:val="24"/>
          <w:szCs w:val="24"/>
          <w:lang w:eastAsia="ru-RU"/>
        </w:rPr>
      </w:pPr>
      <w:r w:rsidRPr="008B0BA4">
        <w:rPr>
          <w:rFonts w:ascii="Times New Roman" w:eastAsia="Times New Roman" w:hAnsi="Times New Roman" w:cs="Times New Roman"/>
          <w:sz w:val="24"/>
          <w:szCs w:val="24"/>
          <w:lang w:eastAsia="ru-RU"/>
        </w:rPr>
        <w:t>По результатам контрольного мероприятия «</w:t>
      </w:r>
      <w:r w:rsidRPr="008B0BA4">
        <w:rPr>
          <w:rFonts w:ascii="Times New Roman" w:hAnsi="Times New Roman" w:cs="Times New Roman"/>
          <w:sz w:val="24"/>
          <w:szCs w:val="24"/>
        </w:rPr>
        <w:t>Проверка акционерного общества «Амурское ипотечное агентство» по вопросу целевого и эффективного использования средств областного бюджета, выделенных в 2015 году на увеличение уставного капитала</w:t>
      </w:r>
      <w:r w:rsidRPr="008B0BA4">
        <w:rPr>
          <w:rFonts w:ascii="Times New Roman" w:eastAsia="Times New Roman" w:hAnsi="Times New Roman" w:cs="Times New Roman"/>
          <w:sz w:val="24"/>
          <w:szCs w:val="24"/>
          <w:lang w:eastAsia="ru-RU"/>
        </w:rPr>
        <w:t>» установлено следующее.</w:t>
      </w:r>
    </w:p>
    <w:p w:rsidR="008B0BA4" w:rsidRPr="008B0BA4" w:rsidRDefault="008B0BA4" w:rsidP="008B0BA4">
      <w:pPr>
        <w:autoSpaceDE w:val="0"/>
        <w:autoSpaceDN w:val="0"/>
        <w:adjustRightInd w:val="0"/>
        <w:spacing w:after="0" w:line="240" w:lineRule="auto"/>
        <w:ind w:firstLine="709"/>
        <w:jc w:val="both"/>
        <w:rPr>
          <w:rFonts w:ascii="Times New Roman" w:eastAsia="Times New Roman" w:hAnsi="Times New Roman" w:cs="Times New Roman"/>
          <w:b/>
          <w:i/>
          <w:snapToGrid w:val="0"/>
          <w:sz w:val="24"/>
          <w:szCs w:val="24"/>
          <w:lang w:eastAsia="ru-RU"/>
        </w:rPr>
      </w:pPr>
      <w:r w:rsidRPr="008B0BA4">
        <w:rPr>
          <w:rFonts w:ascii="Times New Roman" w:eastAsia="Times New Roman" w:hAnsi="Times New Roman" w:cs="Times New Roman"/>
          <w:snapToGrid w:val="0"/>
          <w:sz w:val="24"/>
          <w:szCs w:val="24"/>
          <w:lang w:eastAsia="ru-RU"/>
        </w:rPr>
        <w:t>В соответствии с «</w:t>
      </w:r>
      <w:hyperlink r:id="rId61" w:history="1">
        <w:r w:rsidRPr="008B0BA4">
          <w:rPr>
            <w:rFonts w:ascii="Times New Roman" w:hAnsi="Times New Roman" w:cs="Times New Roman"/>
            <w:sz w:val="24"/>
            <w:szCs w:val="24"/>
          </w:rPr>
          <w:t>Требования</w:t>
        </w:r>
      </w:hyperlink>
      <w:r w:rsidRPr="008B0BA4">
        <w:rPr>
          <w:rFonts w:ascii="Times New Roman" w:hAnsi="Times New Roman" w:cs="Times New Roman"/>
          <w:sz w:val="24"/>
          <w:szCs w:val="24"/>
        </w:rPr>
        <w:t xml:space="preserve">ми к договорам, заключаемым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w:t>
      </w:r>
      <w:r w:rsidRPr="008B0BA4">
        <w:rPr>
          <w:rFonts w:ascii="Times New Roman" w:hAnsi="Times New Roman" w:cs="Times New Roman"/>
          <w:sz w:val="24"/>
          <w:szCs w:val="24"/>
        </w:rPr>
        <w:lastRenderedPageBreak/>
        <w:t xml:space="preserve">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за счет средств областного бюджета», утвержденными </w:t>
      </w:r>
      <w:r w:rsidRPr="008B0BA4">
        <w:rPr>
          <w:rFonts w:ascii="Times New Roman" w:eastAsia="Times New Roman" w:hAnsi="Times New Roman" w:cs="Times New Roman"/>
          <w:sz w:val="24"/>
          <w:szCs w:val="24"/>
          <w:lang w:eastAsia="ru-RU"/>
        </w:rPr>
        <w:t xml:space="preserve">Постановлением Правительства Амурской области от 05.02.2015 № 29, </w:t>
      </w:r>
      <w:r w:rsidRPr="008B0BA4">
        <w:rPr>
          <w:rFonts w:ascii="Times New Roman" w:eastAsia="Times New Roman" w:hAnsi="Times New Roman" w:cs="Times New Roman"/>
          <w:snapToGrid w:val="0"/>
          <w:sz w:val="24"/>
          <w:szCs w:val="24"/>
          <w:lang w:eastAsia="ru-RU"/>
        </w:rPr>
        <w:t xml:space="preserve">между Амурской областью в лице: министерства имущественных отношений Амурской области, министерства экономического развития Амурской области, с одной стороны, и акционерным обществом </w:t>
      </w:r>
      <w:r w:rsidRPr="008B0BA4">
        <w:rPr>
          <w:rFonts w:ascii="Times New Roman" w:hAnsi="Times New Roman" w:cs="Times New Roman"/>
          <w:sz w:val="24"/>
          <w:szCs w:val="24"/>
        </w:rPr>
        <w:t>«Амурское ипотечное агентство»</w:t>
      </w:r>
      <w:r w:rsidRPr="008B0BA4">
        <w:rPr>
          <w:rFonts w:ascii="Times New Roman" w:eastAsia="Times New Roman" w:hAnsi="Times New Roman" w:cs="Times New Roman"/>
          <w:snapToGrid w:val="0"/>
          <w:sz w:val="24"/>
          <w:szCs w:val="24"/>
          <w:lang w:eastAsia="ru-RU"/>
        </w:rPr>
        <w:t>, с другой стороны, заключен договор «Об участии Амурской области в уставном капитале ОАО «Амурское ипотечное агентство» от 10.03.2015 б\н (далее – Договор на предоставление бюджетных инвестиций в 2015 году).</w:t>
      </w:r>
    </w:p>
    <w:p w:rsidR="008B0BA4" w:rsidRPr="008B0BA4" w:rsidRDefault="008B0BA4" w:rsidP="008B0BA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8B0BA4">
        <w:rPr>
          <w:rFonts w:ascii="Times New Roman" w:eastAsia="Times New Roman" w:hAnsi="Times New Roman" w:cs="Times New Roman"/>
          <w:snapToGrid w:val="0"/>
          <w:sz w:val="24"/>
          <w:szCs w:val="24"/>
          <w:lang w:eastAsia="ru-RU"/>
        </w:rPr>
        <w:t>По условиям Договора на предоставление бюджетных инвестиций в 2015 году Акционерное общество принимает на себя следующие обязательства:</w:t>
      </w:r>
    </w:p>
    <w:p w:rsidR="008B0BA4" w:rsidRPr="008B0BA4" w:rsidRDefault="008B0BA4" w:rsidP="008B0BA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8B0BA4">
        <w:rPr>
          <w:rFonts w:ascii="Times New Roman" w:eastAsia="Times New Roman" w:hAnsi="Times New Roman" w:cs="Times New Roman"/>
          <w:snapToGrid w:val="0"/>
          <w:sz w:val="24"/>
          <w:szCs w:val="24"/>
          <w:lang w:eastAsia="ru-RU"/>
        </w:rPr>
        <w:t>-осуществить все необходимые действия по оформлению в установленном законодательством порядке в собственность Амурской области эквивалентной предоставляемым бюджетным инвестициям доли в уставном капитале (акций);</w:t>
      </w:r>
    </w:p>
    <w:p w:rsidR="008B0BA4" w:rsidRPr="008B0BA4" w:rsidRDefault="008B0BA4" w:rsidP="008B0BA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8B0BA4">
        <w:rPr>
          <w:rFonts w:ascii="Times New Roman" w:eastAsia="Times New Roman" w:hAnsi="Times New Roman" w:cs="Times New Roman"/>
          <w:snapToGrid w:val="0"/>
          <w:sz w:val="24"/>
          <w:szCs w:val="24"/>
          <w:lang w:eastAsia="ru-RU"/>
        </w:rPr>
        <w:t>-использовать предоставленные бюджетные инвестиции исключительно по целевому назначению в соответствии с целями их предоставления, указанными выше, в срок до 31.12.2015;</w:t>
      </w:r>
    </w:p>
    <w:p w:rsidR="008B0BA4" w:rsidRPr="008B0BA4" w:rsidRDefault="008B0BA4" w:rsidP="008B0BA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8B0BA4">
        <w:rPr>
          <w:rFonts w:ascii="Times New Roman" w:eastAsia="Times New Roman" w:hAnsi="Times New Roman" w:cs="Times New Roman"/>
          <w:snapToGrid w:val="0"/>
          <w:sz w:val="24"/>
          <w:szCs w:val="24"/>
          <w:lang w:eastAsia="ru-RU"/>
        </w:rPr>
        <w:t xml:space="preserve">-предоставить министерству экономического развития Амурской области в срок </w:t>
      </w:r>
      <w:r w:rsidRPr="008B0BA4">
        <w:rPr>
          <w:rFonts w:ascii="Times New Roman" w:eastAsia="Times New Roman" w:hAnsi="Times New Roman" w:cs="Times New Roman"/>
          <w:snapToGrid w:val="0"/>
          <w:sz w:val="24"/>
          <w:szCs w:val="24"/>
          <w:lang w:eastAsia="ru-RU"/>
        </w:rPr>
        <w:br/>
        <w:t>до 16.01.2016 отчетность об использовании бюджетных инвестиций по форме согласно приложению к Договору на предоставление бюджетных инвестиций в 2015 году;</w:t>
      </w:r>
    </w:p>
    <w:p w:rsidR="008B0BA4" w:rsidRPr="008B0BA4" w:rsidRDefault="008B0BA4" w:rsidP="008B0BA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8B0BA4">
        <w:rPr>
          <w:rFonts w:ascii="Times New Roman" w:eastAsia="Times New Roman" w:hAnsi="Times New Roman" w:cs="Times New Roman"/>
          <w:snapToGrid w:val="0"/>
          <w:sz w:val="24"/>
          <w:szCs w:val="24"/>
          <w:lang w:eastAsia="ru-RU"/>
        </w:rPr>
        <w:t>-по требованию министерства экономического развития Амурской области, министерства имущественных отношений Амурской области представлять документы финансово-хозяйственной деятельности акционерного общества, связанные с реализацией мероприятий, финансируемых за счет бюджетных инвестиций.</w:t>
      </w:r>
    </w:p>
    <w:p w:rsidR="008B0BA4" w:rsidRPr="008B0BA4" w:rsidRDefault="008B0BA4" w:rsidP="008B0BA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8B0BA4">
        <w:rPr>
          <w:rFonts w:ascii="Times New Roman" w:eastAsia="Times New Roman" w:hAnsi="Times New Roman" w:cs="Times New Roman"/>
          <w:sz w:val="24"/>
          <w:szCs w:val="24"/>
          <w:lang w:eastAsia="ru-RU"/>
        </w:rPr>
        <w:t>Проверкой установлено, что бюджетные инвестиции, предоставленные Акционерному обществу в 2015 году в сумме 40000,0 тыс. рублей с целью формирования рынка доступного арендного жилья на территории Амурской области, поступили на расчетный счет Акционерного общества 29.04.2015 в сумме 10513,0 тыс. рублей, 21.05.2015 в сумме 10000,0 тыс. рублей; 13.08.2015 в сумме 19487,0 тыс. рублей</w:t>
      </w:r>
      <w:r w:rsidR="00B55FEE">
        <w:rPr>
          <w:rFonts w:ascii="Times New Roman" w:eastAsia="Times New Roman" w:hAnsi="Times New Roman" w:cs="Times New Roman"/>
          <w:sz w:val="24"/>
          <w:szCs w:val="24"/>
          <w:lang w:eastAsia="ru-RU"/>
        </w:rPr>
        <w:t>.</w:t>
      </w:r>
    </w:p>
    <w:p w:rsidR="008B0BA4" w:rsidRPr="008B0BA4" w:rsidRDefault="008B0BA4" w:rsidP="008B0BA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8B0BA4">
        <w:rPr>
          <w:rFonts w:ascii="Times New Roman" w:eastAsia="Times New Roman" w:hAnsi="Times New Roman" w:cs="Times New Roman"/>
          <w:snapToGrid w:val="0"/>
          <w:sz w:val="24"/>
          <w:szCs w:val="24"/>
          <w:lang w:eastAsia="ru-RU"/>
        </w:rPr>
        <w:t>Денежные средства в сумме 40000,0 тыс. рублей, выделенные Акционерному обществу в 2015 году из областного бюджета в счет увеличения уставного капитала в целях формирования рынка доступного арендного жилья на территории Амурской области, были направлены:</w:t>
      </w:r>
    </w:p>
    <w:p w:rsidR="008B0BA4" w:rsidRPr="008B0BA4" w:rsidRDefault="008B0BA4" w:rsidP="008B0BA4">
      <w:pPr>
        <w:widowControl w:val="0"/>
        <w:tabs>
          <w:tab w:val="left" w:pos="993"/>
          <w:tab w:val="left" w:pos="2410"/>
        </w:tabs>
        <w:spacing w:after="0" w:line="240" w:lineRule="auto"/>
        <w:ind w:firstLine="709"/>
        <w:jc w:val="both"/>
        <w:rPr>
          <w:rFonts w:ascii="Times New Roman" w:eastAsia="Times New Roman" w:hAnsi="Times New Roman" w:cs="Times New Roman"/>
          <w:snapToGrid w:val="0"/>
          <w:sz w:val="24"/>
          <w:szCs w:val="24"/>
          <w:lang w:eastAsia="ru-RU"/>
        </w:rPr>
      </w:pPr>
      <w:r w:rsidRPr="008B0BA4">
        <w:rPr>
          <w:rFonts w:ascii="Times New Roman" w:eastAsia="Times New Roman" w:hAnsi="Times New Roman" w:cs="Times New Roman"/>
          <w:snapToGrid w:val="0"/>
          <w:sz w:val="24"/>
          <w:szCs w:val="24"/>
          <w:lang w:eastAsia="ru-RU"/>
        </w:rPr>
        <w:t>-на компенсацию произведенных в 2015 году Акционерным обществом затрат на строительство арендного жилья в сумме 12173,8 тыс. рублей - на погашение привлеченных в 2013 году кредитных ресурсов, по договору о кредитной линии от 26.08.2013 № 365, заключенному Акционерным обществом с ОАО «Азиатско-Тихоокеанский Банк»;</w:t>
      </w:r>
    </w:p>
    <w:p w:rsidR="008B0BA4" w:rsidRPr="008B0BA4" w:rsidRDefault="00B55FEE" w:rsidP="008B0BA4">
      <w:pPr>
        <w:tabs>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B0BA4" w:rsidRPr="008B0BA4">
        <w:rPr>
          <w:rFonts w:ascii="Times New Roman" w:eastAsia="Times New Roman" w:hAnsi="Times New Roman" w:cs="Times New Roman"/>
          <w:sz w:val="24"/>
          <w:szCs w:val="24"/>
          <w:lang w:eastAsia="ru-RU"/>
        </w:rPr>
        <w:t>на компенсацию уплаченных процентов по привлеченным кредитным ресур</w:t>
      </w:r>
      <w:r>
        <w:rPr>
          <w:rFonts w:ascii="Times New Roman" w:eastAsia="Times New Roman" w:hAnsi="Times New Roman" w:cs="Times New Roman"/>
          <w:sz w:val="24"/>
          <w:szCs w:val="24"/>
          <w:lang w:eastAsia="ru-RU"/>
        </w:rPr>
        <w:t>сам в сумме 4214,0 тыс. рублей;</w:t>
      </w:r>
    </w:p>
    <w:p w:rsidR="008B0BA4" w:rsidRPr="008B0BA4" w:rsidRDefault="00B55FEE" w:rsidP="008B0BA4">
      <w:pPr>
        <w:widowControl w:val="0"/>
        <w:tabs>
          <w:tab w:val="left" w:pos="993"/>
          <w:tab w:val="left" w:pos="2410"/>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w:t>
      </w:r>
      <w:r w:rsidR="008B0BA4" w:rsidRPr="008B0BA4">
        <w:rPr>
          <w:rFonts w:ascii="Times New Roman" w:eastAsia="Times New Roman" w:hAnsi="Times New Roman" w:cs="Times New Roman"/>
          <w:snapToGrid w:val="0"/>
          <w:sz w:val="24"/>
          <w:szCs w:val="24"/>
          <w:lang w:eastAsia="ru-RU"/>
        </w:rPr>
        <w:t>на компенсацию затрат, произведенных Акционерным обществом на строительство арендных жилых домов в 2012-2014 годах, в сумме 14518,3 тыс. рублей.</w:t>
      </w:r>
    </w:p>
    <w:p w:rsidR="008B0BA4" w:rsidRPr="008B0BA4" w:rsidRDefault="008B0BA4" w:rsidP="008B0BA4">
      <w:pPr>
        <w:spacing w:after="0" w:line="240" w:lineRule="auto"/>
        <w:ind w:firstLine="709"/>
        <w:jc w:val="both"/>
        <w:rPr>
          <w:rFonts w:ascii="Times New Roman" w:eastAsia="Times New Roman" w:hAnsi="Times New Roman" w:cs="Times New Roman"/>
          <w:snapToGrid w:val="0"/>
          <w:sz w:val="24"/>
          <w:szCs w:val="24"/>
          <w:lang w:eastAsia="ru-RU"/>
        </w:rPr>
      </w:pPr>
      <w:r w:rsidRPr="008B0BA4">
        <w:rPr>
          <w:rFonts w:ascii="Times New Roman" w:eastAsia="Times New Roman" w:hAnsi="Times New Roman" w:cs="Times New Roman"/>
          <w:snapToGrid w:val="0"/>
          <w:sz w:val="24"/>
          <w:szCs w:val="24"/>
          <w:lang w:eastAsia="ru-RU"/>
        </w:rPr>
        <w:t>Таким образом, разница между суммой бюджетных инвестиций, выделенных Акционерному обществу в 2015 году из областного бюджета в счет увеличения уставного капитала в целях формирования рынка доступного арендного жилья на территории области, и суммой денежных средств, направленных на компенсацию ранее произведенных затрат на строительство арендного жилья, составила 9093,9 тыс. рублей. Бюджетные инвестиции в размере 40 000, тыс. рублей использованы в 2015 году не в полном объеме.</w:t>
      </w:r>
    </w:p>
    <w:p w:rsidR="008B0BA4" w:rsidRPr="008B0BA4" w:rsidRDefault="008B0BA4" w:rsidP="008B0B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0BA4">
        <w:rPr>
          <w:rFonts w:ascii="Times New Roman" w:eastAsia="Times New Roman" w:hAnsi="Times New Roman" w:cs="Times New Roman"/>
          <w:sz w:val="24"/>
          <w:szCs w:val="24"/>
          <w:lang w:eastAsia="ru-RU"/>
        </w:rPr>
        <w:t xml:space="preserve">На депозитном счете Акционерного общества, согласно банковским выпискам </w:t>
      </w:r>
      <w:r w:rsidRPr="008B0BA4">
        <w:rPr>
          <w:rFonts w:ascii="Times New Roman" w:eastAsia="Times New Roman" w:hAnsi="Times New Roman" w:cs="Times New Roman"/>
          <w:sz w:val="24"/>
          <w:szCs w:val="24"/>
          <w:lang w:eastAsia="ru-RU"/>
        </w:rPr>
        <w:br/>
        <w:t>на 01.01.2016 и на момент проверки, размещены денежные средства в размере 25000,0 тыс. рублей, исходя из чего можно сделать вывод о том, что указанная сумма включает в себя неиспользованные в 2015 году бюджетные инвести</w:t>
      </w:r>
      <w:r w:rsidR="00B55FEE">
        <w:rPr>
          <w:rFonts w:ascii="Times New Roman" w:eastAsia="Times New Roman" w:hAnsi="Times New Roman" w:cs="Times New Roman"/>
          <w:sz w:val="24"/>
          <w:szCs w:val="24"/>
          <w:lang w:eastAsia="ru-RU"/>
        </w:rPr>
        <w:t>ции в сумме 9093,9 тыс. рублей.</w:t>
      </w:r>
    </w:p>
    <w:p w:rsidR="008B0BA4" w:rsidRPr="008B0BA4" w:rsidRDefault="008B0BA4" w:rsidP="008B0B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0BA4">
        <w:rPr>
          <w:rFonts w:ascii="Times New Roman" w:eastAsia="Times New Roman" w:hAnsi="Times New Roman" w:cs="Times New Roman"/>
          <w:sz w:val="24"/>
          <w:szCs w:val="24"/>
          <w:lang w:eastAsia="ru-RU"/>
        </w:rPr>
        <w:t xml:space="preserve">По результатам проверки и во исполнение направленных представлений </w:t>
      </w:r>
      <w:r w:rsidRPr="008B0BA4">
        <w:rPr>
          <w:rFonts w:ascii="Times New Roman" w:eastAsia="Times New Roman" w:hAnsi="Times New Roman" w:cs="Times New Roman"/>
          <w:snapToGrid w:val="0"/>
          <w:sz w:val="24"/>
          <w:szCs w:val="24"/>
          <w:lang w:eastAsia="ru-RU"/>
        </w:rPr>
        <w:t xml:space="preserve">министерством имущественных отношений Амурской области, министерством </w:t>
      </w:r>
      <w:r w:rsidRPr="008B0BA4">
        <w:rPr>
          <w:rFonts w:ascii="Times New Roman" w:eastAsia="Times New Roman" w:hAnsi="Times New Roman" w:cs="Times New Roman"/>
          <w:snapToGrid w:val="0"/>
          <w:sz w:val="24"/>
          <w:szCs w:val="24"/>
          <w:lang w:eastAsia="ru-RU"/>
        </w:rPr>
        <w:lastRenderedPageBreak/>
        <w:t xml:space="preserve">экономического развития Амурской области и акционерным обществом </w:t>
      </w:r>
      <w:r w:rsidRPr="008B0BA4">
        <w:rPr>
          <w:rFonts w:ascii="Times New Roman" w:hAnsi="Times New Roman" w:cs="Times New Roman"/>
          <w:sz w:val="24"/>
          <w:szCs w:val="24"/>
        </w:rPr>
        <w:t xml:space="preserve">«Амурское ипотечное агентство» </w:t>
      </w:r>
      <w:r w:rsidRPr="008B0BA4">
        <w:rPr>
          <w:rFonts w:ascii="Times New Roman" w:eastAsia="Times New Roman" w:hAnsi="Times New Roman" w:cs="Times New Roman"/>
          <w:sz w:val="24"/>
          <w:szCs w:val="24"/>
          <w:lang w:eastAsia="ru-RU"/>
        </w:rPr>
        <w:t xml:space="preserve">заключено дополнительное соглашение от 06.06.2016 к </w:t>
      </w:r>
      <w:r w:rsidRPr="008B0BA4">
        <w:rPr>
          <w:rFonts w:ascii="Times New Roman" w:eastAsia="Times New Roman" w:hAnsi="Times New Roman" w:cs="Times New Roman"/>
          <w:snapToGrid w:val="0"/>
          <w:sz w:val="24"/>
          <w:szCs w:val="24"/>
          <w:lang w:eastAsia="ru-RU"/>
        </w:rPr>
        <w:t xml:space="preserve">договору «Об участии Амурской области в уставном капитале ОАО «Амурское ипотечное агентство», предусматривающее расходование остатка </w:t>
      </w:r>
      <w:r w:rsidRPr="008B0BA4">
        <w:rPr>
          <w:rFonts w:ascii="Times New Roman" w:eastAsia="Times New Roman" w:hAnsi="Times New Roman" w:cs="Times New Roman"/>
          <w:sz w:val="24"/>
          <w:szCs w:val="24"/>
          <w:lang w:eastAsia="ru-RU"/>
        </w:rPr>
        <w:t xml:space="preserve">неиспользованных в 2015 году бюджетных инвестиций в сумме 9093,9 тыс. рублей </w:t>
      </w:r>
      <w:r w:rsidRPr="008B0BA4">
        <w:rPr>
          <w:rFonts w:ascii="Times New Roman" w:hAnsi="Times New Roman" w:cs="Times New Roman"/>
          <w:sz w:val="24"/>
          <w:szCs w:val="24"/>
        </w:rPr>
        <w:t>в целях формирования рынка доступного арендного жилья на территории Амурской области в срок до 31.12.2016.</w:t>
      </w:r>
    </w:p>
    <w:p w:rsidR="008B0BA4" w:rsidRPr="008B0BA4" w:rsidRDefault="008B0BA4" w:rsidP="008B0BA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8B0BA4">
        <w:rPr>
          <w:rFonts w:ascii="Times New Roman" w:eastAsia="Times New Roman" w:hAnsi="Times New Roman" w:cs="Times New Roman"/>
          <w:snapToGrid w:val="0"/>
          <w:sz w:val="24"/>
          <w:szCs w:val="24"/>
          <w:lang w:eastAsia="ru-RU"/>
        </w:rPr>
        <w:t xml:space="preserve">В соответствии с пунктом 4.2 договора «Об участии Амурской области в уставном капитале открытого акционерного общества «Амурское ипотечное агентство» </w:t>
      </w:r>
      <w:r w:rsidRPr="008B0BA4">
        <w:rPr>
          <w:rFonts w:ascii="Times New Roman" w:eastAsia="Times New Roman" w:hAnsi="Times New Roman" w:cs="Times New Roman"/>
          <w:snapToGrid w:val="0"/>
          <w:sz w:val="24"/>
          <w:szCs w:val="24"/>
          <w:lang w:eastAsia="ru-RU"/>
        </w:rPr>
        <w:br/>
        <w:t xml:space="preserve">от 10.03.2015, в случае невыполнения в установленные сроки Акционерным обществом обязательств по использованию предоставленных бюджетных инвестиций в соответствии с определенными данным договором целями, Акционерное общество обязано уплатить </w:t>
      </w:r>
      <w:r w:rsidRPr="008B0BA4">
        <w:rPr>
          <w:rFonts w:ascii="Times New Roman" w:eastAsia="Times New Roman" w:hAnsi="Times New Roman" w:cs="Times New Roman"/>
          <w:snapToGrid w:val="0"/>
          <w:sz w:val="24"/>
          <w:szCs w:val="24"/>
          <w:lang w:eastAsia="ru-RU"/>
        </w:rPr>
        <w:br/>
        <w:t>в областной бюджет неустойку в виде пени в размере одной трехсотой ставки рефинансирования Центрального Банка Российской Федерации, действующей на дату нарушения от суммы предоставленных бюджетных средств, за период со дня нарушения до момента выполнения обязательств в полном объеме.</w:t>
      </w:r>
    </w:p>
    <w:p w:rsidR="008B0BA4" w:rsidRPr="008B0BA4" w:rsidRDefault="008B0BA4" w:rsidP="008B0BA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8B0BA4">
        <w:rPr>
          <w:rFonts w:ascii="Times New Roman" w:eastAsia="Times New Roman" w:hAnsi="Times New Roman" w:cs="Times New Roman"/>
          <w:snapToGrid w:val="0"/>
          <w:sz w:val="24"/>
          <w:szCs w:val="24"/>
          <w:lang w:eastAsia="ru-RU"/>
        </w:rPr>
        <w:t xml:space="preserve">Исходя из вышеизложенного, из общей суммы бюджетных инвестиций 40000,0 тыс. рублей, предоставленных в 2015 году из областного бюджета, Акционерное общество </w:t>
      </w:r>
      <w:r w:rsidRPr="008B0BA4">
        <w:rPr>
          <w:rFonts w:ascii="Times New Roman" w:eastAsia="Times New Roman" w:hAnsi="Times New Roman" w:cs="Times New Roman"/>
          <w:snapToGrid w:val="0"/>
          <w:sz w:val="24"/>
          <w:szCs w:val="24"/>
          <w:lang w:eastAsia="ru-RU"/>
        </w:rPr>
        <w:br/>
        <w:t xml:space="preserve">не выполнило свои обязательства по использованию предоставленных бюджетных инвестиций в срок до 31.12.2015 года в сумме 9093,9 тыс. рублей. Сумма пени, которая по состоянию на день оплаты (07.06.2016) составила 526,8 тыс. рублей, перечислена </w:t>
      </w:r>
      <w:r w:rsidRPr="008B0BA4">
        <w:rPr>
          <w:rFonts w:ascii="Times New Roman" w:eastAsia="Times New Roman" w:hAnsi="Times New Roman" w:cs="Times New Roman"/>
          <w:snapToGrid w:val="0"/>
          <w:sz w:val="24"/>
          <w:szCs w:val="24"/>
          <w:lang w:eastAsia="ru-RU"/>
        </w:rPr>
        <w:br/>
        <w:t>ОАО «Амурское ипотечное агентст</w:t>
      </w:r>
      <w:r w:rsidR="00B55FEE">
        <w:rPr>
          <w:rFonts w:ascii="Times New Roman" w:eastAsia="Times New Roman" w:hAnsi="Times New Roman" w:cs="Times New Roman"/>
          <w:snapToGrid w:val="0"/>
          <w:sz w:val="24"/>
          <w:szCs w:val="24"/>
          <w:lang w:eastAsia="ru-RU"/>
        </w:rPr>
        <w:t>во» в доход областного бюджета.</w:t>
      </w:r>
    </w:p>
    <w:p w:rsidR="00A75FEF" w:rsidRPr="00B55FEE" w:rsidRDefault="00A75FEF" w:rsidP="001A299F">
      <w:pPr>
        <w:spacing w:after="0" w:line="240" w:lineRule="auto"/>
        <w:ind w:firstLine="709"/>
        <w:jc w:val="both"/>
        <w:rPr>
          <w:rFonts w:ascii="Times New Roman" w:hAnsi="Times New Roman" w:cs="Times New Roman"/>
          <w:sz w:val="24"/>
          <w:szCs w:val="24"/>
        </w:rPr>
      </w:pPr>
    </w:p>
    <w:p w:rsidR="001A299F" w:rsidRPr="001A299F" w:rsidRDefault="001A299F" w:rsidP="001A299F">
      <w:pPr>
        <w:widowControl w:val="0"/>
        <w:autoSpaceDE w:val="0"/>
        <w:autoSpaceDN w:val="0"/>
        <w:adjustRightInd w:val="0"/>
        <w:spacing w:after="0"/>
        <w:jc w:val="center"/>
        <w:rPr>
          <w:rFonts w:ascii="Times New Roman" w:eastAsia="Times New Roman" w:hAnsi="Times New Roman" w:cs="Times New Roman"/>
          <w:b/>
          <w:iCs/>
          <w:spacing w:val="-3"/>
          <w:sz w:val="24"/>
          <w:szCs w:val="20"/>
          <w:lang w:eastAsia="ru-RU"/>
        </w:rPr>
      </w:pPr>
      <w:r w:rsidRPr="001A299F">
        <w:rPr>
          <w:rFonts w:ascii="Times New Roman" w:eastAsia="Times New Roman" w:hAnsi="Times New Roman" w:cs="Times New Roman"/>
          <w:b/>
          <w:iCs/>
          <w:spacing w:val="-3"/>
          <w:sz w:val="24"/>
          <w:szCs w:val="20"/>
          <w:lang w:eastAsia="ru-RU"/>
        </w:rPr>
        <w:t>6. Анализ состояния государственного долга Амурской области за 2015 год</w:t>
      </w:r>
    </w:p>
    <w:p w:rsidR="001A299F" w:rsidRPr="001A299F" w:rsidRDefault="001A299F" w:rsidP="001A29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iCs/>
          <w:spacing w:val="-3"/>
          <w:sz w:val="24"/>
          <w:szCs w:val="24"/>
          <w:lang w:eastAsia="ru-RU"/>
        </w:rPr>
        <w:t>Верхний предел объема государственного долга Амурской области на 1 января 2016 года установлен в сумме 30943024,3</w:t>
      </w:r>
      <w:r w:rsidRPr="001A299F">
        <w:rPr>
          <w:rFonts w:ascii="Times New Roman" w:eastAsia="Times New Roman" w:hAnsi="Times New Roman" w:cs="Times New Roman"/>
          <w:b/>
          <w:i/>
          <w:iCs/>
          <w:spacing w:val="-3"/>
          <w:sz w:val="24"/>
          <w:szCs w:val="24"/>
          <w:lang w:eastAsia="ru-RU"/>
        </w:rPr>
        <w:t xml:space="preserve"> </w:t>
      </w:r>
      <w:r w:rsidRPr="001A299F">
        <w:rPr>
          <w:rFonts w:ascii="Times New Roman" w:eastAsia="Times New Roman" w:hAnsi="Times New Roman" w:cs="Times New Roman"/>
          <w:iCs/>
          <w:spacing w:val="-3"/>
          <w:sz w:val="24"/>
          <w:szCs w:val="24"/>
          <w:lang w:eastAsia="ru-RU"/>
        </w:rPr>
        <w:t>тыс. рублей, в том числе объем обязательств по государственным гарантиям Амурской области, в сумме 142013,8 тыс. рублей. П</w:t>
      </w:r>
      <w:r w:rsidRPr="001A299F">
        <w:rPr>
          <w:rFonts w:ascii="Times New Roman" w:eastAsia="Times New Roman" w:hAnsi="Times New Roman" w:cs="Times New Roman"/>
          <w:sz w:val="24"/>
          <w:szCs w:val="24"/>
          <w:lang w:eastAsia="ru-RU"/>
        </w:rPr>
        <w:t xml:space="preserve">редельный объем государственного долга Амурской области на 2015 год установлен в сумме </w:t>
      </w:r>
      <w:r w:rsidR="00580719">
        <w:rPr>
          <w:rFonts w:ascii="Times New Roman" w:eastAsia="Times New Roman" w:hAnsi="Times New Roman" w:cs="Times New Roman"/>
          <w:sz w:val="24"/>
          <w:szCs w:val="24"/>
          <w:lang w:eastAsia="ru-RU"/>
        </w:rPr>
        <w:br/>
      </w:r>
      <w:r w:rsidRPr="001A299F">
        <w:rPr>
          <w:rFonts w:ascii="Times New Roman" w:eastAsia="Times New Roman" w:hAnsi="Times New Roman" w:cs="Times New Roman"/>
          <w:sz w:val="24"/>
          <w:szCs w:val="24"/>
          <w:lang w:eastAsia="ru-RU"/>
        </w:rPr>
        <w:t>31794826,0 тыс. рублей (</w:t>
      </w:r>
      <w:r w:rsidRPr="001A299F">
        <w:rPr>
          <w:rFonts w:ascii="Times New Roman" w:eastAsia="Times New Roman" w:hAnsi="Times New Roman" w:cs="Times New Roman"/>
          <w:iCs/>
          <w:spacing w:val="-3"/>
          <w:sz w:val="24"/>
          <w:szCs w:val="24"/>
          <w:lang w:eastAsia="ru-RU"/>
        </w:rPr>
        <w:t>статья 16  Закона Амурской области от 10.12.2014 №  458-ОЗ «Об областном бюджете на 2015 год и плановый период 2016 и 2017 годов» (в редакции Закона Амурской об</w:t>
      </w:r>
      <w:r w:rsidR="00B55FEE">
        <w:rPr>
          <w:rFonts w:ascii="Times New Roman" w:eastAsia="Times New Roman" w:hAnsi="Times New Roman" w:cs="Times New Roman"/>
          <w:iCs/>
          <w:spacing w:val="-3"/>
          <w:sz w:val="24"/>
          <w:szCs w:val="24"/>
          <w:lang w:eastAsia="ru-RU"/>
        </w:rPr>
        <w:t>ласти от 25.12.2015 № 626-ОЗ)).</w:t>
      </w:r>
    </w:p>
    <w:p w:rsidR="001A299F" w:rsidRPr="00580719"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Динамика объема государственного долга Амурской области в разрезе видов долговых обязательств за 2010-2015 годы представлена на </w:t>
      </w:r>
      <w:r w:rsidRPr="00580719">
        <w:rPr>
          <w:rFonts w:ascii="Times New Roman" w:eastAsia="Times New Roman" w:hAnsi="Times New Roman" w:cs="Times New Roman"/>
          <w:sz w:val="24"/>
          <w:szCs w:val="24"/>
          <w:lang w:eastAsia="ru-RU"/>
        </w:rPr>
        <w:t xml:space="preserve">рисунке </w:t>
      </w:r>
      <w:r w:rsidR="00580719" w:rsidRPr="00580719">
        <w:rPr>
          <w:rFonts w:ascii="Times New Roman" w:eastAsia="Times New Roman" w:hAnsi="Times New Roman" w:cs="Times New Roman"/>
          <w:sz w:val="24"/>
          <w:szCs w:val="24"/>
          <w:lang w:eastAsia="ru-RU"/>
        </w:rPr>
        <w:t>36</w:t>
      </w:r>
      <w:r w:rsidRPr="00580719">
        <w:rPr>
          <w:rFonts w:ascii="Times New Roman" w:eastAsia="Times New Roman" w:hAnsi="Times New Roman" w:cs="Times New Roman"/>
          <w:sz w:val="24"/>
          <w:szCs w:val="24"/>
          <w:lang w:eastAsia="ru-RU"/>
        </w:rPr>
        <w:t>.</w:t>
      </w:r>
    </w:p>
    <w:p w:rsidR="001A299F" w:rsidRPr="001A299F" w:rsidRDefault="001A299F" w:rsidP="001A29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99F">
        <w:rPr>
          <w:rFonts w:ascii="Times New Roman" w:eastAsia="Times New Roman" w:hAnsi="Times New Roman" w:cs="Times New Roman"/>
          <w:noProof/>
          <w:sz w:val="20"/>
          <w:szCs w:val="20"/>
          <w:lang w:eastAsia="ru-RU"/>
        </w:rPr>
        <w:drawing>
          <wp:inline distT="0" distB="0" distL="0" distR="0" wp14:anchorId="682103A4" wp14:editId="559592CD">
            <wp:extent cx="6210300" cy="3190875"/>
            <wp:effectExtent l="0" t="0" r="0" b="0"/>
            <wp:docPr id="27"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1A299F" w:rsidRPr="001A299F" w:rsidRDefault="001A299F" w:rsidP="001A299F">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0719">
        <w:rPr>
          <w:rFonts w:ascii="Times New Roman" w:eastAsia="Times New Roman" w:hAnsi="Times New Roman" w:cs="Times New Roman"/>
          <w:b/>
          <w:sz w:val="24"/>
          <w:szCs w:val="24"/>
          <w:lang w:eastAsia="ru-RU"/>
        </w:rPr>
        <w:t xml:space="preserve">Рис. </w:t>
      </w:r>
      <w:r w:rsidR="00580719" w:rsidRPr="00580719">
        <w:rPr>
          <w:rFonts w:ascii="Times New Roman" w:eastAsia="Times New Roman" w:hAnsi="Times New Roman" w:cs="Times New Roman"/>
          <w:b/>
          <w:sz w:val="24"/>
          <w:szCs w:val="24"/>
          <w:lang w:eastAsia="ru-RU"/>
        </w:rPr>
        <w:t>36</w:t>
      </w:r>
      <w:r w:rsidRPr="00580719">
        <w:rPr>
          <w:rFonts w:ascii="Times New Roman" w:eastAsia="Times New Roman" w:hAnsi="Times New Roman" w:cs="Times New Roman"/>
          <w:b/>
          <w:sz w:val="24"/>
          <w:szCs w:val="24"/>
          <w:lang w:eastAsia="ru-RU"/>
        </w:rPr>
        <w:t xml:space="preserve">- Динамика </w:t>
      </w:r>
      <w:r w:rsidRPr="001A299F">
        <w:rPr>
          <w:rFonts w:ascii="Times New Roman" w:eastAsia="Times New Roman" w:hAnsi="Times New Roman" w:cs="Times New Roman"/>
          <w:b/>
          <w:sz w:val="24"/>
          <w:szCs w:val="24"/>
          <w:lang w:eastAsia="ru-RU"/>
        </w:rPr>
        <w:t>государственного долга Амурской области</w:t>
      </w:r>
    </w:p>
    <w:p w:rsidR="001A299F" w:rsidRPr="001A299F" w:rsidRDefault="001A299F" w:rsidP="001A299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за 2010-2015 годы, млн. руб.</w:t>
      </w:r>
    </w:p>
    <w:p w:rsidR="001A299F" w:rsidRPr="001A299F" w:rsidRDefault="001A299F" w:rsidP="001A299F">
      <w:pPr>
        <w:shd w:val="clear" w:color="auto" w:fill="FFFFFF"/>
        <w:spacing w:after="0" w:line="240" w:lineRule="auto"/>
        <w:ind w:firstLine="709"/>
        <w:jc w:val="both"/>
        <w:rPr>
          <w:rFonts w:ascii="Times New Roman" w:hAnsi="Times New Roman" w:cs="Times New Roman"/>
          <w:iCs/>
          <w:spacing w:val="-3"/>
          <w:sz w:val="24"/>
        </w:rPr>
      </w:pPr>
      <w:r w:rsidRPr="001A299F">
        <w:rPr>
          <w:rFonts w:ascii="Times New Roman" w:hAnsi="Times New Roman" w:cs="Times New Roman"/>
          <w:iCs/>
          <w:spacing w:val="-3"/>
          <w:sz w:val="24"/>
        </w:rPr>
        <w:lastRenderedPageBreak/>
        <w:t>Объем государственного долга Амурской области на 1 января 2016 года согласно данным</w:t>
      </w:r>
      <w:r w:rsidRPr="001A299F">
        <w:rPr>
          <w:rFonts w:ascii="Times New Roman" w:hAnsi="Times New Roman" w:cs="Times New Roman"/>
          <w:iCs/>
          <w:spacing w:val="-3"/>
          <w:sz w:val="24"/>
          <w:szCs w:val="24"/>
        </w:rPr>
        <w:t xml:space="preserve"> государственной долговой книги Амурской области </w:t>
      </w:r>
      <w:r w:rsidRPr="001A299F">
        <w:rPr>
          <w:rFonts w:ascii="Times New Roman" w:hAnsi="Times New Roman" w:cs="Times New Roman"/>
          <w:iCs/>
          <w:spacing w:val="-3"/>
          <w:sz w:val="24"/>
        </w:rPr>
        <w:t>составил 30484923,5 тыс. рублей, в том числе:</w:t>
      </w:r>
    </w:p>
    <w:p w:rsidR="001A299F" w:rsidRPr="001A299F" w:rsidRDefault="001A299F" w:rsidP="00F60552">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iCs/>
          <w:spacing w:val="-3"/>
          <w:sz w:val="24"/>
          <w:szCs w:val="20"/>
          <w:lang w:eastAsia="ru-RU"/>
        </w:rPr>
      </w:pPr>
      <w:r w:rsidRPr="001A299F">
        <w:rPr>
          <w:rFonts w:ascii="Times New Roman" w:eastAsia="Times New Roman" w:hAnsi="Times New Roman" w:cs="Times New Roman"/>
          <w:iCs/>
          <w:spacing w:val="-3"/>
          <w:sz w:val="24"/>
          <w:szCs w:val="20"/>
          <w:lang w:eastAsia="ru-RU"/>
        </w:rPr>
        <w:t>задолженность Министерству финансов Российской Федерации по бюджетным кредитам- 10574148,8 тыс. рублей;</w:t>
      </w:r>
    </w:p>
    <w:p w:rsidR="001A299F" w:rsidRPr="001A299F" w:rsidRDefault="001A299F" w:rsidP="00F60552">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iCs/>
          <w:spacing w:val="-3"/>
          <w:sz w:val="24"/>
          <w:szCs w:val="24"/>
          <w:lang w:eastAsia="ru-RU"/>
        </w:rPr>
      </w:pPr>
      <w:r w:rsidRPr="001A299F">
        <w:rPr>
          <w:rFonts w:ascii="Times New Roman" w:eastAsia="Times New Roman" w:hAnsi="Times New Roman" w:cs="Times New Roman"/>
          <w:iCs/>
          <w:spacing w:val="-3"/>
          <w:sz w:val="24"/>
          <w:szCs w:val="24"/>
          <w:lang w:eastAsia="ru-RU"/>
        </w:rPr>
        <w:t>государственные гарантии по обязательствам третьих лиц – 141957,7 тыс. рублей;</w:t>
      </w:r>
    </w:p>
    <w:p w:rsidR="001A299F" w:rsidRPr="001A299F" w:rsidRDefault="001A299F" w:rsidP="00F60552">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iCs/>
          <w:spacing w:val="-3"/>
          <w:sz w:val="24"/>
          <w:szCs w:val="24"/>
          <w:lang w:eastAsia="ru-RU"/>
        </w:rPr>
      </w:pPr>
      <w:r w:rsidRPr="001A299F">
        <w:rPr>
          <w:rFonts w:ascii="Times New Roman" w:eastAsia="Times New Roman" w:hAnsi="Times New Roman" w:cs="Times New Roman"/>
          <w:iCs/>
          <w:spacing w:val="-3"/>
          <w:sz w:val="24"/>
          <w:szCs w:val="24"/>
          <w:lang w:eastAsia="ru-RU"/>
        </w:rPr>
        <w:t>кредиты, полученные в коммерческих банках – 19768817,0 тыс. рублей.</w:t>
      </w:r>
    </w:p>
    <w:p w:rsidR="001A299F" w:rsidRPr="00580719" w:rsidRDefault="001A299F" w:rsidP="001A299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bCs/>
          <w:sz w:val="24"/>
          <w:szCs w:val="24"/>
          <w:lang w:eastAsia="ru-RU"/>
        </w:rPr>
        <w:t xml:space="preserve">Анализ изменения состояния и структуры государственного долга Амурской области за 2015 год по данным долговой книги </w:t>
      </w:r>
      <w:r w:rsidRPr="001A299F">
        <w:rPr>
          <w:rFonts w:ascii="Times New Roman" w:eastAsia="Times New Roman" w:hAnsi="Times New Roman" w:cs="Times New Roman"/>
          <w:sz w:val="24"/>
          <w:szCs w:val="24"/>
          <w:lang w:eastAsia="ru-RU"/>
        </w:rPr>
        <w:t xml:space="preserve">приведен </w:t>
      </w:r>
      <w:r w:rsidRPr="00580719">
        <w:rPr>
          <w:rFonts w:ascii="Times New Roman" w:eastAsia="Times New Roman" w:hAnsi="Times New Roman" w:cs="Times New Roman"/>
          <w:sz w:val="24"/>
          <w:szCs w:val="24"/>
          <w:lang w:eastAsia="ru-RU"/>
        </w:rPr>
        <w:t>в Приложении 2.</w:t>
      </w:r>
    </w:p>
    <w:p w:rsidR="001A299F" w:rsidRPr="00B55FEE"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Объем государственного</w:t>
      </w:r>
      <w:r w:rsidRPr="001A299F">
        <w:rPr>
          <w:rFonts w:ascii="Times New Roman" w:hAnsi="Times New Roman" w:cs="Times New Roman"/>
          <w:color w:val="FF0000"/>
          <w:sz w:val="24"/>
          <w:szCs w:val="24"/>
        </w:rPr>
        <w:t xml:space="preserve"> </w:t>
      </w:r>
      <w:r w:rsidRPr="001A299F">
        <w:rPr>
          <w:rFonts w:ascii="Times New Roman" w:hAnsi="Times New Roman" w:cs="Times New Roman"/>
          <w:sz w:val="24"/>
          <w:szCs w:val="24"/>
        </w:rPr>
        <w:t xml:space="preserve">долга в 2015 году по сравнению с 2014 годом увеличился на  2257156,8 тыс. рублей (в 1,1 раза) и составил 30484923,5 тыс. рублей, или </w:t>
      </w:r>
      <w:r w:rsidRPr="001A299F">
        <w:rPr>
          <w:rFonts w:ascii="Times New Roman" w:hAnsi="Times New Roman" w:cs="Times New Roman"/>
          <w:sz w:val="24"/>
          <w:szCs w:val="24"/>
        </w:rPr>
        <w:br/>
        <w:t xml:space="preserve">95,4 процента к сумме фактически полученных доходов областного бюджета без учета безвозмездных поступлений, что не превышает ограничений, установленных статьей </w:t>
      </w:r>
      <w:r w:rsidRPr="001A299F">
        <w:rPr>
          <w:rFonts w:ascii="Times New Roman" w:hAnsi="Times New Roman" w:cs="Times New Roman"/>
          <w:sz w:val="24"/>
          <w:szCs w:val="24"/>
        </w:rPr>
        <w:br/>
        <w:t xml:space="preserve">107 Бюджетного кодекса Российской Федерации. Долговые обязательства областного бюджета составили 98,5 процента верхнего предела государственного долга области, </w:t>
      </w:r>
      <w:r w:rsidRPr="001A299F">
        <w:rPr>
          <w:rFonts w:ascii="Times New Roman" w:hAnsi="Times New Roman" w:cs="Times New Roman"/>
          <w:sz w:val="24"/>
          <w:szCs w:val="24"/>
        </w:rPr>
        <w:br/>
        <w:t>95,9 процента предельного объема государст</w:t>
      </w:r>
      <w:r w:rsidR="00B55FEE">
        <w:rPr>
          <w:rFonts w:ascii="Times New Roman" w:hAnsi="Times New Roman" w:cs="Times New Roman"/>
          <w:sz w:val="24"/>
          <w:szCs w:val="24"/>
        </w:rPr>
        <w:t>венного долга Амурской области.</w:t>
      </w:r>
    </w:p>
    <w:p w:rsidR="001A299F" w:rsidRPr="00580719" w:rsidRDefault="001A299F" w:rsidP="001A299F">
      <w:pPr>
        <w:shd w:val="clear" w:color="auto" w:fill="FFFFFF"/>
        <w:spacing w:after="0" w:line="240" w:lineRule="auto"/>
        <w:ind w:firstLine="709"/>
        <w:jc w:val="both"/>
        <w:rPr>
          <w:rFonts w:ascii="Times New Roman" w:hAnsi="Times New Roman" w:cs="Times New Roman"/>
          <w:iCs/>
          <w:spacing w:val="-3"/>
          <w:sz w:val="24"/>
          <w:szCs w:val="24"/>
        </w:rPr>
      </w:pPr>
      <w:r w:rsidRPr="001A299F">
        <w:rPr>
          <w:rFonts w:ascii="Times New Roman" w:hAnsi="Times New Roman" w:cs="Times New Roman"/>
          <w:sz w:val="24"/>
          <w:szCs w:val="24"/>
        </w:rPr>
        <w:t xml:space="preserve">Следует отметить, что на протяжении последних пяти лет (2010-2014 годы) </w:t>
      </w:r>
      <w:r w:rsidRPr="001A299F">
        <w:rPr>
          <w:rFonts w:ascii="Times New Roman" w:hAnsi="Times New Roman" w:cs="Times New Roman"/>
          <w:iCs/>
          <w:spacing w:val="-3"/>
          <w:sz w:val="24"/>
          <w:szCs w:val="24"/>
        </w:rPr>
        <w:t>темпы прироста государственного долга Амурской области (в 1,7 раза, 30,3 процента, 51,5 процента, 23,7 процента соответственно) значительно опережали темпы прироста налоговых и неналоговых доходов областного бюджета (12,3 процента, 12,6 процента,</w:t>
      </w:r>
      <w:r w:rsidRPr="001A299F">
        <w:rPr>
          <w:rFonts w:ascii="Times New Roman" w:hAnsi="Times New Roman" w:cs="Times New Roman"/>
          <w:iCs/>
          <w:spacing w:val="-3"/>
          <w:sz w:val="24"/>
          <w:szCs w:val="24"/>
        </w:rPr>
        <w:br/>
        <w:t>0,3 процента, 8,4 процента соответственно). В 2015 году темпы прироста налоговых и неналоговых доходов областного бюджета опережают темпы прироста государственного долга Амурской области (11,1 процента и 8,0 процентов соответственно).</w:t>
      </w:r>
      <w:r w:rsidRPr="001A299F">
        <w:rPr>
          <w:iCs/>
          <w:spacing w:val="-3"/>
          <w:sz w:val="24"/>
          <w:szCs w:val="24"/>
        </w:rPr>
        <w:t xml:space="preserve"> </w:t>
      </w:r>
      <w:r w:rsidRPr="001A299F">
        <w:rPr>
          <w:rFonts w:ascii="Times New Roman" w:hAnsi="Times New Roman" w:cs="Times New Roman"/>
          <w:iCs/>
          <w:spacing w:val="-3"/>
          <w:sz w:val="24"/>
          <w:szCs w:val="24"/>
        </w:rPr>
        <w:t xml:space="preserve">Динамика состояния государственного долга Амурской области, объема доходов областного бюджета без учета безвозмездных поступлений за 2010-2015 годы представлена </w:t>
      </w:r>
      <w:r w:rsidRPr="00580719">
        <w:rPr>
          <w:rFonts w:ascii="Times New Roman" w:hAnsi="Times New Roman" w:cs="Times New Roman"/>
          <w:iCs/>
          <w:spacing w:val="-3"/>
          <w:sz w:val="24"/>
          <w:szCs w:val="24"/>
        </w:rPr>
        <w:t>на рисунке 3</w:t>
      </w:r>
      <w:r w:rsidR="00580719" w:rsidRPr="00580719">
        <w:rPr>
          <w:rFonts w:ascii="Times New Roman" w:hAnsi="Times New Roman" w:cs="Times New Roman"/>
          <w:iCs/>
          <w:spacing w:val="-3"/>
          <w:sz w:val="24"/>
          <w:szCs w:val="24"/>
        </w:rPr>
        <w:t>7</w:t>
      </w:r>
      <w:r w:rsidRPr="00580719">
        <w:rPr>
          <w:rFonts w:ascii="Times New Roman" w:hAnsi="Times New Roman" w:cs="Times New Roman"/>
          <w:iCs/>
          <w:spacing w:val="-3"/>
          <w:sz w:val="24"/>
          <w:szCs w:val="24"/>
        </w:rPr>
        <w:t>.</w:t>
      </w:r>
    </w:p>
    <w:p w:rsidR="001A299F" w:rsidRPr="001A299F" w:rsidRDefault="001A299F" w:rsidP="00B55FEE">
      <w:pPr>
        <w:widowControl w:val="0"/>
        <w:autoSpaceDE w:val="0"/>
        <w:autoSpaceDN w:val="0"/>
        <w:adjustRightInd w:val="0"/>
        <w:spacing w:after="0" w:line="240" w:lineRule="auto"/>
        <w:jc w:val="both"/>
        <w:rPr>
          <w:rFonts w:ascii="Times New Roman" w:hAnsi="Times New Roman" w:cs="Times New Roman"/>
          <w:sz w:val="24"/>
          <w:szCs w:val="24"/>
        </w:rPr>
      </w:pPr>
      <w:r w:rsidRPr="001A299F">
        <w:rPr>
          <w:noProof/>
          <w:color w:val="0D0D0D"/>
          <w:sz w:val="24"/>
          <w:szCs w:val="24"/>
          <w:lang w:eastAsia="ru-RU"/>
        </w:rPr>
        <w:drawing>
          <wp:inline distT="0" distB="0" distL="0" distR="0" wp14:anchorId="35717585" wp14:editId="5CB64CFA">
            <wp:extent cx="6124575" cy="4552950"/>
            <wp:effectExtent l="0" t="0" r="0" b="0"/>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1A299F" w:rsidRPr="001A299F" w:rsidRDefault="001A299F" w:rsidP="001A299F">
      <w:pPr>
        <w:shd w:val="clear" w:color="auto" w:fill="FFFFFF"/>
        <w:spacing w:after="0" w:line="240" w:lineRule="auto"/>
        <w:ind w:firstLine="709"/>
        <w:jc w:val="center"/>
        <w:rPr>
          <w:rFonts w:ascii="Times New Roman" w:hAnsi="Times New Roman" w:cs="Times New Roman"/>
          <w:b/>
          <w:iCs/>
          <w:spacing w:val="-3"/>
          <w:sz w:val="24"/>
          <w:szCs w:val="24"/>
        </w:rPr>
      </w:pPr>
      <w:r w:rsidRPr="00580719">
        <w:rPr>
          <w:rFonts w:ascii="Times New Roman" w:hAnsi="Times New Roman" w:cs="Times New Roman"/>
          <w:b/>
          <w:iCs/>
          <w:spacing w:val="-3"/>
          <w:sz w:val="24"/>
          <w:szCs w:val="24"/>
        </w:rPr>
        <w:t>Рис. 3</w:t>
      </w:r>
      <w:r w:rsidR="00580719" w:rsidRPr="00580719">
        <w:rPr>
          <w:rFonts w:ascii="Times New Roman" w:hAnsi="Times New Roman" w:cs="Times New Roman"/>
          <w:b/>
          <w:iCs/>
          <w:spacing w:val="-3"/>
          <w:sz w:val="24"/>
          <w:szCs w:val="24"/>
        </w:rPr>
        <w:t>7</w:t>
      </w:r>
      <w:r w:rsidRPr="00580719">
        <w:rPr>
          <w:rFonts w:ascii="Times New Roman" w:hAnsi="Times New Roman" w:cs="Times New Roman"/>
          <w:b/>
          <w:iCs/>
          <w:spacing w:val="-3"/>
          <w:sz w:val="24"/>
          <w:szCs w:val="24"/>
        </w:rPr>
        <w:t xml:space="preserve"> - Динамика </w:t>
      </w:r>
      <w:r w:rsidRPr="001A299F">
        <w:rPr>
          <w:rFonts w:ascii="Times New Roman" w:hAnsi="Times New Roman" w:cs="Times New Roman"/>
          <w:b/>
          <w:iCs/>
          <w:spacing w:val="-3"/>
          <w:sz w:val="24"/>
          <w:szCs w:val="24"/>
        </w:rPr>
        <w:t>состояния государственного долга области, объема доходов областного бюджета без учета безвозмездных поступлений за 2010-2015 годы, млн. руб</w:t>
      </w:r>
      <w:r w:rsidR="00B55FEE">
        <w:rPr>
          <w:rFonts w:ascii="Times New Roman" w:hAnsi="Times New Roman" w:cs="Times New Roman"/>
          <w:b/>
          <w:iCs/>
          <w:spacing w:val="-3"/>
          <w:sz w:val="24"/>
          <w:szCs w:val="24"/>
        </w:rPr>
        <w:t>.</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lastRenderedPageBreak/>
        <w:t xml:space="preserve">За последние шесть лет ежегодно наблюдается тенденция значительного роста объема государственного долга Амурской области. Так по состоянию на 01.01.2012 объем долговых обязательств по отношению к долговым обязательствам 2010 года увеличился в </w:t>
      </w:r>
      <w:r w:rsidRPr="001A299F">
        <w:rPr>
          <w:rFonts w:ascii="Times New Roman" w:eastAsia="Times New Roman" w:hAnsi="Times New Roman" w:cs="Times New Roman"/>
          <w:sz w:val="24"/>
          <w:szCs w:val="24"/>
          <w:lang w:eastAsia="ru-RU"/>
        </w:rPr>
        <w:br/>
        <w:t>1,7 раза. Объем государственного долга Амурской области по состоянию на 01.01.2013 по отношению к объему государственного долга Амурской области, сложившегося по состоянию на 01.01.2012, возрос в 1,3 раза.</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Долговые обязательства Амурской области 2013 года по отношению к долговым обязательствам 2010 года возросли в 3,4 раза, увеличение по отношению к объему государственного долга, сложившегося по состоянию на 01.01.2013 составляет 1,5 раза.</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eastAsia="Times New Roman" w:hAnsi="Times New Roman" w:cs="Times New Roman"/>
          <w:sz w:val="24"/>
          <w:szCs w:val="24"/>
          <w:lang w:eastAsia="ru-RU"/>
        </w:rPr>
        <w:t>В 2014 году объем государственного долга Амурской области по отношению к объему государственного долга 2013 года возрос в 1,2 раза.</w:t>
      </w:r>
    </w:p>
    <w:p w:rsidR="001A299F" w:rsidRPr="001A299F" w:rsidRDefault="001A299F" w:rsidP="001A29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Рост объема государственного долга области 2015 года по отношению к объему государственного долга 2014 </w:t>
      </w:r>
      <w:r w:rsidR="00424E6C">
        <w:rPr>
          <w:rFonts w:ascii="Times New Roman" w:hAnsi="Times New Roman" w:cs="Times New Roman"/>
          <w:sz w:val="24"/>
          <w:szCs w:val="24"/>
        </w:rPr>
        <w:t>года составляет 8,0 процентов.</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Основной причиной увеличения объема государственного долга за 2010-2015 годы  является увеличение объема привлечения к</w:t>
      </w:r>
      <w:r w:rsidR="00424E6C">
        <w:rPr>
          <w:rFonts w:ascii="Times New Roman" w:hAnsi="Times New Roman" w:cs="Times New Roman"/>
          <w:sz w:val="24"/>
          <w:szCs w:val="24"/>
        </w:rPr>
        <w:t>редитов кредитных организаций.</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В структуре государственного долга наибольший удельный вес - 64,8 процента занимают обязательства по кредитам, полученным от кредитных организаций, обязательства по бюджетным кредитам, привлеченным из федерального бюджета – </w:t>
      </w:r>
      <w:r w:rsidRPr="001A299F">
        <w:rPr>
          <w:rFonts w:ascii="Times New Roman" w:hAnsi="Times New Roman" w:cs="Times New Roman"/>
          <w:sz w:val="24"/>
          <w:szCs w:val="24"/>
        </w:rPr>
        <w:br/>
        <w:t xml:space="preserve">34,7 процента. Обязательства области по государственным гарантиям составляют </w:t>
      </w:r>
      <w:r w:rsidRPr="001A299F">
        <w:rPr>
          <w:rFonts w:ascii="Times New Roman" w:hAnsi="Times New Roman" w:cs="Times New Roman"/>
          <w:sz w:val="24"/>
          <w:szCs w:val="24"/>
        </w:rPr>
        <w:br/>
        <w:t>0,</w:t>
      </w:r>
      <w:r w:rsidR="00424E6C">
        <w:rPr>
          <w:rFonts w:ascii="Times New Roman" w:hAnsi="Times New Roman" w:cs="Times New Roman"/>
          <w:sz w:val="24"/>
          <w:szCs w:val="24"/>
        </w:rPr>
        <w:t>5 процента общего объема долга.</w:t>
      </w:r>
    </w:p>
    <w:p w:rsidR="001A299F" w:rsidRPr="00580719"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Структура государственного долга Амурской области в динамике за 2010-2015 годы представлена </w:t>
      </w:r>
      <w:r w:rsidRPr="00580719">
        <w:rPr>
          <w:rFonts w:ascii="Times New Roman" w:eastAsia="Times New Roman" w:hAnsi="Times New Roman" w:cs="Times New Roman"/>
          <w:sz w:val="24"/>
          <w:szCs w:val="24"/>
          <w:lang w:eastAsia="ru-RU"/>
        </w:rPr>
        <w:t xml:space="preserve">на рисунке </w:t>
      </w:r>
      <w:r w:rsidR="00580719" w:rsidRPr="00580719">
        <w:rPr>
          <w:rFonts w:ascii="Times New Roman" w:eastAsia="Times New Roman" w:hAnsi="Times New Roman" w:cs="Times New Roman"/>
          <w:sz w:val="24"/>
          <w:szCs w:val="24"/>
          <w:lang w:eastAsia="ru-RU"/>
        </w:rPr>
        <w:t>38</w:t>
      </w:r>
      <w:r w:rsidRPr="00580719">
        <w:rPr>
          <w:rFonts w:ascii="Times New Roman" w:eastAsia="Times New Roman" w:hAnsi="Times New Roman" w:cs="Times New Roman"/>
          <w:sz w:val="24"/>
          <w:szCs w:val="24"/>
          <w:lang w:eastAsia="ru-RU"/>
        </w:rPr>
        <w:t>.</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299F" w:rsidRPr="001A299F" w:rsidRDefault="001A299F" w:rsidP="001A299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299F">
        <w:rPr>
          <w:rFonts w:ascii="Times New Roman" w:eastAsia="Times New Roman" w:hAnsi="Times New Roman" w:cs="Times New Roman"/>
          <w:noProof/>
          <w:sz w:val="28"/>
          <w:szCs w:val="28"/>
          <w:lang w:eastAsia="ru-RU"/>
        </w:rPr>
        <w:drawing>
          <wp:inline distT="0" distB="0" distL="0" distR="0" wp14:anchorId="3A59852E" wp14:editId="17571193">
            <wp:extent cx="6105525" cy="2714625"/>
            <wp:effectExtent l="0" t="0" r="0" b="0"/>
            <wp:docPr id="30"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1A299F" w:rsidRPr="001A299F" w:rsidRDefault="001A299F" w:rsidP="001A299F">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580719">
        <w:rPr>
          <w:rFonts w:ascii="Times New Roman" w:eastAsia="Times New Roman" w:hAnsi="Times New Roman" w:cs="Times New Roman"/>
          <w:b/>
          <w:sz w:val="24"/>
          <w:szCs w:val="24"/>
          <w:lang w:eastAsia="ru-RU"/>
        </w:rPr>
        <w:t xml:space="preserve">Рис. </w:t>
      </w:r>
      <w:r w:rsidR="00580719" w:rsidRPr="00580719">
        <w:rPr>
          <w:rFonts w:ascii="Times New Roman" w:eastAsia="Times New Roman" w:hAnsi="Times New Roman" w:cs="Times New Roman"/>
          <w:b/>
          <w:sz w:val="24"/>
          <w:szCs w:val="24"/>
          <w:lang w:eastAsia="ru-RU"/>
        </w:rPr>
        <w:t>38</w:t>
      </w:r>
      <w:r w:rsidRPr="00580719">
        <w:rPr>
          <w:rFonts w:ascii="Times New Roman" w:eastAsia="Times New Roman" w:hAnsi="Times New Roman" w:cs="Times New Roman"/>
          <w:b/>
          <w:sz w:val="24"/>
          <w:szCs w:val="24"/>
          <w:lang w:eastAsia="ru-RU"/>
        </w:rPr>
        <w:t xml:space="preserve"> - Структура </w:t>
      </w:r>
      <w:r w:rsidRPr="001A299F">
        <w:rPr>
          <w:rFonts w:ascii="Times New Roman" w:eastAsia="Times New Roman" w:hAnsi="Times New Roman" w:cs="Times New Roman"/>
          <w:b/>
          <w:sz w:val="24"/>
          <w:szCs w:val="24"/>
          <w:lang w:eastAsia="ru-RU"/>
        </w:rPr>
        <w:t>государственного долга Амурской области за 2010-2015 годы, в процентах</w:t>
      </w:r>
    </w:p>
    <w:p w:rsidR="001A299F" w:rsidRPr="001A299F" w:rsidRDefault="001A299F" w:rsidP="001A2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На протяжении анализируемого периода в структуре государственного долга Амурской области преобладают кредиты коммерческих банков. В 2010 году они занимали</w:t>
      </w:r>
      <w:r w:rsidRPr="001A299F">
        <w:rPr>
          <w:rFonts w:ascii="Times New Roman" w:eastAsia="Times New Roman" w:hAnsi="Times New Roman" w:cs="Times New Roman"/>
          <w:sz w:val="24"/>
          <w:szCs w:val="24"/>
          <w:lang w:eastAsia="ru-RU"/>
        </w:rPr>
        <w:br/>
        <w:t xml:space="preserve">54,9 процента долговых обязательств области, в 2011 году – 62,2 процента, в 2012-2013 годах доля кредитов коммерческих банков незначительно снижается по сравнению с 2011 годом до </w:t>
      </w:r>
      <w:r w:rsidRPr="001A299F">
        <w:rPr>
          <w:rFonts w:ascii="Times New Roman" w:eastAsia="Times New Roman" w:hAnsi="Times New Roman" w:cs="Times New Roman"/>
          <w:sz w:val="24"/>
          <w:szCs w:val="24"/>
          <w:lang w:eastAsia="ru-RU"/>
        </w:rPr>
        <w:br/>
        <w:t xml:space="preserve">62,0 процентов и 58,6 процента соответственно. В 2014 году доля кредитов коммерческих банков в структуре государственного долга области повышается по сравнению с 2013 годом до 62,1 процента, в 2015 году их доля составляет 64,8 процента. Снижение доли кредитов коммерческих банков в структуре государственного долга области в 2012-2013 годах обусловлено привлечением бюджетных кредитов из федерального бюджета, доля которых в структуре государственного долга области возрастает с 26,2 процента в 2010 году до </w:t>
      </w:r>
      <w:r w:rsidRPr="001A299F">
        <w:rPr>
          <w:rFonts w:ascii="Times New Roman" w:eastAsia="Times New Roman" w:hAnsi="Times New Roman" w:cs="Times New Roman"/>
          <w:sz w:val="24"/>
          <w:szCs w:val="24"/>
          <w:lang w:eastAsia="ru-RU"/>
        </w:rPr>
        <w:br/>
        <w:t xml:space="preserve">40,0 процентов в 2013 году, 37,2 процента в 2014 году. В 2015 году доля бюджетных кредитов в общем объеме государственного долга области снижается по сравнению с </w:t>
      </w:r>
      <w:r w:rsidRPr="001A299F">
        <w:rPr>
          <w:rFonts w:ascii="Times New Roman" w:eastAsia="Times New Roman" w:hAnsi="Times New Roman" w:cs="Times New Roman"/>
          <w:sz w:val="24"/>
          <w:szCs w:val="24"/>
          <w:lang w:eastAsia="ru-RU"/>
        </w:rPr>
        <w:br/>
      </w:r>
      <w:r w:rsidRPr="001A299F">
        <w:rPr>
          <w:rFonts w:ascii="Times New Roman" w:eastAsia="Times New Roman" w:hAnsi="Times New Roman" w:cs="Times New Roman"/>
          <w:sz w:val="24"/>
          <w:szCs w:val="24"/>
          <w:lang w:eastAsia="ru-RU"/>
        </w:rPr>
        <w:lastRenderedPageBreak/>
        <w:t>2014 годом и составляет 34,7 процента.</w:t>
      </w:r>
    </w:p>
    <w:p w:rsidR="001A299F" w:rsidRPr="001A299F" w:rsidRDefault="001A299F" w:rsidP="00580719">
      <w:pPr>
        <w:tabs>
          <w:tab w:val="left" w:pos="2492"/>
        </w:tabs>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Бюджету Амурской области в 2015 году из федерального бюджета предоставлены бюджетные кредиты для частичного покрытия дефицита бюджета Амурской области на общую сумму 3992625,0  тыс. рублей, или 97,9 процента средств, предусмотренных  на указанные цели Программой внутренних заимствований Амурской области на 2015 год и плановый период 2016 и 2017 годов (приложение № 55 к Закону Амурской области «Об областном бюджете на 2015 год и плановый период 2016 и 2017 годов»), погашено в</w:t>
      </w:r>
      <w:r w:rsidRPr="001A299F">
        <w:rPr>
          <w:rFonts w:ascii="Times New Roman" w:hAnsi="Times New Roman" w:cs="Times New Roman"/>
          <w:sz w:val="24"/>
          <w:szCs w:val="24"/>
        </w:rPr>
        <w:br/>
        <w:t>2015 году бюджетных кредитов на сумму 3912609,8 тыс. рублей, или 100,0 процентов средств</w:t>
      </w:r>
      <w:r w:rsidR="006F620B">
        <w:rPr>
          <w:rFonts w:ascii="Times New Roman" w:hAnsi="Times New Roman" w:cs="Times New Roman"/>
          <w:sz w:val="24"/>
          <w:szCs w:val="24"/>
        </w:rPr>
        <w:t>, предусмотренных Программой.</w:t>
      </w:r>
    </w:p>
    <w:p w:rsidR="001A299F" w:rsidRPr="001A299F" w:rsidRDefault="001A299F" w:rsidP="001A299F">
      <w:pPr>
        <w:autoSpaceDE w:val="0"/>
        <w:autoSpaceDN w:val="0"/>
        <w:adjustRightInd w:val="0"/>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Кроме того, в целях обеспечения ликвидности единого счета областного бюджета в рамках финансового года в 2015 году министерством финансов Амурской области использовался  механизм привлечения бюджетных кредитов на пополнение остатков средств на счетах бюджетов субъектов Российской Федерации в Управлении Федерального</w:t>
      </w:r>
      <w:r w:rsidR="006F620B">
        <w:rPr>
          <w:rFonts w:ascii="Times New Roman" w:hAnsi="Times New Roman" w:cs="Times New Roman"/>
          <w:sz w:val="24"/>
          <w:szCs w:val="24"/>
        </w:rPr>
        <w:t xml:space="preserve"> казначейства Амурской области.</w:t>
      </w:r>
    </w:p>
    <w:p w:rsidR="001A299F" w:rsidRPr="001A299F" w:rsidRDefault="001A299F" w:rsidP="001A29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99F">
        <w:rPr>
          <w:rFonts w:ascii="Times New Roman" w:eastAsia="Calibri" w:hAnsi="Times New Roman" w:cs="Times New Roman"/>
          <w:sz w:val="24"/>
          <w:szCs w:val="24"/>
        </w:rPr>
        <w:t>В соответствии со статьей 93.6 Бюджетного кодекса Российской Федерации предоставление бюджетных кредитов на пополнение остатков средств на счетах бюджетов субъектов Российской Федерации осуществляется на срок, не превышающий 30 дней, при условии их возврата не позднее 25 но</w:t>
      </w:r>
      <w:r w:rsidR="006F620B">
        <w:rPr>
          <w:rFonts w:ascii="Times New Roman" w:eastAsia="Calibri" w:hAnsi="Times New Roman" w:cs="Times New Roman"/>
          <w:sz w:val="24"/>
          <w:szCs w:val="24"/>
        </w:rPr>
        <w:t>ября текущего финансового года.</w:t>
      </w:r>
    </w:p>
    <w:p w:rsidR="001A299F" w:rsidRPr="001A299F" w:rsidRDefault="001A299F" w:rsidP="001A29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99F">
        <w:rPr>
          <w:rFonts w:ascii="Times New Roman" w:eastAsia="Calibri" w:hAnsi="Times New Roman" w:cs="Times New Roman"/>
          <w:sz w:val="24"/>
          <w:szCs w:val="24"/>
        </w:rPr>
        <w:t>Статьей 11 Федерального закона от 01.12.2014 № 384-ФЗ «О федеральном бюджете на 2015 год и на плановый период 2016 и 2017 годов» установлена плата за пользование указанными бюджетными кредитами в размере 0,1 процента годовых.</w:t>
      </w:r>
    </w:p>
    <w:p w:rsidR="001A299F" w:rsidRPr="001A299F" w:rsidRDefault="001A299F" w:rsidP="001A29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99F">
        <w:rPr>
          <w:rFonts w:ascii="Times New Roman" w:hAnsi="Times New Roman" w:cs="Times New Roman"/>
          <w:sz w:val="24"/>
          <w:szCs w:val="24"/>
        </w:rPr>
        <w:t xml:space="preserve">В 2015 году получено за счет средств федерального бюджета </w:t>
      </w:r>
      <w:r w:rsidRPr="001A299F">
        <w:rPr>
          <w:rFonts w:ascii="Times New Roman" w:eastAsia="Calibri" w:hAnsi="Times New Roman" w:cs="Times New Roman"/>
          <w:sz w:val="24"/>
          <w:szCs w:val="24"/>
        </w:rPr>
        <w:t>бюджетных кредитов на пополнение остатков средств на счетах бюджетов субъектов Российской Федерации в сумме 5135000,0 тыс. рублей, которые в 2015</w:t>
      </w:r>
      <w:r w:rsidR="006F620B">
        <w:rPr>
          <w:rFonts w:ascii="Times New Roman" w:eastAsia="Calibri" w:hAnsi="Times New Roman" w:cs="Times New Roman"/>
          <w:sz w:val="24"/>
          <w:szCs w:val="24"/>
        </w:rPr>
        <w:t xml:space="preserve"> году погашены в полном объеме.</w:t>
      </w:r>
    </w:p>
    <w:p w:rsidR="001A299F" w:rsidRPr="001A299F" w:rsidRDefault="001A299F" w:rsidP="001A299F">
      <w:pPr>
        <w:spacing w:after="0" w:line="240" w:lineRule="auto"/>
        <w:jc w:val="both"/>
        <w:rPr>
          <w:rFonts w:ascii="Times New Roman" w:hAnsi="Times New Roman" w:cs="Times New Roman"/>
          <w:sz w:val="24"/>
          <w:szCs w:val="24"/>
        </w:rPr>
      </w:pPr>
      <w:r w:rsidRPr="001A299F">
        <w:rPr>
          <w:rFonts w:ascii="Times New Roman" w:hAnsi="Times New Roman" w:cs="Times New Roman"/>
          <w:color w:val="FF0000"/>
          <w:sz w:val="24"/>
          <w:szCs w:val="24"/>
        </w:rPr>
        <w:tab/>
      </w:r>
      <w:r w:rsidRPr="001A299F">
        <w:rPr>
          <w:rFonts w:ascii="Times New Roman" w:hAnsi="Times New Roman" w:cs="Times New Roman"/>
          <w:sz w:val="24"/>
          <w:szCs w:val="24"/>
        </w:rPr>
        <w:t>На 01.01.2016 общий объем долговых обязательств областного бюджета по бюджетным кредитам составил 10574148,8 тыс. рублей и увеличился  по сравнению с началом года  на  81160,7</w:t>
      </w:r>
      <w:r w:rsidR="006F620B">
        <w:rPr>
          <w:rFonts w:ascii="Times New Roman" w:hAnsi="Times New Roman" w:cs="Times New Roman"/>
          <w:sz w:val="24"/>
          <w:szCs w:val="24"/>
        </w:rPr>
        <w:t xml:space="preserve"> тыс. рублей, или 0,8 процента.</w:t>
      </w:r>
    </w:p>
    <w:p w:rsidR="001A299F" w:rsidRPr="001A299F" w:rsidRDefault="001A299F" w:rsidP="001A299F">
      <w:pPr>
        <w:tabs>
          <w:tab w:val="left" w:pos="709"/>
        </w:tabs>
        <w:spacing w:after="0" w:line="240" w:lineRule="auto"/>
        <w:ind w:firstLine="709"/>
        <w:jc w:val="both"/>
        <w:rPr>
          <w:rFonts w:ascii="Times New Roman" w:hAnsi="Times New Roman" w:cs="Times New Roman"/>
          <w:sz w:val="24"/>
          <w:szCs w:val="24"/>
        </w:rPr>
      </w:pPr>
    </w:p>
    <w:p w:rsidR="001A299F" w:rsidRPr="001A299F" w:rsidRDefault="00580719" w:rsidP="001A299F">
      <w:pPr>
        <w:widowControl w:val="0"/>
        <w:tabs>
          <w:tab w:val="left" w:pos="2492"/>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A299F" w:rsidRPr="001A299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001A299F" w:rsidRPr="001A299F">
        <w:rPr>
          <w:rFonts w:ascii="Times New Roman" w:eastAsia="Times New Roman" w:hAnsi="Times New Roman" w:cs="Times New Roman"/>
          <w:b/>
          <w:sz w:val="24"/>
          <w:szCs w:val="24"/>
          <w:lang w:eastAsia="ru-RU"/>
        </w:rPr>
        <w:t>Привлечение кредитов в коммерческих банках в 2015 году</w:t>
      </w:r>
    </w:p>
    <w:p w:rsidR="001A299F" w:rsidRPr="001A299F" w:rsidRDefault="001A299F" w:rsidP="001A299F">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Получение областным бюджетом кредитов от кредитных организаций предусмотрено Программой государственных внутренних заимствований на 2015 год в сумме </w:t>
      </w:r>
      <w:r w:rsidRPr="001A299F">
        <w:rPr>
          <w:rFonts w:ascii="Times New Roman" w:hAnsi="Times New Roman" w:cs="Times New Roman"/>
          <w:sz w:val="24"/>
          <w:szCs w:val="24"/>
        </w:rPr>
        <w:br/>
        <w:t>8682545,2 тыс. рублей, погашение кредитов, предоставленных кредитными организаци</w:t>
      </w:r>
      <w:r w:rsidR="006F620B">
        <w:rPr>
          <w:rFonts w:ascii="Times New Roman" w:hAnsi="Times New Roman" w:cs="Times New Roman"/>
          <w:sz w:val="24"/>
          <w:szCs w:val="24"/>
        </w:rPr>
        <w:t>ями – 6067390,3 тыс. рублей.</w:t>
      </w:r>
    </w:p>
    <w:p w:rsidR="001A299F" w:rsidRPr="001A299F" w:rsidRDefault="001A299F" w:rsidP="00580719">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В соответствии с Программой государственных внутренних заимствований области в 2015 году привлечено кредитных ресурсов в коммерческих банках на общую сумму 8308380,0 тыс. рублей, или 95,7 процента объема средств, предусмотренных Программой. Кредиторами областного бюджета в 2015 году являлись Благовещенский филиал № 8636 публичного акционерного общества   «Сбербанк России» – 4424865,0 тыс. рублей, филиал </w:t>
      </w:r>
      <w:r w:rsidRPr="001A299F">
        <w:rPr>
          <w:rFonts w:ascii="Times New Roman" w:hAnsi="Times New Roman" w:cs="Times New Roman"/>
          <w:sz w:val="24"/>
          <w:szCs w:val="24"/>
        </w:rPr>
        <w:br/>
        <w:t xml:space="preserve">ОАО Банк ВТБ в г.Хабаровске  - 283515,0 тыс. рублей, «Азиатско-Тихоокеанский Банк» </w:t>
      </w:r>
      <w:r w:rsidRPr="001A299F">
        <w:rPr>
          <w:rFonts w:ascii="Times New Roman" w:hAnsi="Times New Roman" w:cs="Times New Roman"/>
          <w:sz w:val="24"/>
          <w:szCs w:val="24"/>
        </w:rPr>
        <w:br/>
        <w:t>(ОАО) - 300000,0 тыс. рублей, ОАО КБ «Уссури» - 300000,0 тыс. рублей, Амурский региональный филиал «Россельхозбанк» - 1500000,0 тыс. рублей,  ПАО «Совко</w:t>
      </w:r>
      <w:r w:rsidR="006F620B">
        <w:rPr>
          <w:rFonts w:ascii="Times New Roman" w:hAnsi="Times New Roman" w:cs="Times New Roman"/>
          <w:sz w:val="24"/>
          <w:szCs w:val="24"/>
        </w:rPr>
        <w:t>мбанк» - 1500000,0 тыс. рублей.</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На погашение кредитов, предоставленных кредитными организациями, в 2015 году направлено 6067390,3 тыс. рублей, или 100,0 процентов средств, предусмотренны</w:t>
      </w:r>
      <w:r w:rsidR="006F620B">
        <w:rPr>
          <w:rFonts w:ascii="Times New Roman" w:hAnsi="Times New Roman" w:cs="Times New Roman"/>
          <w:sz w:val="24"/>
          <w:szCs w:val="24"/>
        </w:rPr>
        <w:t>х на указанные цели Программой.</w:t>
      </w:r>
    </w:p>
    <w:p w:rsidR="001A299F" w:rsidRPr="001A299F" w:rsidRDefault="001A299F" w:rsidP="00580719">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На 01.01.2016 общий объем долговых обязательств областного бюджета по кредитам коммерческих банков составил 19768817,0 тыс. рублей и увеличился по сравнению с началом года на 2240989,7 тыс. рублей, или в 1,1 раз</w:t>
      </w:r>
      <w:r w:rsidR="006F620B">
        <w:rPr>
          <w:rFonts w:ascii="Times New Roman" w:hAnsi="Times New Roman" w:cs="Times New Roman"/>
          <w:sz w:val="24"/>
          <w:szCs w:val="24"/>
        </w:rPr>
        <w:t>а.</w:t>
      </w:r>
    </w:p>
    <w:p w:rsidR="001A299F" w:rsidRPr="001A299F" w:rsidRDefault="001A299F" w:rsidP="001A299F">
      <w:pPr>
        <w:widowControl w:val="0"/>
        <w:tabs>
          <w:tab w:val="left" w:pos="1841"/>
        </w:tabs>
        <w:autoSpaceDE w:val="0"/>
        <w:autoSpaceDN w:val="0"/>
        <w:adjustRightInd w:val="0"/>
        <w:spacing w:after="0" w:line="240" w:lineRule="auto"/>
        <w:ind w:firstLine="708"/>
        <w:jc w:val="center"/>
        <w:rPr>
          <w:rFonts w:ascii="Times New Roman" w:eastAsia="Times New Roman" w:hAnsi="Times New Roman" w:cs="Times New Roman"/>
          <w:b/>
          <w:i/>
          <w:sz w:val="24"/>
          <w:szCs w:val="24"/>
          <w:lang w:eastAsia="ru-RU"/>
        </w:rPr>
      </w:pPr>
    </w:p>
    <w:p w:rsidR="001A299F" w:rsidRPr="001A299F" w:rsidRDefault="00580719" w:rsidP="001A299F">
      <w:pPr>
        <w:widowControl w:val="0"/>
        <w:tabs>
          <w:tab w:val="left" w:pos="1841"/>
        </w:tabs>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A299F" w:rsidRPr="001A299F">
        <w:rPr>
          <w:rFonts w:ascii="Times New Roman" w:eastAsia="Times New Roman" w:hAnsi="Times New Roman" w:cs="Times New Roman"/>
          <w:b/>
          <w:sz w:val="24"/>
          <w:szCs w:val="24"/>
          <w:lang w:eastAsia="ru-RU"/>
        </w:rPr>
        <w:t>.2. Предоставление государственных гарантий Амурской области в 2015 году</w:t>
      </w:r>
    </w:p>
    <w:p w:rsidR="001A299F" w:rsidRPr="001A299F" w:rsidRDefault="001A299F" w:rsidP="001A299F">
      <w:pPr>
        <w:shd w:val="clear" w:color="auto" w:fill="FFFFFF"/>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iCs/>
          <w:spacing w:val="-3"/>
          <w:sz w:val="24"/>
          <w:szCs w:val="24"/>
        </w:rPr>
        <w:t xml:space="preserve">Статьей 15 Закона Амурской области от 10.12.2014 №  458-ОЗ «Об областном бюджете на 2015 год и плановый период 2016 и 2017 годов» (в редакции Закона Амурской области от </w:t>
      </w:r>
      <w:r w:rsidRPr="001A299F">
        <w:rPr>
          <w:rFonts w:ascii="Times New Roman" w:hAnsi="Times New Roman" w:cs="Times New Roman"/>
          <w:iCs/>
          <w:spacing w:val="-3"/>
          <w:sz w:val="24"/>
          <w:szCs w:val="24"/>
        </w:rPr>
        <w:lastRenderedPageBreak/>
        <w:t>25.12.2015 № 626-ОЗ) утвер</w:t>
      </w:r>
      <w:r w:rsidRPr="001A299F">
        <w:rPr>
          <w:rFonts w:ascii="Times New Roman" w:hAnsi="Times New Roman" w:cs="Times New Roman"/>
          <w:sz w:val="24"/>
          <w:szCs w:val="24"/>
        </w:rPr>
        <w:t>ждена Программа предоставления  государственных гарантий Амурской области на 2015 го</w:t>
      </w:r>
      <w:r w:rsidR="006F620B">
        <w:rPr>
          <w:rFonts w:ascii="Times New Roman" w:hAnsi="Times New Roman" w:cs="Times New Roman"/>
          <w:sz w:val="24"/>
          <w:szCs w:val="24"/>
        </w:rPr>
        <w:t>д в сумме 149544,1 тыс. рублей.</w:t>
      </w:r>
    </w:p>
    <w:p w:rsidR="001A299F" w:rsidRPr="001A299F" w:rsidRDefault="001A299F" w:rsidP="001A299F">
      <w:pPr>
        <w:shd w:val="clear" w:color="auto" w:fill="FFFFFF"/>
        <w:tabs>
          <w:tab w:val="left" w:pos="709"/>
        </w:tabs>
        <w:spacing w:after="0" w:line="240" w:lineRule="auto"/>
        <w:jc w:val="both"/>
        <w:rPr>
          <w:rFonts w:ascii="Times New Roman" w:hAnsi="Times New Roman" w:cs="Times New Roman"/>
          <w:iCs/>
          <w:sz w:val="24"/>
          <w:szCs w:val="24"/>
        </w:rPr>
      </w:pPr>
      <w:r w:rsidRPr="001A299F">
        <w:rPr>
          <w:rFonts w:ascii="Times New Roman" w:hAnsi="Times New Roman" w:cs="Times New Roman"/>
          <w:iCs/>
          <w:sz w:val="24"/>
          <w:szCs w:val="24"/>
        </w:rPr>
        <w:tab/>
        <w:t>В 2015 году во исполнение Программы предоставления государственных гарантий Амурской области в соответствии с постановлением Правительства Амурской области от 02.03.2015 № 65  предоставлена государственная гарантия Амурской области акционерному обществу Производственное объединение Шимановский машиностроительный завод «Кранспецбурмаш» на сумму 149544,1 тыс. рублей по направлению гарантирования – по кредитам, привлекаемым хозяйствующими субъектами Амурской области на осуществление основной производственной деятельности.</w:t>
      </w:r>
    </w:p>
    <w:p w:rsidR="001A299F" w:rsidRPr="00580719"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На 01.01.2015 объем непогашенных гарантий, выданных в предшествующие годы, составил 206951,3 тыс. рублей. В течение 2015 года по гарантийным обязательствам погашено 195143,6 тыс. рублей, привлечено кредитов под государственные гарантии области в объеме 130150,0 тыс. рублей. По состоянию на 01.01.2016 задолженность по долговым обязательствам - государственные гарантии Амурской области составила 141957,7 тыс. рублей, что на 64993,6 тыс. рублей, или 31,4 процента ниже задолженности на начало года. Информация об исполнении Программы государственных гарантий Амурской области за 2015 год приведена </w:t>
      </w:r>
      <w:r w:rsidRPr="00580719">
        <w:rPr>
          <w:rFonts w:ascii="Times New Roman" w:hAnsi="Times New Roman" w:cs="Times New Roman"/>
          <w:sz w:val="24"/>
          <w:szCs w:val="24"/>
        </w:rPr>
        <w:t>в Приложении 3.</w:t>
      </w:r>
    </w:p>
    <w:p w:rsidR="001A299F" w:rsidRDefault="001A299F" w:rsidP="00580719">
      <w:pPr>
        <w:shd w:val="clear" w:color="auto" w:fill="FFFFFF"/>
        <w:spacing w:after="0" w:line="240" w:lineRule="auto"/>
        <w:ind w:firstLine="708"/>
        <w:jc w:val="both"/>
        <w:rPr>
          <w:rFonts w:ascii="Times New Roman" w:hAnsi="Times New Roman" w:cs="Times New Roman"/>
          <w:iCs/>
          <w:sz w:val="24"/>
          <w:szCs w:val="24"/>
        </w:rPr>
      </w:pPr>
      <w:r w:rsidRPr="001A299F">
        <w:rPr>
          <w:rFonts w:ascii="Times New Roman" w:hAnsi="Times New Roman" w:cs="Times New Roman"/>
          <w:iCs/>
          <w:sz w:val="24"/>
          <w:szCs w:val="24"/>
        </w:rPr>
        <w:t>Предоставление государственных гарантий Амурской области осуществлялось на основании Закона Амурской области от 30.06.2008 № 67-ОЗ  «О порядке предоставления государственных гарантий Амурской области» (в редакции Закона Амурской области от 05.06.2012 № 52-ОЗ), постановления Правительства Амурской области от 08.06.2009 № 251 «Об утверждении перечня документов, представляемых для получения государственной гарантии Амурской области, и порядка оформления государственной гарантии Амурской области» (в редакции постановления Правительства Амурской области от 27.09.2013 № 462).</w:t>
      </w:r>
    </w:p>
    <w:p w:rsidR="00580719" w:rsidRPr="001A299F" w:rsidRDefault="00580719" w:rsidP="00580719">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rsidR="001A299F" w:rsidRPr="001A299F" w:rsidRDefault="00580719" w:rsidP="001A299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A299F" w:rsidRPr="001A299F">
        <w:rPr>
          <w:rFonts w:ascii="Times New Roman" w:eastAsia="Times New Roman" w:hAnsi="Times New Roman" w:cs="Times New Roman"/>
          <w:b/>
          <w:sz w:val="24"/>
          <w:szCs w:val="24"/>
          <w:lang w:eastAsia="ru-RU"/>
        </w:rPr>
        <w:t>.3.Обслуживание и управление государственным долгом Амурской области в 2015 году</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Объем расходов на обслуживание долговых обязательств области за 2015 год составил  1903647,9 тыс. рублей,  при уточненных бюджетных ассигнованиях 1904248,6 тыс. рублей, или 99,</w:t>
      </w:r>
      <w:r w:rsidR="006F620B">
        <w:rPr>
          <w:rFonts w:ascii="Times New Roman" w:hAnsi="Times New Roman" w:cs="Times New Roman"/>
          <w:sz w:val="24"/>
          <w:szCs w:val="24"/>
        </w:rPr>
        <w:t>9 процента плановых назначений.</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 В течение 2015 года плановые ассигнования на обслуживание долговых обязательств области уменьшились на 209284,7 тыс. рублей. Первоначально Законом Амурской области от</w:t>
      </w:r>
      <w:r w:rsidRPr="001A299F">
        <w:rPr>
          <w:rFonts w:ascii="Times New Roman" w:hAnsi="Times New Roman" w:cs="Times New Roman"/>
          <w:iCs/>
          <w:spacing w:val="-3"/>
          <w:sz w:val="24"/>
          <w:szCs w:val="24"/>
        </w:rPr>
        <w:t xml:space="preserve"> 10.12.2014 № 458-ОЗ </w:t>
      </w:r>
      <w:r w:rsidRPr="001A299F">
        <w:rPr>
          <w:rFonts w:ascii="Times New Roman" w:hAnsi="Times New Roman" w:cs="Times New Roman"/>
          <w:sz w:val="24"/>
          <w:szCs w:val="24"/>
        </w:rPr>
        <w:t xml:space="preserve">«Об областном бюджете на 2015 год и плановый период 2016 и </w:t>
      </w:r>
      <w:r w:rsidRPr="001A299F">
        <w:rPr>
          <w:rFonts w:ascii="Times New Roman" w:hAnsi="Times New Roman" w:cs="Times New Roman"/>
          <w:sz w:val="24"/>
          <w:szCs w:val="24"/>
        </w:rPr>
        <w:br/>
        <w:t xml:space="preserve">2017 годов» бюджетные ассигнования на обслуживание государственного долга области предусмотрены в объеме 2113533,3 тыс. рублей, с учетом внесенных изменений в указанный Закон, бюджетные ассигнования на обслуживание государственного долга области уменьшились и составили 1904248,6 тыс. рублей, что </w:t>
      </w:r>
      <w:r w:rsidR="006F620B">
        <w:rPr>
          <w:rFonts w:ascii="Times New Roman" w:hAnsi="Times New Roman" w:cs="Times New Roman"/>
          <w:sz w:val="24"/>
          <w:szCs w:val="24"/>
        </w:rPr>
        <w:t xml:space="preserve">связано с досрочным погашением </w:t>
      </w:r>
      <w:r w:rsidRPr="001A299F">
        <w:rPr>
          <w:rFonts w:ascii="Times New Roman" w:hAnsi="Times New Roman" w:cs="Times New Roman"/>
          <w:sz w:val="24"/>
          <w:szCs w:val="24"/>
        </w:rPr>
        <w:t>кредитов, привлеченных в коммерческих банках, переносом сроков привлечения кредитов в коммерче</w:t>
      </w:r>
      <w:r w:rsidR="006F620B">
        <w:rPr>
          <w:rFonts w:ascii="Times New Roman" w:hAnsi="Times New Roman" w:cs="Times New Roman"/>
          <w:sz w:val="24"/>
          <w:szCs w:val="24"/>
        </w:rPr>
        <w:t>ских банках, на более поздние.</w:t>
      </w:r>
    </w:p>
    <w:p w:rsidR="001A299F" w:rsidRPr="001A299F" w:rsidRDefault="001A299F" w:rsidP="001A299F">
      <w:pPr>
        <w:spacing w:after="0" w:line="240" w:lineRule="auto"/>
        <w:ind w:firstLine="708"/>
        <w:jc w:val="both"/>
        <w:rPr>
          <w:rFonts w:ascii="Times New Roman" w:eastAsia="Times New Roman" w:hAnsi="Times New Roman" w:cs="Times New Roman"/>
          <w:snapToGrid w:val="0"/>
          <w:sz w:val="24"/>
          <w:szCs w:val="24"/>
          <w:lang w:eastAsia="ru-RU"/>
        </w:rPr>
      </w:pPr>
      <w:r w:rsidRPr="001A299F">
        <w:rPr>
          <w:rFonts w:ascii="Times New Roman" w:hAnsi="Times New Roman" w:cs="Times New Roman"/>
          <w:sz w:val="24"/>
          <w:szCs w:val="24"/>
        </w:rPr>
        <w:t xml:space="preserve">Объем </w:t>
      </w:r>
      <w:r w:rsidRPr="001A299F">
        <w:rPr>
          <w:rFonts w:ascii="Times New Roman" w:eastAsia="Times New Roman" w:hAnsi="Times New Roman" w:cs="Times New Roman"/>
          <w:snapToGrid w:val="0"/>
          <w:sz w:val="24"/>
          <w:szCs w:val="24"/>
          <w:lang w:eastAsia="ru-RU"/>
        </w:rPr>
        <w:t xml:space="preserve">расходов на обслуживание долга в 2010-2015 годах колеблется от </w:t>
      </w:r>
      <w:r w:rsidR="004A0E6F">
        <w:rPr>
          <w:rFonts w:ascii="Times New Roman" w:eastAsia="Times New Roman" w:hAnsi="Times New Roman" w:cs="Times New Roman"/>
          <w:snapToGrid w:val="0"/>
          <w:sz w:val="24"/>
          <w:szCs w:val="24"/>
          <w:lang w:eastAsia="ru-RU"/>
        </w:rPr>
        <w:br/>
      </w:r>
      <w:r w:rsidRPr="001A299F">
        <w:rPr>
          <w:rFonts w:ascii="Times New Roman" w:eastAsia="Times New Roman" w:hAnsi="Times New Roman" w:cs="Times New Roman"/>
          <w:snapToGrid w:val="0"/>
          <w:sz w:val="24"/>
          <w:szCs w:val="24"/>
          <w:lang w:eastAsia="ru-RU"/>
        </w:rPr>
        <w:t>131</w:t>
      </w:r>
      <w:r w:rsidR="004A0E6F">
        <w:rPr>
          <w:rFonts w:ascii="Times New Roman" w:eastAsia="Times New Roman" w:hAnsi="Times New Roman" w:cs="Times New Roman"/>
          <w:snapToGrid w:val="0"/>
          <w:sz w:val="24"/>
          <w:szCs w:val="24"/>
          <w:lang w:eastAsia="ru-RU"/>
        </w:rPr>
        <w:t>475,5 тыс</w:t>
      </w:r>
      <w:r w:rsidRPr="001A299F">
        <w:rPr>
          <w:rFonts w:ascii="Times New Roman" w:eastAsia="Times New Roman" w:hAnsi="Times New Roman" w:cs="Times New Roman"/>
          <w:snapToGrid w:val="0"/>
          <w:sz w:val="24"/>
          <w:szCs w:val="24"/>
          <w:lang w:eastAsia="ru-RU"/>
        </w:rPr>
        <w:t>. рублей (2010 год) до 19036</w:t>
      </w:r>
      <w:r w:rsidR="004A0E6F">
        <w:rPr>
          <w:rFonts w:ascii="Times New Roman" w:eastAsia="Times New Roman" w:hAnsi="Times New Roman" w:cs="Times New Roman"/>
          <w:snapToGrid w:val="0"/>
          <w:sz w:val="24"/>
          <w:szCs w:val="24"/>
          <w:lang w:eastAsia="ru-RU"/>
        </w:rPr>
        <w:t>47,9</w:t>
      </w:r>
      <w:r w:rsidRPr="001A299F">
        <w:rPr>
          <w:rFonts w:ascii="Times New Roman" w:eastAsia="Times New Roman" w:hAnsi="Times New Roman" w:cs="Times New Roman"/>
          <w:snapToGrid w:val="0"/>
          <w:sz w:val="24"/>
          <w:szCs w:val="24"/>
          <w:lang w:eastAsia="ru-RU"/>
        </w:rPr>
        <w:t xml:space="preserve"> </w:t>
      </w:r>
      <w:r w:rsidR="004A0E6F">
        <w:rPr>
          <w:rFonts w:ascii="Times New Roman" w:eastAsia="Times New Roman" w:hAnsi="Times New Roman" w:cs="Times New Roman"/>
          <w:snapToGrid w:val="0"/>
          <w:sz w:val="24"/>
          <w:szCs w:val="24"/>
          <w:lang w:eastAsia="ru-RU"/>
        </w:rPr>
        <w:t>тыс</w:t>
      </w:r>
      <w:r w:rsidRPr="001A299F">
        <w:rPr>
          <w:rFonts w:ascii="Times New Roman" w:eastAsia="Times New Roman" w:hAnsi="Times New Roman" w:cs="Times New Roman"/>
          <w:snapToGrid w:val="0"/>
          <w:sz w:val="24"/>
          <w:szCs w:val="24"/>
          <w:lang w:eastAsia="ru-RU"/>
        </w:rPr>
        <w:t xml:space="preserve">. рублей (2015 год). В 2015 году расходы на обслуживание долговых обязательств по сравнению с 2014 годом увеличиваются </w:t>
      </w:r>
      <w:r w:rsidR="004A0E6F">
        <w:rPr>
          <w:rFonts w:ascii="Times New Roman" w:eastAsia="Times New Roman" w:hAnsi="Times New Roman" w:cs="Times New Roman"/>
          <w:snapToGrid w:val="0"/>
          <w:sz w:val="24"/>
          <w:szCs w:val="24"/>
          <w:lang w:eastAsia="ru-RU"/>
        </w:rPr>
        <w:br/>
      </w:r>
      <w:r w:rsidRPr="001A299F">
        <w:rPr>
          <w:rFonts w:ascii="Times New Roman" w:eastAsia="Times New Roman" w:hAnsi="Times New Roman" w:cs="Times New Roman"/>
          <w:snapToGrid w:val="0"/>
          <w:sz w:val="24"/>
          <w:szCs w:val="24"/>
          <w:lang w:eastAsia="ru-RU"/>
        </w:rPr>
        <w:t>на 5076</w:t>
      </w:r>
      <w:r w:rsidR="004A0E6F">
        <w:rPr>
          <w:rFonts w:ascii="Times New Roman" w:eastAsia="Times New Roman" w:hAnsi="Times New Roman" w:cs="Times New Roman"/>
          <w:snapToGrid w:val="0"/>
          <w:sz w:val="24"/>
          <w:szCs w:val="24"/>
          <w:lang w:eastAsia="ru-RU"/>
        </w:rPr>
        <w:t>1</w:t>
      </w:r>
      <w:r w:rsidR="00274782">
        <w:rPr>
          <w:rFonts w:ascii="Times New Roman" w:eastAsia="Times New Roman" w:hAnsi="Times New Roman" w:cs="Times New Roman"/>
          <w:snapToGrid w:val="0"/>
          <w:sz w:val="24"/>
          <w:szCs w:val="24"/>
          <w:lang w:eastAsia="ru-RU"/>
        </w:rPr>
        <w:t>5,2</w:t>
      </w:r>
      <w:r w:rsidRPr="001A299F">
        <w:rPr>
          <w:rFonts w:ascii="Times New Roman" w:eastAsia="Times New Roman" w:hAnsi="Times New Roman" w:cs="Times New Roman"/>
          <w:snapToGrid w:val="0"/>
          <w:sz w:val="24"/>
          <w:szCs w:val="24"/>
          <w:lang w:eastAsia="ru-RU"/>
        </w:rPr>
        <w:t xml:space="preserve"> </w:t>
      </w:r>
      <w:r w:rsidR="004A0E6F">
        <w:rPr>
          <w:rFonts w:ascii="Times New Roman" w:eastAsia="Times New Roman" w:hAnsi="Times New Roman" w:cs="Times New Roman"/>
          <w:snapToGrid w:val="0"/>
          <w:sz w:val="24"/>
          <w:szCs w:val="24"/>
          <w:lang w:eastAsia="ru-RU"/>
        </w:rPr>
        <w:t>тыс</w:t>
      </w:r>
      <w:r w:rsidR="006F620B">
        <w:rPr>
          <w:rFonts w:ascii="Times New Roman" w:eastAsia="Times New Roman" w:hAnsi="Times New Roman" w:cs="Times New Roman"/>
          <w:snapToGrid w:val="0"/>
          <w:sz w:val="24"/>
          <w:szCs w:val="24"/>
          <w:lang w:eastAsia="ru-RU"/>
        </w:rPr>
        <w:t>. рублей, или 36,</w:t>
      </w:r>
      <w:r w:rsidR="004A0E6F">
        <w:rPr>
          <w:rFonts w:ascii="Times New Roman" w:eastAsia="Times New Roman" w:hAnsi="Times New Roman" w:cs="Times New Roman"/>
          <w:snapToGrid w:val="0"/>
          <w:sz w:val="24"/>
          <w:szCs w:val="24"/>
          <w:lang w:eastAsia="ru-RU"/>
        </w:rPr>
        <w:t>4</w:t>
      </w:r>
      <w:r w:rsidR="006F620B">
        <w:rPr>
          <w:rFonts w:ascii="Times New Roman" w:eastAsia="Times New Roman" w:hAnsi="Times New Roman" w:cs="Times New Roman"/>
          <w:snapToGrid w:val="0"/>
          <w:sz w:val="24"/>
          <w:szCs w:val="24"/>
          <w:lang w:eastAsia="ru-RU"/>
        </w:rPr>
        <w:t xml:space="preserve"> процента.</w:t>
      </w:r>
    </w:p>
    <w:p w:rsidR="001A299F" w:rsidRDefault="001A299F" w:rsidP="001A299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1A299F">
        <w:rPr>
          <w:rFonts w:ascii="Times New Roman" w:eastAsia="Times New Roman" w:hAnsi="Times New Roman" w:cs="Times New Roman"/>
          <w:snapToGrid w:val="0"/>
          <w:sz w:val="24"/>
          <w:szCs w:val="24"/>
          <w:lang w:eastAsia="ru-RU"/>
        </w:rPr>
        <w:t xml:space="preserve">Показатели расходов на обслуживание государственного долга области за </w:t>
      </w:r>
      <w:r w:rsidRPr="001A299F">
        <w:rPr>
          <w:rFonts w:ascii="Times New Roman" w:eastAsia="Times New Roman" w:hAnsi="Times New Roman" w:cs="Times New Roman"/>
          <w:snapToGrid w:val="0"/>
          <w:sz w:val="24"/>
          <w:szCs w:val="24"/>
          <w:lang w:eastAsia="ru-RU"/>
        </w:rPr>
        <w:br/>
        <w:t xml:space="preserve">2010-2015 годы представлены </w:t>
      </w:r>
      <w:r w:rsidRPr="00580719">
        <w:rPr>
          <w:rFonts w:ascii="Times New Roman" w:eastAsia="Times New Roman" w:hAnsi="Times New Roman" w:cs="Times New Roman"/>
          <w:snapToGrid w:val="0"/>
          <w:sz w:val="24"/>
          <w:szCs w:val="24"/>
          <w:lang w:eastAsia="ru-RU"/>
        </w:rPr>
        <w:t xml:space="preserve">на рисунке </w:t>
      </w:r>
      <w:r w:rsidR="00580719" w:rsidRPr="00580719">
        <w:rPr>
          <w:rFonts w:ascii="Times New Roman" w:eastAsia="Times New Roman" w:hAnsi="Times New Roman" w:cs="Times New Roman"/>
          <w:snapToGrid w:val="0"/>
          <w:sz w:val="24"/>
          <w:szCs w:val="24"/>
          <w:lang w:eastAsia="ru-RU"/>
        </w:rPr>
        <w:t>39</w:t>
      </w:r>
      <w:r w:rsidRPr="00580719">
        <w:rPr>
          <w:rFonts w:ascii="Times New Roman" w:eastAsia="Times New Roman" w:hAnsi="Times New Roman" w:cs="Times New Roman"/>
          <w:snapToGrid w:val="0"/>
          <w:sz w:val="24"/>
          <w:szCs w:val="24"/>
          <w:lang w:eastAsia="ru-RU"/>
        </w:rPr>
        <w:t>.</w:t>
      </w:r>
    </w:p>
    <w:p w:rsidR="00580719" w:rsidRPr="001A299F" w:rsidRDefault="00580719" w:rsidP="00580719">
      <w:pPr>
        <w:shd w:val="clear" w:color="auto" w:fill="FFFFFF"/>
        <w:spacing w:after="0" w:line="240" w:lineRule="auto"/>
        <w:ind w:firstLine="709"/>
        <w:jc w:val="both"/>
        <w:rPr>
          <w:rFonts w:ascii="Times New Roman" w:hAnsi="Times New Roman" w:cs="Times New Roman"/>
          <w:iCs/>
          <w:spacing w:val="-3"/>
          <w:sz w:val="24"/>
          <w:szCs w:val="24"/>
        </w:rPr>
      </w:pPr>
      <w:r w:rsidRPr="001A299F">
        <w:rPr>
          <w:rFonts w:ascii="Times New Roman" w:eastAsia="Times New Roman" w:hAnsi="Times New Roman" w:cs="Times New Roman"/>
          <w:snapToGrid w:val="0"/>
          <w:color w:val="000000"/>
          <w:spacing w:val="6"/>
          <w:sz w:val="24"/>
          <w:szCs w:val="24"/>
          <w:lang w:eastAsia="ru-RU"/>
        </w:rPr>
        <w:t xml:space="preserve">Статьей 111 Бюджетного кодекса Российской Федерации установлено, что расходы на обслуживание государственного долга не должны превышать 15 процентов общей суммы расходов бюджета </w:t>
      </w:r>
      <w:r w:rsidRPr="001A299F">
        <w:rPr>
          <w:rFonts w:ascii="Times New Roman" w:eastAsia="Times New Roman" w:hAnsi="Times New Roman" w:cs="Times New Roman"/>
          <w:spacing w:val="6"/>
          <w:sz w:val="24"/>
          <w:szCs w:val="24"/>
          <w:lang w:eastAsia="ru-RU"/>
        </w:rPr>
        <w:t>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1A299F">
        <w:rPr>
          <w:rFonts w:ascii="Times New Roman" w:eastAsia="Times New Roman" w:hAnsi="Times New Roman" w:cs="Times New Roman"/>
          <w:snapToGrid w:val="0"/>
          <w:color w:val="000000"/>
          <w:spacing w:val="6"/>
          <w:sz w:val="24"/>
          <w:szCs w:val="24"/>
          <w:lang w:eastAsia="ru-RU"/>
        </w:rPr>
        <w:t xml:space="preserve"> Доля расходов на обслуживание долга в расходах областного бюджета без учёта субвенций в 2010-2015 годах не превышает установленную Бюджетным кодексом Российской Федерации 15-процентную предельную величину. </w:t>
      </w:r>
      <w:r w:rsidRPr="001A299F">
        <w:rPr>
          <w:rFonts w:ascii="Times New Roman" w:hAnsi="Times New Roman" w:cs="Times New Roman"/>
          <w:iCs/>
          <w:spacing w:val="-3"/>
          <w:sz w:val="24"/>
          <w:szCs w:val="24"/>
        </w:rPr>
        <w:t xml:space="preserve">Вместе с тем следует отметить, что в 2014 году отношение расходов на обслуживание </w:t>
      </w:r>
      <w:r w:rsidRPr="001A299F">
        <w:rPr>
          <w:rFonts w:ascii="Times New Roman" w:hAnsi="Times New Roman" w:cs="Times New Roman"/>
          <w:iCs/>
          <w:spacing w:val="-3"/>
          <w:sz w:val="24"/>
          <w:szCs w:val="24"/>
        </w:rPr>
        <w:lastRenderedPageBreak/>
        <w:t>государственного долга к общему объему расходов без учета субвенций увеличилось по сравнению с 2013 годом и составляет 2,7 процента,</w:t>
      </w:r>
      <w:r w:rsidRPr="001A299F">
        <w:rPr>
          <w:rFonts w:ascii="Times New Roman" w:hAnsi="Times New Roman" w:cs="Times New Roman"/>
          <w:iCs/>
          <w:color w:val="FF0000"/>
          <w:spacing w:val="-3"/>
          <w:sz w:val="24"/>
          <w:szCs w:val="24"/>
        </w:rPr>
        <w:t xml:space="preserve"> </w:t>
      </w:r>
      <w:r w:rsidRPr="001A299F">
        <w:rPr>
          <w:rFonts w:ascii="Times New Roman" w:hAnsi="Times New Roman" w:cs="Times New Roman"/>
          <w:iCs/>
          <w:spacing w:val="-3"/>
          <w:sz w:val="24"/>
          <w:szCs w:val="24"/>
        </w:rPr>
        <w:t xml:space="preserve">в 2015 году указанное отношение увеличилось до 4,3 процента, что связано с ростом расходов на обслуживание государственного долга области в 2014 году в 1,3 раза по сравнению с 2013 годом, в 2015 году  в 1,4 </w:t>
      </w:r>
      <w:r w:rsidR="006F620B">
        <w:rPr>
          <w:rFonts w:ascii="Times New Roman" w:hAnsi="Times New Roman" w:cs="Times New Roman"/>
          <w:iCs/>
          <w:spacing w:val="-3"/>
          <w:sz w:val="24"/>
          <w:szCs w:val="24"/>
        </w:rPr>
        <w:t>раза по сравнению с 2014 годом.</w:t>
      </w:r>
    </w:p>
    <w:p w:rsidR="001A299F" w:rsidRPr="001A299F" w:rsidRDefault="001A299F" w:rsidP="001A299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1A299F">
        <w:rPr>
          <w:rFonts w:ascii="Times New Roman" w:eastAsia="Times New Roman" w:hAnsi="Times New Roman" w:cs="Times New Roman"/>
          <w:b/>
          <w:i/>
          <w:noProof/>
          <w:sz w:val="20"/>
          <w:szCs w:val="20"/>
          <w:lang w:eastAsia="ru-RU"/>
        </w:rPr>
        <w:drawing>
          <wp:inline distT="0" distB="0" distL="0" distR="0" wp14:anchorId="2743ACBB" wp14:editId="6A464119">
            <wp:extent cx="5732890" cy="3291840"/>
            <wp:effectExtent l="0" t="0" r="0" b="0"/>
            <wp:docPr id="31"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1A299F" w:rsidRPr="001A299F" w:rsidRDefault="001A299F" w:rsidP="001A29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napToGrid w:val="0"/>
          <w:lang w:eastAsia="ru-RU"/>
        </w:rPr>
      </w:pPr>
      <w:r w:rsidRPr="00580719">
        <w:rPr>
          <w:rFonts w:ascii="Times New Roman" w:eastAsia="Times New Roman" w:hAnsi="Times New Roman" w:cs="Times New Roman"/>
          <w:b/>
          <w:snapToGrid w:val="0"/>
          <w:lang w:eastAsia="ru-RU"/>
        </w:rPr>
        <w:t xml:space="preserve">Рис. </w:t>
      </w:r>
      <w:r w:rsidR="00580719" w:rsidRPr="00580719">
        <w:rPr>
          <w:rFonts w:ascii="Times New Roman" w:eastAsia="Times New Roman" w:hAnsi="Times New Roman" w:cs="Times New Roman"/>
          <w:b/>
          <w:snapToGrid w:val="0"/>
          <w:lang w:eastAsia="ru-RU"/>
        </w:rPr>
        <w:t>39</w:t>
      </w:r>
      <w:r w:rsidRPr="00580719">
        <w:rPr>
          <w:rFonts w:ascii="Times New Roman" w:eastAsia="Times New Roman" w:hAnsi="Times New Roman" w:cs="Times New Roman"/>
          <w:b/>
          <w:snapToGrid w:val="0"/>
          <w:lang w:eastAsia="ru-RU"/>
        </w:rPr>
        <w:t xml:space="preserve">– Показатели </w:t>
      </w:r>
      <w:r w:rsidRPr="001A299F">
        <w:rPr>
          <w:rFonts w:ascii="Times New Roman" w:eastAsia="Times New Roman" w:hAnsi="Times New Roman" w:cs="Times New Roman"/>
          <w:b/>
          <w:snapToGrid w:val="0"/>
          <w:lang w:eastAsia="ru-RU"/>
        </w:rPr>
        <w:t xml:space="preserve">расходов на обслуживание государственного долга </w:t>
      </w:r>
      <w:r w:rsidRPr="001A299F">
        <w:rPr>
          <w:rFonts w:ascii="Times New Roman" w:eastAsia="Times New Roman" w:hAnsi="Times New Roman" w:cs="Times New Roman"/>
          <w:b/>
          <w:snapToGrid w:val="0"/>
          <w:lang w:eastAsia="ru-RU"/>
        </w:rPr>
        <w:br/>
        <w:t>Амурской области, млн. рублей</w:t>
      </w:r>
    </w:p>
    <w:p w:rsidR="001A299F" w:rsidRPr="001A299F" w:rsidRDefault="001A299F" w:rsidP="001A299F">
      <w:pPr>
        <w:widowControl w:val="0"/>
        <w:tabs>
          <w:tab w:val="left" w:pos="0"/>
          <w:tab w:val="left" w:pos="2366"/>
        </w:tabs>
        <w:autoSpaceDE w:val="0"/>
        <w:autoSpaceDN w:val="0"/>
        <w:adjustRightInd w:val="0"/>
        <w:spacing w:after="0" w:line="240" w:lineRule="auto"/>
        <w:ind w:firstLine="709"/>
        <w:jc w:val="both"/>
        <w:rPr>
          <w:rFonts w:ascii="Times New Roman" w:eastAsia="Times New Roman" w:hAnsi="Times New Roman" w:cs="Times New Roman"/>
          <w:snapToGrid w:val="0"/>
          <w:color w:val="000000"/>
          <w:spacing w:val="6"/>
          <w:sz w:val="24"/>
          <w:szCs w:val="24"/>
          <w:lang w:eastAsia="ru-RU"/>
        </w:rPr>
      </w:pPr>
    </w:p>
    <w:p w:rsidR="001A299F" w:rsidRPr="001A299F" w:rsidRDefault="001A299F" w:rsidP="001A299F">
      <w:pPr>
        <w:spacing w:after="0" w:line="240" w:lineRule="auto"/>
        <w:ind w:firstLine="708"/>
        <w:jc w:val="both"/>
        <w:rPr>
          <w:rFonts w:ascii="Times New Roman" w:hAnsi="Times New Roman" w:cs="Times New Roman"/>
          <w:b/>
          <w:i/>
          <w:sz w:val="24"/>
          <w:szCs w:val="24"/>
        </w:rPr>
      </w:pPr>
      <w:r w:rsidRPr="001A299F">
        <w:rPr>
          <w:rFonts w:ascii="Times New Roman" w:hAnsi="Times New Roman" w:cs="Times New Roman"/>
          <w:b/>
          <w:i/>
          <w:sz w:val="24"/>
          <w:szCs w:val="24"/>
        </w:rPr>
        <w:t xml:space="preserve">Проведенная краткая оценка качества управления государственным долгом области за 2015 год показала, что в течение финансового года долговая нагрузка на областной бюджет увеличилась, соответственно наблюдается рост расходов на обслуживание </w:t>
      </w:r>
      <w:r w:rsidR="006F620B">
        <w:rPr>
          <w:rFonts w:ascii="Times New Roman" w:hAnsi="Times New Roman" w:cs="Times New Roman"/>
          <w:b/>
          <w:i/>
          <w:sz w:val="24"/>
          <w:szCs w:val="24"/>
        </w:rPr>
        <w:t>государственного долга области.</w:t>
      </w:r>
    </w:p>
    <w:p w:rsidR="001A299F" w:rsidRPr="001A299F" w:rsidRDefault="001A299F" w:rsidP="001A299F">
      <w:pPr>
        <w:spacing w:after="0" w:line="240" w:lineRule="auto"/>
        <w:ind w:firstLine="708"/>
        <w:jc w:val="both"/>
        <w:rPr>
          <w:rFonts w:ascii="Times New Roman" w:hAnsi="Times New Roman" w:cs="Times New Roman"/>
          <w:b/>
          <w:i/>
          <w:sz w:val="24"/>
          <w:szCs w:val="24"/>
        </w:rPr>
      </w:pPr>
      <w:r w:rsidRPr="001A299F">
        <w:rPr>
          <w:rFonts w:ascii="Times New Roman" w:hAnsi="Times New Roman" w:cs="Times New Roman"/>
          <w:b/>
          <w:i/>
          <w:sz w:val="24"/>
          <w:szCs w:val="24"/>
        </w:rPr>
        <w:t>В структуре государственного долга, по-прежнему, наибольшую долю занимают обязательства кредитных организаций, что свидетельствует о повышении зависимости областного бюджета от долговых обязательств, а также создает риски для обеспечения сбалансированности областного бюджета следующих бюджетных циклов.</w:t>
      </w:r>
    </w:p>
    <w:p w:rsidR="001A299F" w:rsidRPr="001A299F" w:rsidRDefault="001A299F" w:rsidP="001A299F">
      <w:pPr>
        <w:spacing w:after="0" w:line="240" w:lineRule="auto"/>
        <w:ind w:firstLine="708"/>
        <w:jc w:val="both"/>
        <w:rPr>
          <w:rFonts w:ascii="Times New Roman" w:hAnsi="Times New Roman" w:cs="Times New Roman"/>
          <w:b/>
          <w:i/>
          <w:sz w:val="24"/>
          <w:szCs w:val="24"/>
        </w:rPr>
      </w:pPr>
      <w:r w:rsidRPr="001A299F">
        <w:rPr>
          <w:rFonts w:ascii="Times New Roman" w:hAnsi="Times New Roman" w:cs="Times New Roman"/>
          <w:b/>
          <w:i/>
          <w:sz w:val="24"/>
          <w:szCs w:val="24"/>
        </w:rPr>
        <w:t>В 2015 году т</w:t>
      </w:r>
      <w:r w:rsidRPr="001A299F">
        <w:rPr>
          <w:rFonts w:ascii="Times New Roman" w:hAnsi="Times New Roman" w:cs="Times New Roman"/>
          <w:b/>
          <w:i/>
          <w:iCs/>
          <w:spacing w:val="-3"/>
          <w:sz w:val="24"/>
          <w:szCs w:val="24"/>
        </w:rPr>
        <w:t>емпы прироста налоговых и неналоговых доходов областного бюджета опережают темпы прироста государственного долга Амурской области.</w:t>
      </w:r>
    </w:p>
    <w:p w:rsidR="001A299F" w:rsidRPr="001A299F" w:rsidRDefault="001A299F" w:rsidP="001A299F">
      <w:pPr>
        <w:widowControl w:val="0"/>
        <w:shd w:val="clear" w:color="auto" w:fill="FFFFFF"/>
        <w:tabs>
          <w:tab w:val="left" w:pos="0"/>
        </w:tabs>
        <w:autoSpaceDE w:val="0"/>
        <w:autoSpaceDN w:val="0"/>
        <w:adjustRightInd w:val="0"/>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В целях повышения эффективности управления государственным долгом области постановлением Правительства Амурской области от 29.06.2011 № 433 (в редакции постановления Правительства Амурской области от 22.12.2011 № 936) утверждены методики расчета долговой нагрузки на бюджет с учетом действующих и планируемых к принятию долговых обязательств на среднесрочный период и расчета объема возможного привлечения новых долговых обязательств с учетом их влияния на долговую нагрузку бюджета Амурской области.</w:t>
      </w:r>
    </w:p>
    <w:p w:rsidR="001A299F" w:rsidRPr="001A299F" w:rsidRDefault="001A299F" w:rsidP="001A299F">
      <w:pPr>
        <w:autoSpaceDE w:val="0"/>
        <w:autoSpaceDN w:val="0"/>
        <w:adjustRightInd w:val="0"/>
        <w:spacing w:after="0" w:line="240" w:lineRule="auto"/>
        <w:ind w:firstLine="708"/>
        <w:jc w:val="both"/>
        <w:rPr>
          <w:rFonts w:ascii="Times New Roman" w:hAnsi="Times New Roman" w:cs="Times New Roman"/>
          <w:iCs/>
          <w:spacing w:val="-3"/>
          <w:sz w:val="24"/>
          <w:szCs w:val="24"/>
        </w:rPr>
      </w:pPr>
      <w:r w:rsidRPr="001A299F">
        <w:rPr>
          <w:rFonts w:ascii="Times New Roman" w:eastAsia="Calibri" w:hAnsi="Times New Roman" w:cs="Times New Roman"/>
          <w:sz w:val="24"/>
          <w:szCs w:val="24"/>
        </w:rPr>
        <w:t>Распоряжением Правительства Амурской от 23.01.2015 № 6-р утверждена долговая политика Амурской области на 2015 и на плановый период 2016 и 2017 годов. Значения показателей реализации мероприятий долговой политики, утвержденные указанным распоряжением на 2015 год, соблюдены.</w:t>
      </w:r>
    </w:p>
    <w:p w:rsidR="001A299F" w:rsidRPr="001A299F" w:rsidRDefault="001A299F" w:rsidP="001A299F">
      <w:pPr>
        <w:widowControl w:val="0"/>
        <w:shd w:val="clear" w:color="auto" w:fill="FFFFFF"/>
        <w:tabs>
          <w:tab w:val="left" w:pos="0"/>
        </w:tabs>
        <w:autoSpaceDE w:val="0"/>
        <w:autoSpaceDN w:val="0"/>
        <w:adjustRightInd w:val="0"/>
        <w:spacing w:after="0"/>
        <w:ind w:firstLine="720"/>
        <w:jc w:val="center"/>
        <w:rPr>
          <w:rFonts w:ascii="Times New Roman" w:eastAsia="Times New Roman" w:hAnsi="Times New Roman" w:cs="Times New Roman"/>
          <w:b/>
          <w:sz w:val="24"/>
          <w:szCs w:val="24"/>
          <w:lang w:eastAsia="ru-RU"/>
        </w:rPr>
      </w:pPr>
    </w:p>
    <w:p w:rsidR="001A299F" w:rsidRPr="001A299F" w:rsidRDefault="001A299F" w:rsidP="001A299F">
      <w:pPr>
        <w:widowControl w:val="0"/>
        <w:shd w:val="clear" w:color="auto" w:fill="FFFFFF"/>
        <w:tabs>
          <w:tab w:val="left" w:pos="0"/>
        </w:tabs>
        <w:autoSpaceDE w:val="0"/>
        <w:autoSpaceDN w:val="0"/>
        <w:adjustRightInd w:val="0"/>
        <w:spacing w:after="0"/>
        <w:ind w:firstLine="720"/>
        <w:jc w:val="center"/>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7. Анализ состояния муниципального долга Амурской области за 2015 год</w:t>
      </w:r>
    </w:p>
    <w:p w:rsidR="001A299F" w:rsidRPr="001A299F" w:rsidRDefault="001A299F" w:rsidP="001A299F">
      <w:pPr>
        <w:shd w:val="clear" w:color="auto" w:fill="FFFFFF"/>
        <w:tabs>
          <w:tab w:val="left" w:pos="0"/>
        </w:tabs>
        <w:spacing w:after="0" w:line="240" w:lineRule="auto"/>
        <w:ind w:firstLine="720"/>
        <w:jc w:val="both"/>
        <w:rPr>
          <w:rFonts w:ascii="Times New Roman" w:hAnsi="Times New Roman" w:cs="Times New Roman"/>
          <w:sz w:val="24"/>
        </w:rPr>
      </w:pPr>
      <w:r w:rsidRPr="001A299F">
        <w:rPr>
          <w:rFonts w:ascii="Times New Roman" w:hAnsi="Times New Roman" w:cs="Times New Roman"/>
          <w:sz w:val="24"/>
          <w:szCs w:val="24"/>
        </w:rPr>
        <w:t xml:space="preserve">Муниципальный долг по бюджетным кредитам, привлеченным в местные бюджеты от других бюджетов бюджетной системы Российской Федерации, по состоянию на </w:t>
      </w:r>
      <w:r w:rsidRPr="001A299F">
        <w:rPr>
          <w:rFonts w:ascii="Times New Roman" w:hAnsi="Times New Roman" w:cs="Times New Roman"/>
          <w:sz w:val="24"/>
          <w:szCs w:val="24"/>
        </w:rPr>
        <w:lastRenderedPageBreak/>
        <w:t xml:space="preserve">01.01.2015 составил </w:t>
      </w:r>
      <w:r w:rsidRPr="001A299F">
        <w:rPr>
          <w:rFonts w:ascii="Times New Roman" w:hAnsi="Times New Roman" w:cs="Times New Roman"/>
          <w:sz w:val="24"/>
        </w:rPr>
        <w:t xml:space="preserve">278335,6 </w:t>
      </w:r>
      <w:r w:rsidRPr="001A299F">
        <w:rPr>
          <w:rFonts w:ascii="Times New Roman" w:hAnsi="Times New Roman" w:cs="Times New Roman"/>
          <w:spacing w:val="-8"/>
          <w:sz w:val="24"/>
          <w:szCs w:val="24"/>
        </w:rPr>
        <w:t xml:space="preserve">тыс. рублей, </w:t>
      </w:r>
      <w:r w:rsidRPr="001A299F">
        <w:rPr>
          <w:rFonts w:ascii="Times New Roman" w:hAnsi="Times New Roman" w:cs="Times New Roman"/>
          <w:sz w:val="24"/>
        </w:rPr>
        <w:t xml:space="preserve">в </w:t>
      </w:r>
      <w:r w:rsidRPr="001A299F">
        <w:rPr>
          <w:rFonts w:ascii="Times New Roman" w:hAnsi="Times New Roman" w:cs="Times New Roman"/>
          <w:spacing w:val="-8"/>
          <w:sz w:val="24"/>
          <w:szCs w:val="24"/>
        </w:rPr>
        <w:t>том числе</w:t>
      </w:r>
      <w:r w:rsidRPr="001A299F">
        <w:rPr>
          <w:rFonts w:ascii="Times New Roman" w:hAnsi="Times New Roman" w:cs="Times New Roman"/>
          <w:spacing w:val="-10"/>
          <w:sz w:val="24"/>
          <w:szCs w:val="24"/>
        </w:rPr>
        <w:t xml:space="preserve"> по бюджетным кредитам, предоставленным бюджетам муниципальных образований </w:t>
      </w:r>
      <w:r w:rsidRPr="001A299F">
        <w:rPr>
          <w:rFonts w:ascii="Times New Roman" w:hAnsi="Times New Roman" w:cs="Times New Roman"/>
          <w:spacing w:val="-7"/>
          <w:sz w:val="24"/>
          <w:szCs w:val="24"/>
        </w:rPr>
        <w:t xml:space="preserve">на частичное покрытие дефицита местных бюджетов - 220511,1 тыс. рублей; по бюджетным кредитам, предоставленным бюджетам муниципальных образований </w:t>
      </w:r>
      <w:r w:rsidRPr="001A299F">
        <w:rPr>
          <w:rFonts w:ascii="Times New Roman" w:hAnsi="Times New Roman" w:cs="Times New Roman"/>
          <w:sz w:val="24"/>
        </w:rPr>
        <w:t>для осуществления мероприятий, связанных с ликвидацией последствий стихийных бедствий – 57824,5 тыс. рублей.</w:t>
      </w:r>
    </w:p>
    <w:p w:rsidR="001A299F" w:rsidRPr="001A299F" w:rsidRDefault="001A299F" w:rsidP="001A299F">
      <w:pPr>
        <w:shd w:val="clear" w:color="auto" w:fill="FFFFFF"/>
        <w:tabs>
          <w:tab w:val="left" w:pos="0"/>
        </w:tabs>
        <w:spacing w:after="0" w:line="240" w:lineRule="auto"/>
        <w:ind w:firstLine="720"/>
        <w:jc w:val="both"/>
        <w:rPr>
          <w:rFonts w:ascii="Times New Roman" w:hAnsi="Times New Roman" w:cs="Times New Roman"/>
          <w:sz w:val="24"/>
        </w:rPr>
      </w:pPr>
      <w:r w:rsidRPr="001A299F">
        <w:rPr>
          <w:rFonts w:ascii="Times New Roman" w:hAnsi="Times New Roman" w:cs="Times New Roman"/>
          <w:sz w:val="24"/>
          <w:szCs w:val="24"/>
        </w:rPr>
        <w:t xml:space="preserve">Объем долговых обязательств муниципальных образований перед областным бюджетом по состоянию  на 01.01.2016 уменьшился на 55667,3 тыс. рублей, или  </w:t>
      </w:r>
      <w:r w:rsidRPr="001A299F">
        <w:rPr>
          <w:rFonts w:ascii="Times New Roman" w:hAnsi="Times New Roman" w:cs="Times New Roman"/>
          <w:sz w:val="24"/>
          <w:szCs w:val="24"/>
        </w:rPr>
        <w:br/>
        <w:t>20,0 процентов по сравнению с долговыми обязательствами по состоянию на 01.01.2015 и составил 222668,3</w:t>
      </w:r>
      <w:r w:rsidRPr="001A299F">
        <w:rPr>
          <w:rFonts w:ascii="Times New Roman" w:hAnsi="Times New Roman" w:cs="Times New Roman"/>
          <w:spacing w:val="-7"/>
          <w:sz w:val="24"/>
          <w:szCs w:val="24"/>
        </w:rPr>
        <w:t xml:space="preserve"> </w:t>
      </w:r>
      <w:r w:rsidRPr="001A299F">
        <w:rPr>
          <w:rFonts w:ascii="Times New Roman" w:hAnsi="Times New Roman" w:cs="Times New Roman"/>
          <w:spacing w:val="-8"/>
          <w:sz w:val="24"/>
          <w:szCs w:val="24"/>
        </w:rPr>
        <w:t xml:space="preserve">тыс. рублей, в том числе </w:t>
      </w:r>
      <w:r w:rsidRPr="001A299F">
        <w:rPr>
          <w:rFonts w:ascii="Times New Roman" w:hAnsi="Times New Roman" w:cs="Times New Roman"/>
          <w:spacing w:val="-10"/>
          <w:sz w:val="24"/>
          <w:szCs w:val="24"/>
        </w:rPr>
        <w:t xml:space="preserve"> по бюджетным кредитам, предоставленным бюджетам муниципальных образований </w:t>
      </w:r>
      <w:r w:rsidRPr="001A299F">
        <w:rPr>
          <w:rFonts w:ascii="Times New Roman" w:hAnsi="Times New Roman" w:cs="Times New Roman"/>
          <w:spacing w:val="-7"/>
          <w:sz w:val="24"/>
          <w:szCs w:val="24"/>
        </w:rPr>
        <w:t xml:space="preserve">на частичное покрытие дефицита местных бюджетов – 191833,8 тыс. рублей; по бюджетным кредитам, предоставленным бюджетам муниципальных образований  </w:t>
      </w:r>
      <w:r w:rsidRPr="001A299F">
        <w:rPr>
          <w:rFonts w:ascii="Times New Roman" w:hAnsi="Times New Roman" w:cs="Times New Roman"/>
          <w:sz w:val="24"/>
        </w:rPr>
        <w:t>для осуществления мероприятий, связанных с ликвидацией последствий стихийных бедствий – 30834,5 тыс. рублей.</w:t>
      </w:r>
    </w:p>
    <w:p w:rsidR="001A299F" w:rsidRPr="00580719" w:rsidRDefault="001A299F" w:rsidP="001A29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Анализ задолженности бюджетов муниципальных образований по бюджетным кредитам перед областным бюджетом за 2015 год приведен </w:t>
      </w:r>
      <w:r w:rsidRPr="00580719">
        <w:rPr>
          <w:rFonts w:ascii="Times New Roman" w:eastAsia="Times New Roman" w:hAnsi="Times New Roman" w:cs="Times New Roman"/>
          <w:sz w:val="24"/>
          <w:szCs w:val="24"/>
          <w:lang w:eastAsia="ru-RU"/>
        </w:rPr>
        <w:t>в таблице 17.</w:t>
      </w:r>
    </w:p>
    <w:p w:rsidR="001A299F" w:rsidRPr="00580719" w:rsidRDefault="001A299F" w:rsidP="001A299F">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80719">
        <w:rPr>
          <w:rFonts w:ascii="Times New Roman" w:eastAsia="Times New Roman" w:hAnsi="Times New Roman" w:cs="Times New Roman"/>
          <w:sz w:val="24"/>
          <w:szCs w:val="24"/>
          <w:lang w:eastAsia="ru-RU"/>
        </w:rPr>
        <w:t>Таблица 17</w:t>
      </w:r>
    </w:p>
    <w:p w:rsidR="001A299F" w:rsidRPr="001A299F" w:rsidRDefault="001A299F" w:rsidP="001A299F">
      <w:pPr>
        <w:shd w:val="clear" w:color="auto" w:fill="FFFFFF"/>
        <w:tabs>
          <w:tab w:val="left" w:pos="0"/>
        </w:tabs>
        <w:spacing w:after="0" w:line="240" w:lineRule="auto"/>
        <w:ind w:firstLine="709"/>
        <w:jc w:val="center"/>
        <w:rPr>
          <w:rFonts w:ascii="Times New Roman" w:hAnsi="Times New Roman" w:cs="Times New Roman"/>
          <w:b/>
          <w:sz w:val="24"/>
          <w:szCs w:val="24"/>
        </w:rPr>
      </w:pPr>
      <w:r w:rsidRPr="001A299F">
        <w:rPr>
          <w:rFonts w:ascii="Times New Roman" w:hAnsi="Times New Roman" w:cs="Times New Roman"/>
          <w:b/>
          <w:sz w:val="24"/>
          <w:szCs w:val="24"/>
        </w:rPr>
        <w:t>Анализ задолженности бюджетов муниципальных образований перед областным бюджетом по бюджетным кредитам за 2015 год</w:t>
      </w:r>
    </w:p>
    <w:p w:rsidR="001A299F" w:rsidRPr="001A299F" w:rsidRDefault="001A299F" w:rsidP="006F620B">
      <w:pPr>
        <w:shd w:val="clear" w:color="auto" w:fill="FFFFFF"/>
        <w:tabs>
          <w:tab w:val="left" w:pos="0"/>
        </w:tabs>
        <w:spacing w:after="0" w:line="240" w:lineRule="auto"/>
        <w:jc w:val="right"/>
        <w:rPr>
          <w:rFonts w:ascii="Times New Roman" w:hAnsi="Times New Roman" w:cs="Times New Roman"/>
          <w:sz w:val="24"/>
          <w:szCs w:val="24"/>
        </w:rPr>
      </w:pPr>
      <w:r w:rsidRPr="001A299F">
        <w:rPr>
          <w:rFonts w:ascii="Times New Roman" w:hAnsi="Times New Roman" w:cs="Times New Roman"/>
          <w:sz w:val="24"/>
          <w:szCs w:val="24"/>
        </w:rPr>
        <w:t>тыс. рублей</w:t>
      </w:r>
    </w:p>
    <w:tbl>
      <w:tblPr>
        <w:tblpPr w:leftFromText="180" w:rightFromText="180" w:vertAnchor="text" w:horzAnchor="margin" w:tblpXSpec="center" w:tblpY="2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9"/>
        <w:gridCol w:w="992"/>
        <w:gridCol w:w="1316"/>
        <w:gridCol w:w="1275"/>
        <w:gridCol w:w="1134"/>
        <w:gridCol w:w="1276"/>
      </w:tblGrid>
      <w:tr w:rsidR="001A299F" w:rsidRPr="006F620B" w:rsidTr="001A299F">
        <w:trPr>
          <w:trHeight w:val="77"/>
          <w:tblHeader/>
        </w:trPr>
        <w:tc>
          <w:tcPr>
            <w:tcW w:w="3329" w:type="dxa"/>
            <w:vMerge w:val="restart"/>
          </w:tcPr>
          <w:p w:rsidR="001A299F" w:rsidRPr="006F620B" w:rsidRDefault="001A299F" w:rsidP="001A299F">
            <w:pPr>
              <w:spacing w:after="0" w:line="240" w:lineRule="auto"/>
              <w:jc w:val="center"/>
              <w:rPr>
                <w:rFonts w:ascii="Times New Roman" w:hAnsi="Times New Roman" w:cs="Times New Roman"/>
                <w:b/>
                <w:sz w:val="20"/>
                <w:szCs w:val="20"/>
              </w:rPr>
            </w:pPr>
            <w:r w:rsidRPr="006F620B">
              <w:rPr>
                <w:rFonts w:ascii="Times New Roman" w:hAnsi="Times New Roman" w:cs="Times New Roman"/>
                <w:b/>
                <w:sz w:val="20"/>
                <w:szCs w:val="20"/>
              </w:rPr>
              <w:t>Наименование городского округа, муниципального района</w:t>
            </w:r>
          </w:p>
        </w:tc>
        <w:tc>
          <w:tcPr>
            <w:tcW w:w="2308" w:type="dxa"/>
            <w:gridSpan w:val="2"/>
          </w:tcPr>
          <w:p w:rsidR="001A299F" w:rsidRPr="006F620B" w:rsidRDefault="001A299F" w:rsidP="001A299F">
            <w:pPr>
              <w:spacing w:after="0" w:line="240" w:lineRule="auto"/>
              <w:jc w:val="center"/>
              <w:rPr>
                <w:rFonts w:ascii="Times New Roman" w:hAnsi="Times New Roman" w:cs="Times New Roman"/>
                <w:b/>
                <w:sz w:val="20"/>
                <w:szCs w:val="20"/>
              </w:rPr>
            </w:pPr>
            <w:r w:rsidRPr="006F620B">
              <w:rPr>
                <w:rFonts w:ascii="Times New Roman" w:hAnsi="Times New Roman" w:cs="Times New Roman"/>
                <w:b/>
                <w:sz w:val="20"/>
                <w:szCs w:val="20"/>
              </w:rPr>
              <w:t>Остаток задолженности на 01.01.2015 (основной долг)</w:t>
            </w:r>
          </w:p>
        </w:tc>
        <w:tc>
          <w:tcPr>
            <w:tcW w:w="1275" w:type="dxa"/>
            <w:vMerge w:val="restart"/>
          </w:tcPr>
          <w:p w:rsidR="001A299F" w:rsidRPr="006F620B" w:rsidRDefault="001A299F" w:rsidP="001A299F">
            <w:pPr>
              <w:spacing w:after="0" w:line="240" w:lineRule="auto"/>
              <w:jc w:val="center"/>
              <w:rPr>
                <w:rFonts w:ascii="Times New Roman" w:hAnsi="Times New Roman" w:cs="Times New Roman"/>
                <w:b/>
                <w:sz w:val="20"/>
                <w:szCs w:val="20"/>
              </w:rPr>
            </w:pPr>
            <w:r w:rsidRPr="006F620B">
              <w:rPr>
                <w:rFonts w:ascii="Times New Roman" w:hAnsi="Times New Roman" w:cs="Times New Roman"/>
                <w:b/>
                <w:sz w:val="20"/>
                <w:szCs w:val="20"/>
              </w:rPr>
              <w:t>Погашено бюджет-</w:t>
            </w:r>
          </w:p>
          <w:p w:rsidR="001A299F" w:rsidRPr="006F620B" w:rsidRDefault="001A299F" w:rsidP="001A299F">
            <w:pPr>
              <w:spacing w:after="0" w:line="240" w:lineRule="auto"/>
              <w:jc w:val="center"/>
              <w:rPr>
                <w:rFonts w:ascii="Times New Roman" w:hAnsi="Times New Roman" w:cs="Times New Roman"/>
                <w:b/>
                <w:sz w:val="20"/>
                <w:szCs w:val="20"/>
              </w:rPr>
            </w:pPr>
            <w:r w:rsidRPr="006F620B">
              <w:rPr>
                <w:rFonts w:ascii="Times New Roman" w:hAnsi="Times New Roman" w:cs="Times New Roman"/>
                <w:b/>
                <w:sz w:val="20"/>
                <w:szCs w:val="20"/>
              </w:rPr>
              <w:t>ных креди-</w:t>
            </w:r>
          </w:p>
          <w:p w:rsidR="001A299F" w:rsidRPr="006F620B" w:rsidRDefault="001A299F" w:rsidP="001A299F">
            <w:pPr>
              <w:spacing w:after="0" w:line="240" w:lineRule="auto"/>
              <w:jc w:val="center"/>
              <w:rPr>
                <w:rFonts w:ascii="Times New Roman" w:hAnsi="Times New Roman" w:cs="Times New Roman"/>
                <w:b/>
                <w:sz w:val="20"/>
                <w:szCs w:val="20"/>
              </w:rPr>
            </w:pPr>
            <w:r w:rsidRPr="006F620B">
              <w:rPr>
                <w:rFonts w:ascii="Times New Roman" w:hAnsi="Times New Roman" w:cs="Times New Roman"/>
                <w:b/>
                <w:sz w:val="20"/>
                <w:szCs w:val="20"/>
              </w:rPr>
              <w:t>тов в 2015 году, тыс.руб.</w:t>
            </w:r>
          </w:p>
        </w:tc>
        <w:tc>
          <w:tcPr>
            <w:tcW w:w="2410" w:type="dxa"/>
            <w:gridSpan w:val="2"/>
          </w:tcPr>
          <w:p w:rsidR="001A299F" w:rsidRPr="006F620B" w:rsidRDefault="001A299F" w:rsidP="001A299F">
            <w:pPr>
              <w:spacing w:after="0" w:line="240" w:lineRule="auto"/>
              <w:jc w:val="center"/>
              <w:rPr>
                <w:rFonts w:ascii="Times New Roman" w:hAnsi="Times New Roman" w:cs="Times New Roman"/>
                <w:b/>
                <w:sz w:val="20"/>
                <w:szCs w:val="20"/>
              </w:rPr>
            </w:pPr>
            <w:r w:rsidRPr="006F620B">
              <w:rPr>
                <w:rFonts w:ascii="Times New Roman" w:hAnsi="Times New Roman" w:cs="Times New Roman"/>
                <w:b/>
                <w:sz w:val="20"/>
                <w:szCs w:val="20"/>
              </w:rPr>
              <w:t>Остаток задолженности  на 01.01.2016 (основной долг)</w:t>
            </w:r>
          </w:p>
          <w:p w:rsidR="001A299F" w:rsidRPr="006F620B" w:rsidRDefault="001A299F" w:rsidP="001A299F">
            <w:pPr>
              <w:spacing w:after="0" w:line="240" w:lineRule="auto"/>
              <w:jc w:val="center"/>
              <w:rPr>
                <w:rFonts w:ascii="Times New Roman" w:hAnsi="Times New Roman" w:cs="Times New Roman"/>
                <w:b/>
                <w:sz w:val="20"/>
                <w:szCs w:val="20"/>
              </w:rPr>
            </w:pPr>
          </w:p>
        </w:tc>
      </w:tr>
      <w:tr w:rsidR="001A299F" w:rsidRPr="006F620B" w:rsidTr="001A299F">
        <w:trPr>
          <w:trHeight w:val="77"/>
          <w:tblHeader/>
        </w:trPr>
        <w:tc>
          <w:tcPr>
            <w:tcW w:w="3329" w:type="dxa"/>
            <w:vMerge/>
          </w:tcPr>
          <w:p w:rsidR="001A299F" w:rsidRPr="006F620B" w:rsidRDefault="001A299F" w:rsidP="001A299F">
            <w:pPr>
              <w:spacing w:after="0" w:line="240" w:lineRule="auto"/>
              <w:jc w:val="center"/>
              <w:rPr>
                <w:rFonts w:ascii="Times New Roman" w:hAnsi="Times New Roman" w:cs="Times New Roman"/>
                <w:b/>
                <w:sz w:val="20"/>
                <w:szCs w:val="20"/>
              </w:rPr>
            </w:pPr>
          </w:p>
        </w:tc>
        <w:tc>
          <w:tcPr>
            <w:tcW w:w="992" w:type="dxa"/>
          </w:tcPr>
          <w:p w:rsidR="001A299F" w:rsidRPr="006F620B" w:rsidRDefault="001A299F" w:rsidP="001A299F">
            <w:pPr>
              <w:spacing w:after="0" w:line="240" w:lineRule="auto"/>
              <w:jc w:val="center"/>
              <w:rPr>
                <w:rFonts w:ascii="Times New Roman" w:hAnsi="Times New Roman" w:cs="Times New Roman"/>
                <w:b/>
                <w:sz w:val="20"/>
                <w:szCs w:val="20"/>
              </w:rPr>
            </w:pPr>
            <w:r w:rsidRPr="006F620B">
              <w:rPr>
                <w:rFonts w:ascii="Times New Roman" w:hAnsi="Times New Roman" w:cs="Times New Roman"/>
                <w:b/>
                <w:sz w:val="20"/>
                <w:szCs w:val="20"/>
              </w:rPr>
              <w:t>тыс. руб.</w:t>
            </w:r>
          </w:p>
        </w:tc>
        <w:tc>
          <w:tcPr>
            <w:tcW w:w="1316" w:type="dxa"/>
          </w:tcPr>
          <w:p w:rsidR="001A299F" w:rsidRPr="006F620B" w:rsidRDefault="001A299F" w:rsidP="001A299F">
            <w:pPr>
              <w:spacing w:after="0" w:line="240" w:lineRule="auto"/>
              <w:jc w:val="center"/>
              <w:rPr>
                <w:rFonts w:ascii="Times New Roman" w:hAnsi="Times New Roman" w:cs="Times New Roman"/>
                <w:b/>
                <w:sz w:val="20"/>
                <w:szCs w:val="20"/>
              </w:rPr>
            </w:pPr>
            <w:r w:rsidRPr="006F620B">
              <w:rPr>
                <w:rFonts w:ascii="Times New Roman" w:hAnsi="Times New Roman" w:cs="Times New Roman"/>
                <w:b/>
                <w:sz w:val="20"/>
                <w:szCs w:val="20"/>
              </w:rPr>
              <w:t>в % к итогу</w:t>
            </w:r>
          </w:p>
        </w:tc>
        <w:tc>
          <w:tcPr>
            <w:tcW w:w="1275" w:type="dxa"/>
            <w:vMerge/>
          </w:tcPr>
          <w:p w:rsidR="001A299F" w:rsidRPr="006F620B" w:rsidRDefault="001A299F" w:rsidP="001A299F">
            <w:pPr>
              <w:spacing w:after="0" w:line="240" w:lineRule="auto"/>
              <w:jc w:val="center"/>
              <w:rPr>
                <w:rFonts w:ascii="Times New Roman" w:hAnsi="Times New Roman" w:cs="Times New Roman"/>
                <w:b/>
                <w:sz w:val="20"/>
                <w:szCs w:val="20"/>
              </w:rPr>
            </w:pPr>
          </w:p>
        </w:tc>
        <w:tc>
          <w:tcPr>
            <w:tcW w:w="1134" w:type="dxa"/>
            <w:vAlign w:val="center"/>
          </w:tcPr>
          <w:p w:rsidR="001A299F" w:rsidRPr="006F620B" w:rsidRDefault="001A299F" w:rsidP="001A299F">
            <w:pPr>
              <w:spacing w:after="0" w:line="240" w:lineRule="auto"/>
              <w:jc w:val="center"/>
              <w:rPr>
                <w:rFonts w:ascii="Times New Roman" w:hAnsi="Times New Roman" w:cs="Times New Roman"/>
                <w:b/>
                <w:sz w:val="20"/>
                <w:szCs w:val="20"/>
              </w:rPr>
            </w:pPr>
            <w:r w:rsidRPr="006F620B">
              <w:rPr>
                <w:rFonts w:ascii="Times New Roman" w:hAnsi="Times New Roman" w:cs="Times New Roman"/>
                <w:b/>
                <w:sz w:val="20"/>
                <w:szCs w:val="20"/>
              </w:rPr>
              <w:t>тыс. руб.</w:t>
            </w:r>
          </w:p>
        </w:tc>
        <w:tc>
          <w:tcPr>
            <w:tcW w:w="1276" w:type="dxa"/>
          </w:tcPr>
          <w:p w:rsidR="001A299F" w:rsidRPr="006F620B" w:rsidRDefault="001A299F" w:rsidP="001A299F">
            <w:pPr>
              <w:spacing w:after="0" w:line="240" w:lineRule="auto"/>
              <w:jc w:val="center"/>
              <w:rPr>
                <w:rFonts w:ascii="Times New Roman" w:hAnsi="Times New Roman" w:cs="Times New Roman"/>
                <w:b/>
                <w:sz w:val="20"/>
                <w:szCs w:val="20"/>
              </w:rPr>
            </w:pPr>
            <w:r w:rsidRPr="006F620B">
              <w:rPr>
                <w:rFonts w:ascii="Times New Roman" w:hAnsi="Times New Roman" w:cs="Times New Roman"/>
                <w:b/>
                <w:sz w:val="20"/>
                <w:szCs w:val="20"/>
              </w:rPr>
              <w:t>в % к итогу</w:t>
            </w:r>
          </w:p>
        </w:tc>
      </w:tr>
      <w:tr w:rsidR="001A299F" w:rsidRPr="001A299F" w:rsidTr="001A299F">
        <w:trPr>
          <w:trHeight w:val="77"/>
          <w:tblHeader/>
        </w:trPr>
        <w:tc>
          <w:tcPr>
            <w:tcW w:w="3329" w:type="dxa"/>
          </w:tcPr>
          <w:p w:rsidR="001A299F" w:rsidRPr="001A299F" w:rsidRDefault="001A299F" w:rsidP="001A299F">
            <w:pPr>
              <w:spacing w:after="0" w:line="240" w:lineRule="auto"/>
              <w:jc w:val="center"/>
              <w:rPr>
                <w:rFonts w:ascii="Times New Roman" w:hAnsi="Times New Roman" w:cs="Times New Roman"/>
                <w:b/>
                <w:sz w:val="20"/>
                <w:szCs w:val="20"/>
              </w:rPr>
            </w:pPr>
            <w:r w:rsidRPr="001A299F">
              <w:rPr>
                <w:rFonts w:ascii="Times New Roman" w:hAnsi="Times New Roman" w:cs="Times New Roman"/>
                <w:b/>
                <w:sz w:val="20"/>
                <w:szCs w:val="20"/>
              </w:rPr>
              <w:t>1</w:t>
            </w:r>
          </w:p>
        </w:tc>
        <w:tc>
          <w:tcPr>
            <w:tcW w:w="992" w:type="dxa"/>
          </w:tcPr>
          <w:p w:rsidR="001A299F" w:rsidRPr="001A299F" w:rsidRDefault="001A299F" w:rsidP="001A299F">
            <w:pPr>
              <w:spacing w:after="0" w:line="240" w:lineRule="auto"/>
              <w:jc w:val="center"/>
              <w:rPr>
                <w:rFonts w:ascii="Times New Roman" w:hAnsi="Times New Roman" w:cs="Times New Roman"/>
                <w:b/>
                <w:sz w:val="20"/>
                <w:szCs w:val="20"/>
              </w:rPr>
            </w:pPr>
            <w:r w:rsidRPr="001A299F">
              <w:rPr>
                <w:rFonts w:ascii="Times New Roman" w:hAnsi="Times New Roman" w:cs="Times New Roman"/>
                <w:b/>
                <w:sz w:val="20"/>
                <w:szCs w:val="20"/>
              </w:rPr>
              <w:t>2</w:t>
            </w:r>
          </w:p>
        </w:tc>
        <w:tc>
          <w:tcPr>
            <w:tcW w:w="1316" w:type="dxa"/>
          </w:tcPr>
          <w:p w:rsidR="001A299F" w:rsidRPr="001A299F" w:rsidRDefault="001A299F" w:rsidP="001A299F">
            <w:pPr>
              <w:spacing w:after="0" w:line="240" w:lineRule="auto"/>
              <w:jc w:val="center"/>
              <w:rPr>
                <w:rFonts w:ascii="Times New Roman" w:hAnsi="Times New Roman" w:cs="Times New Roman"/>
                <w:b/>
                <w:sz w:val="20"/>
                <w:szCs w:val="20"/>
              </w:rPr>
            </w:pPr>
            <w:r w:rsidRPr="001A299F">
              <w:rPr>
                <w:rFonts w:ascii="Times New Roman" w:hAnsi="Times New Roman" w:cs="Times New Roman"/>
                <w:b/>
                <w:sz w:val="20"/>
                <w:szCs w:val="20"/>
              </w:rPr>
              <w:t>3</w:t>
            </w:r>
          </w:p>
        </w:tc>
        <w:tc>
          <w:tcPr>
            <w:tcW w:w="1275" w:type="dxa"/>
          </w:tcPr>
          <w:p w:rsidR="001A299F" w:rsidRPr="001A299F" w:rsidRDefault="001A299F" w:rsidP="001A299F">
            <w:pPr>
              <w:spacing w:after="0" w:line="240" w:lineRule="auto"/>
              <w:jc w:val="center"/>
              <w:rPr>
                <w:rFonts w:ascii="Times New Roman" w:hAnsi="Times New Roman" w:cs="Times New Roman"/>
                <w:b/>
                <w:sz w:val="20"/>
                <w:szCs w:val="20"/>
              </w:rPr>
            </w:pPr>
            <w:r w:rsidRPr="001A299F">
              <w:rPr>
                <w:rFonts w:ascii="Times New Roman" w:hAnsi="Times New Roman" w:cs="Times New Roman"/>
                <w:b/>
                <w:sz w:val="20"/>
                <w:szCs w:val="20"/>
              </w:rPr>
              <w:t>6</w:t>
            </w:r>
          </w:p>
        </w:tc>
        <w:tc>
          <w:tcPr>
            <w:tcW w:w="1134" w:type="dxa"/>
          </w:tcPr>
          <w:p w:rsidR="001A299F" w:rsidRPr="001A299F" w:rsidRDefault="001A299F" w:rsidP="001A299F">
            <w:pPr>
              <w:spacing w:after="0" w:line="240" w:lineRule="auto"/>
              <w:jc w:val="center"/>
              <w:rPr>
                <w:rFonts w:ascii="Times New Roman" w:hAnsi="Times New Roman" w:cs="Times New Roman"/>
                <w:b/>
                <w:sz w:val="20"/>
                <w:szCs w:val="20"/>
              </w:rPr>
            </w:pPr>
            <w:r w:rsidRPr="001A299F">
              <w:rPr>
                <w:rFonts w:ascii="Times New Roman" w:hAnsi="Times New Roman" w:cs="Times New Roman"/>
                <w:b/>
                <w:sz w:val="20"/>
                <w:szCs w:val="20"/>
              </w:rPr>
              <w:t>7</w:t>
            </w:r>
          </w:p>
        </w:tc>
        <w:tc>
          <w:tcPr>
            <w:tcW w:w="1276" w:type="dxa"/>
          </w:tcPr>
          <w:p w:rsidR="001A299F" w:rsidRPr="001A299F" w:rsidRDefault="001A299F" w:rsidP="001A299F">
            <w:pPr>
              <w:spacing w:after="0" w:line="240" w:lineRule="auto"/>
              <w:jc w:val="center"/>
              <w:rPr>
                <w:rFonts w:ascii="Times New Roman" w:hAnsi="Times New Roman" w:cs="Times New Roman"/>
                <w:b/>
                <w:sz w:val="20"/>
                <w:szCs w:val="20"/>
              </w:rPr>
            </w:pPr>
            <w:r w:rsidRPr="001A299F">
              <w:rPr>
                <w:rFonts w:ascii="Times New Roman" w:hAnsi="Times New Roman" w:cs="Times New Roman"/>
                <w:b/>
                <w:sz w:val="20"/>
                <w:szCs w:val="20"/>
              </w:rPr>
              <w:t>8</w:t>
            </w:r>
          </w:p>
        </w:tc>
      </w:tr>
      <w:tr w:rsidR="001A299F" w:rsidRPr="001A299F" w:rsidTr="001A299F">
        <w:trPr>
          <w:trHeight w:val="178"/>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1. г. Благовещенск</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52930,0</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19,0</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5550,0</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47380,0</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21,3</w:t>
            </w:r>
          </w:p>
        </w:tc>
      </w:tr>
      <w:tr w:rsidR="001A299F" w:rsidRPr="001A299F" w:rsidTr="001A299F">
        <w:trPr>
          <w:trHeight w:val="175"/>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2. г. Белогорск</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14034,0</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5,1</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2213,0</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11821,0</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5,3</w:t>
            </w:r>
          </w:p>
        </w:tc>
      </w:tr>
      <w:tr w:rsidR="001A299F" w:rsidRPr="001A299F" w:rsidTr="001A299F">
        <w:trPr>
          <w:trHeight w:val="160"/>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3. г. Зея</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5904,0</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2,1</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5904,0</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2,7</w:t>
            </w:r>
          </w:p>
        </w:tc>
      </w:tr>
      <w:tr w:rsidR="001A299F" w:rsidRPr="001A299F" w:rsidTr="001A299F">
        <w:trPr>
          <w:trHeight w:val="174"/>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4. г. Райчихинск</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r>
      <w:tr w:rsidR="001A299F" w:rsidRPr="001A299F" w:rsidTr="001A299F">
        <w:trPr>
          <w:trHeight w:val="113"/>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5. г. Свободный</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118871,2</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42,7</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18174,7</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100696,5</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45,2</w:t>
            </w:r>
          </w:p>
        </w:tc>
      </w:tr>
      <w:tr w:rsidR="001A299F" w:rsidRPr="001A299F" w:rsidTr="001A299F">
        <w:trPr>
          <w:trHeight w:val="112"/>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6. г. Тында</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r>
      <w:tr w:rsidR="001A299F" w:rsidRPr="001A299F" w:rsidTr="001A299F">
        <w:trPr>
          <w:trHeight w:val="96"/>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7. г. Шимановск</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2477,0</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0,9</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247,0</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2230,0</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1,0</w:t>
            </w:r>
          </w:p>
        </w:tc>
      </w:tr>
      <w:tr w:rsidR="001A299F" w:rsidRPr="001A299F" w:rsidTr="001A299F">
        <w:trPr>
          <w:trHeight w:val="169"/>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8. Архаринский р-н</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3430,3</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1,2</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3430,3</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0</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r>
      <w:tr w:rsidR="001A299F" w:rsidRPr="001A299F" w:rsidTr="001A299F">
        <w:trPr>
          <w:trHeight w:val="90"/>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9. Белогорский р-н</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4002,0</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1,4</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1334,0</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2668,0</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1,2</w:t>
            </w:r>
          </w:p>
        </w:tc>
      </w:tr>
      <w:tr w:rsidR="001A299F" w:rsidRPr="001A299F" w:rsidTr="001A299F">
        <w:trPr>
          <w:trHeight w:val="163"/>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10. Благовещенский р-н</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10775,0</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3,9</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5386,0</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5389,0</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2,4</w:t>
            </w:r>
          </w:p>
        </w:tc>
      </w:tr>
      <w:tr w:rsidR="001A299F" w:rsidRPr="001A299F" w:rsidTr="001A299F">
        <w:trPr>
          <w:trHeight w:val="174"/>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11. Бурейский р-н</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3287,0</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1,2</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3287,0</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0</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r>
      <w:tr w:rsidR="001A299F" w:rsidRPr="001A299F" w:rsidTr="001A299F">
        <w:trPr>
          <w:trHeight w:val="186"/>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12. Завитинский р-н</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r>
      <w:tr w:rsidR="001A299F" w:rsidRPr="001A299F" w:rsidTr="001A299F">
        <w:trPr>
          <w:trHeight w:val="152"/>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13. Зейский р-н</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7669,0</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2,8</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4000,0</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3669,0</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1,6</w:t>
            </w:r>
          </w:p>
        </w:tc>
      </w:tr>
      <w:tr w:rsidR="001A299F" w:rsidRPr="001A299F" w:rsidTr="001A299F">
        <w:trPr>
          <w:trHeight w:val="136"/>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14. Ивановский р-н</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13169,0</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4,7</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550,0</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12619,0</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5,7</w:t>
            </w:r>
          </w:p>
        </w:tc>
      </w:tr>
      <w:tr w:rsidR="001A299F" w:rsidRPr="001A299F" w:rsidTr="001A299F">
        <w:trPr>
          <w:trHeight w:val="198"/>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15. Константиновский р-н</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r>
      <w:tr w:rsidR="001A299F" w:rsidRPr="001A299F" w:rsidTr="001A299F">
        <w:trPr>
          <w:trHeight w:val="106"/>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16. Магдагачинский р-н</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14266,0</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5,1</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1220,0</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13046,0</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5,9</w:t>
            </w:r>
          </w:p>
        </w:tc>
      </w:tr>
      <w:tr w:rsidR="001A299F" w:rsidRPr="001A299F" w:rsidTr="001A299F">
        <w:trPr>
          <w:trHeight w:val="162"/>
        </w:trPr>
        <w:tc>
          <w:tcPr>
            <w:tcW w:w="3329" w:type="dxa"/>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17. Мазановский р-н</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7773,0</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2,8</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2029,0</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5744,0</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2,6</w:t>
            </w:r>
          </w:p>
        </w:tc>
      </w:tr>
      <w:tr w:rsidR="001A299F" w:rsidRPr="001A299F" w:rsidTr="001A299F">
        <w:trPr>
          <w:trHeight w:val="162"/>
        </w:trPr>
        <w:tc>
          <w:tcPr>
            <w:tcW w:w="3329" w:type="dxa"/>
            <w:vAlign w:val="bottom"/>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18.Михайловский р-н</w:t>
            </w:r>
          </w:p>
        </w:tc>
        <w:tc>
          <w:tcPr>
            <w:tcW w:w="992"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7383,0</w:t>
            </w:r>
          </w:p>
        </w:tc>
        <w:tc>
          <w:tcPr>
            <w:tcW w:w="1316"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2,7</w:t>
            </w:r>
          </w:p>
        </w:tc>
        <w:tc>
          <w:tcPr>
            <w:tcW w:w="1275"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1782,0</w:t>
            </w:r>
          </w:p>
        </w:tc>
        <w:tc>
          <w:tcPr>
            <w:tcW w:w="1134"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5601,0</w:t>
            </w:r>
          </w:p>
        </w:tc>
        <w:tc>
          <w:tcPr>
            <w:tcW w:w="1276"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2,5</w:t>
            </w:r>
          </w:p>
        </w:tc>
      </w:tr>
      <w:tr w:rsidR="001A299F" w:rsidRPr="001A299F" w:rsidTr="001A299F">
        <w:trPr>
          <w:trHeight w:val="162"/>
        </w:trPr>
        <w:tc>
          <w:tcPr>
            <w:tcW w:w="3329" w:type="dxa"/>
            <w:vAlign w:val="bottom"/>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19. Октябрьский р-н</w:t>
            </w:r>
          </w:p>
        </w:tc>
        <w:tc>
          <w:tcPr>
            <w:tcW w:w="992"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1355,0</w:t>
            </w:r>
          </w:p>
        </w:tc>
        <w:tc>
          <w:tcPr>
            <w:tcW w:w="1316"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0,5</w:t>
            </w:r>
          </w:p>
        </w:tc>
        <w:tc>
          <w:tcPr>
            <w:tcW w:w="1275"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320,0</w:t>
            </w:r>
          </w:p>
        </w:tc>
        <w:tc>
          <w:tcPr>
            <w:tcW w:w="1134"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1035,0</w:t>
            </w:r>
          </w:p>
        </w:tc>
        <w:tc>
          <w:tcPr>
            <w:tcW w:w="1276"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0,5</w:t>
            </w:r>
          </w:p>
        </w:tc>
      </w:tr>
      <w:tr w:rsidR="001A299F" w:rsidRPr="001A299F" w:rsidTr="001A299F">
        <w:trPr>
          <w:trHeight w:val="162"/>
        </w:trPr>
        <w:tc>
          <w:tcPr>
            <w:tcW w:w="3329" w:type="dxa"/>
            <w:vAlign w:val="bottom"/>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20. Ромненский р-н</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3311,0</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1,2</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1920,0</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1391,0</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0,6</w:t>
            </w:r>
          </w:p>
        </w:tc>
      </w:tr>
      <w:tr w:rsidR="001A299F" w:rsidRPr="001A299F" w:rsidTr="001A299F">
        <w:trPr>
          <w:trHeight w:val="162"/>
        </w:trPr>
        <w:tc>
          <w:tcPr>
            <w:tcW w:w="3329" w:type="dxa"/>
            <w:vAlign w:val="bottom"/>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21. Свободненский р-н</w:t>
            </w:r>
          </w:p>
        </w:tc>
        <w:tc>
          <w:tcPr>
            <w:tcW w:w="992"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316"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5"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134"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6"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r>
      <w:tr w:rsidR="001A299F" w:rsidRPr="001A299F" w:rsidTr="001A299F">
        <w:trPr>
          <w:trHeight w:val="162"/>
        </w:trPr>
        <w:tc>
          <w:tcPr>
            <w:tcW w:w="3329" w:type="dxa"/>
            <w:vAlign w:val="bottom"/>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22. Серышевский р-н</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r>
      <w:tr w:rsidR="001A299F" w:rsidRPr="001A299F" w:rsidTr="001A299F">
        <w:trPr>
          <w:trHeight w:val="162"/>
        </w:trPr>
        <w:tc>
          <w:tcPr>
            <w:tcW w:w="3329" w:type="dxa"/>
            <w:vAlign w:val="center"/>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23. Селемджинский р-н</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r>
      <w:tr w:rsidR="001A299F" w:rsidRPr="001A299F" w:rsidTr="001A299F">
        <w:trPr>
          <w:trHeight w:val="162"/>
        </w:trPr>
        <w:tc>
          <w:tcPr>
            <w:tcW w:w="3329" w:type="dxa"/>
            <w:vAlign w:val="bottom"/>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24. Сковородинский р-н</w:t>
            </w:r>
          </w:p>
        </w:tc>
        <w:tc>
          <w:tcPr>
            <w:tcW w:w="992"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4224,3</w:t>
            </w:r>
          </w:p>
        </w:tc>
        <w:tc>
          <w:tcPr>
            <w:tcW w:w="1316"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1,5</w:t>
            </w:r>
          </w:p>
        </w:tc>
        <w:tc>
          <w:tcPr>
            <w:tcW w:w="1275"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4224,3</w:t>
            </w:r>
          </w:p>
        </w:tc>
        <w:tc>
          <w:tcPr>
            <w:tcW w:w="1134"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0</w:t>
            </w:r>
          </w:p>
        </w:tc>
        <w:tc>
          <w:tcPr>
            <w:tcW w:w="1276"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r>
      <w:tr w:rsidR="001A299F" w:rsidRPr="001A299F" w:rsidTr="001A299F">
        <w:trPr>
          <w:trHeight w:val="260"/>
        </w:trPr>
        <w:tc>
          <w:tcPr>
            <w:tcW w:w="3329" w:type="dxa"/>
            <w:vAlign w:val="bottom"/>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25. Тамбовский р-н</w:t>
            </w:r>
          </w:p>
        </w:tc>
        <w:tc>
          <w:tcPr>
            <w:tcW w:w="992"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3474,8</w:t>
            </w:r>
          </w:p>
        </w:tc>
        <w:tc>
          <w:tcPr>
            <w:tcW w:w="1316"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1,2</w:t>
            </w:r>
          </w:p>
        </w:tc>
        <w:tc>
          <w:tcPr>
            <w:tcW w:w="1275"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134"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3474,8</w:t>
            </w:r>
          </w:p>
        </w:tc>
        <w:tc>
          <w:tcPr>
            <w:tcW w:w="1276"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1,5</w:t>
            </w:r>
          </w:p>
        </w:tc>
      </w:tr>
      <w:tr w:rsidR="001A299F" w:rsidRPr="001A299F" w:rsidTr="001A299F">
        <w:trPr>
          <w:trHeight w:val="260"/>
        </w:trPr>
        <w:tc>
          <w:tcPr>
            <w:tcW w:w="3329" w:type="dxa"/>
            <w:vAlign w:val="bottom"/>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26.Тындинский р-н</w:t>
            </w:r>
          </w:p>
        </w:tc>
        <w:tc>
          <w:tcPr>
            <w:tcW w:w="992"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316"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5"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134"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6" w:type="dxa"/>
            <w:vAlign w:val="bottom"/>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r>
      <w:tr w:rsidR="001A299F" w:rsidRPr="001A299F" w:rsidTr="001A299F">
        <w:trPr>
          <w:trHeight w:val="270"/>
        </w:trPr>
        <w:tc>
          <w:tcPr>
            <w:tcW w:w="3329" w:type="dxa"/>
            <w:vAlign w:val="bottom"/>
          </w:tcPr>
          <w:p w:rsidR="001A299F" w:rsidRPr="001A299F" w:rsidRDefault="001A299F" w:rsidP="001A299F">
            <w:pPr>
              <w:spacing w:after="0" w:line="240" w:lineRule="auto"/>
              <w:rPr>
                <w:rFonts w:ascii="Times New Roman" w:hAnsi="Times New Roman" w:cs="Times New Roman"/>
                <w:sz w:val="20"/>
                <w:szCs w:val="20"/>
              </w:rPr>
            </w:pPr>
            <w:r w:rsidRPr="001A299F">
              <w:rPr>
                <w:rFonts w:ascii="Times New Roman" w:hAnsi="Times New Roman" w:cs="Times New Roman"/>
                <w:sz w:val="20"/>
                <w:szCs w:val="20"/>
              </w:rPr>
              <w:t>27. Шимановский  р-н</w:t>
            </w:r>
          </w:p>
        </w:tc>
        <w:tc>
          <w:tcPr>
            <w:tcW w:w="992"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31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5"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134"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c>
          <w:tcPr>
            <w:tcW w:w="1276" w:type="dxa"/>
          </w:tcPr>
          <w:p w:rsidR="001A299F" w:rsidRPr="001A299F" w:rsidRDefault="001A299F" w:rsidP="001A299F">
            <w:pPr>
              <w:spacing w:after="0" w:line="240" w:lineRule="auto"/>
              <w:jc w:val="center"/>
              <w:rPr>
                <w:rFonts w:ascii="Times New Roman" w:hAnsi="Times New Roman" w:cs="Times New Roman"/>
                <w:sz w:val="20"/>
                <w:szCs w:val="20"/>
              </w:rPr>
            </w:pPr>
            <w:r w:rsidRPr="001A299F">
              <w:rPr>
                <w:rFonts w:ascii="Times New Roman" w:hAnsi="Times New Roman" w:cs="Times New Roman"/>
                <w:sz w:val="20"/>
                <w:szCs w:val="20"/>
              </w:rPr>
              <w:t>-</w:t>
            </w:r>
          </w:p>
        </w:tc>
      </w:tr>
      <w:tr w:rsidR="001A299F" w:rsidRPr="001A299F" w:rsidTr="001A299F">
        <w:trPr>
          <w:trHeight w:val="162"/>
        </w:trPr>
        <w:tc>
          <w:tcPr>
            <w:tcW w:w="3329" w:type="dxa"/>
            <w:vAlign w:val="center"/>
          </w:tcPr>
          <w:p w:rsidR="001A299F" w:rsidRPr="001A299F" w:rsidRDefault="001A299F" w:rsidP="001A299F">
            <w:pPr>
              <w:spacing w:after="0" w:line="240" w:lineRule="auto"/>
              <w:jc w:val="both"/>
              <w:rPr>
                <w:rFonts w:ascii="Times New Roman" w:hAnsi="Times New Roman" w:cs="Times New Roman"/>
                <w:b/>
                <w:sz w:val="20"/>
                <w:szCs w:val="20"/>
              </w:rPr>
            </w:pPr>
            <w:r w:rsidRPr="001A299F">
              <w:rPr>
                <w:rFonts w:ascii="Times New Roman" w:hAnsi="Times New Roman" w:cs="Times New Roman"/>
                <w:b/>
                <w:sz w:val="20"/>
                <w:szCs w:val="20"/>
              </w:rPr>
              <w:t>Итого</w:t>
            </w:r>
          </w:p>
        </w:tc>
        <w:tc>
          <w:tcPr>
            <w:tcW w:w="992" w:type="dxa"/>
            <w:vAlign w:val="center"/>
          </w:tcPr>
          <w:p w:rsidR="001A299F" w:rsidRPr="001A299F" w:rsidRDefault="001A299F" w:rsidP="001A299F">
            <w:pPr>
              <w:spacing w:after="0" w:line="240" w:lineRule="auto"/>
              <w:jc w:val="center"/>
              <w:rPr>
                <w:rFonts w:ascii="Times New Roman" w:hAnsi="Times New Roman" w:cs="Times New Roman"/>
                <w:b/>
                <w:sz w:val="20"/>
                <w:szCs w:val="20"/>
              </w:rPr>
            </w:pPr>
            <w:r w:rsidRPr="001A299F">
              <w:rPr>
                <w:rFonts w:ascii="Times New Roman" w:hAnsi="Times New Roman" w:cs="Times New Roman"/>
                <w:b/>
                <w:sz w:val="20"/>
                <w:szCs w:val="20"/>
              </w:rPr>
              <w:t>278335,6</w:t>
            </w:r>
          </w:p>
        </w:tc>
        <w:tc>
          <w:tcPr>
            <w:tcW w:w="1316" w:type="dxa"/>
            <w:vAlign w:val="center"/>
          </w:tcPr>
          <w:p w:rsidR="001A299F" w:rsidRPr="001A299F" w:rsidRDefault="001A299F" w:rsidP="001A299F">
            <w:pPr>
              <w:spacing w:after="0" w:line="240" w:lineRule="auto"/>
              <w:jc w:val="center"/>
              <w:rPr>
                <w:rFonts w:ascii="Times New Roman" w:hAnsi="Times New Roman" w:cs="Times New Roman"/>
                <w:b/>
                <w:sz w:val="20"/>
                <w:szCs w:val="20"/>
              </w:rPr>
            </w:pPr>
            <w:r w:rsidRPr="001A299F">
              <w:rPr>
                <w:rFonts w:ascii="Times New Roman" w:hAnsi="Times New Roman" w:cs="Times New Roman"/>
                <w:b/>
                <w:sz w:val="20"/>
                <w:szCs w:val="20"/>
              </w:rPr>
              <w:t>100,0</w:t>
            </w:r>
          </w:p>
        </w:tc>
        <w:tc>
          <w:tcPr>
            <w:tcW w:w="1275" w:type="dxa"/>
            <w:vAlign w:val="center"/>
          </w:tcPr>
          <w:p w:rsidR="001A299F" w:rsidRPr="001A299F" w:rsidRDefault="001A299F" w:rsidP="001A299F">
            <w:pPr>
              <w:spacing w:after="0" w:line="240" w:lineRule="auto"/>
              <w:jc w:val="center"/>
              <w:rPr>
                <w:rFonts w:ascii="Times New Roman" w:hAnsi="Times New Roman" w:cs="Times New Roman"/>
                <w:b/>
                <w:sz w:val="20"/>
                <w:szCs w:val="20"/>
              </w:rPr>
            </w:pPr>
            <w:r w:rsidRPr="001A299F">
              <w:rPr>
                <w:rFonts w:ascii="Times New Roman" w:hAnsi="Times New Roman" w:cs="Times New Roman"/>
                <w:b/>
                <w:sz w:val="20"/>
                <w:szCs w:val="20"/>
              </w:rPr>
              <w:t>55667,3</w:t>
            </w:r>
          </w:p>
        </w:tc>
        <w:tc>
          <w:tcPr>
            <w:tcW w:w="1134" w:type="dxa"/>
            <w:vAlign w:val="center"/>
          </w:tcPr>
          <w:p w:rsidR="001A299F" w:rsidRPr="001A299F" w:rsidRDefault="001A299F" w:rsidP="001A299F">
            <w:pPr>
              <w:spacing w:after="0" w:line="240" w:lineRule="auto"/>
              <w:jc w:val="center"/>
              <w:rPr>
                <w:rFonts w:ascii="Times New Roman" w:hAnsi="Times New Roman" w:cs="Times New Roman"/>
                <w:b/>
                <w:sz w:val="20"/>
                <w:szCs w:val="20"/>
              </w:rPr>
            </w:pPr>
            <w:r w:rsidRPr="001A299F">
              <w:rPr>
                <w:rFonts w:ascii="Times New Roman" w:hAnsi="Times New Roman" w:cs="Times New Roman"/>
                <w:b/>
                <w:sz w:val="20"/>
                <w:szCs w:val="20"/>
              </w:rPr>
              <w:t>222668,3</w:t>
            </w:r>
          </w:p>
        </w:tc>
        <w:tc>
          <w:tcPr>
            <w:tcW w:w="1276" w:type="dxa"/>
            <w:vAlign w:val="center"/>
          </w:tcPr>
          <w:p w:rsidR="001A299F" w:rsidRPr="001A299F" w:rsidRDefault="001A299F" w:rsidP="001A299F">
            <w:pPr>
              <w:spacing w:after="0" w:line="240" w:lineRule="auto"/>
              <w:jc w:val="center"/>
              <w:rPr>
                <w:rFonts w:ascii="Times New Roman" w:hAnsi="Times New Roman" w:cs="Times New Roman"/>
                <w:b/>
                <w:sz w:val="20"/>
                <w:szCs w:val="20"/>
              </w:rPr>
            </w:pPr>
            <w:r w:rsidRPr="001A299F">
              <w:rPr>
                <w:rFonts w:ascii="Times New Roman" w:hAnsi="Times New Roman" w:cs="Times New Roman"/>
                <w:b/>
                <w:sz w:val="20"/>
                <w:szCs w:val="20"/>
              </w:rPr>
              <w:t>100,0</w:t>
            </w:r>
          </w:p>
        </w:tc>
      </w:tr>
    </w:tbl>
    <w:p w:rsidR="00580719" w:rsidRDefault="00580719" w:rsidP="001A299F">
      <w:pPr>
        <w:shd w:val="clear" w:color="auto" w:fill="FFFFFF"/>
        <w:spacing w:after="0" w:line="240" w:lineRule="auto"/>
        <w:ind w:firstLine="708"/>
        <w:jc w:val="both"/>
        <w:rPr>
          <w:rFonts w:ascii="Times New Roman" w:hAnsi="Times New Roman" w:cs="Times New Roman"/>
          <w:spacing w:val="-7"/>
          <w:sz w:val="24"/>
          <w:szCs w:val="24"/>
        </w:rPr>
      </w:pPr>
    </w:p>
    <w:p w:rsidR="001A299F" w:rsidRPr="001A299F" w:rsidRDefault="001A299F" w:rsidP="001A299F">
      <w:pPr>
        <w:shd w:val="clear" w:color="auto" w:fill="FFFFFF"/>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pacing w:val="-7"/>
          <w:sz w:val="24"/>
          <w:szCs w:val="24"/>
        </w:rPr>
        <w:t>По состоянию на 01.01.2015 задолженность по бюджетным кредитам,</w:t>
      </w:r>
      <w:r w:rsidRPr="001A299F">
        <w:rPr>
          <w:rFonts w:ascii="Times New Roman" w:hAnsi="Times New Roman" w:cs="Times New Roman"/>
          <w:spacing w:val="-10"/>
          <w:sz w:val="24"/>
          <w:szCs w:val="24"/>
        </w:rPr>
        <w:t xml:space="preserve"> предоставленным бюджетам муниципальных образований, </w:t>
      </w:r>
      <w:r w:rsidRPr="001A299F">
        <w:rPr>
          <w:rFonts w:ascii="Times New Roman" w:hAnsi="Times New Roman" w:cs="Times New Roman"/>
          <w:spacing w:val="-7"/>
          <w:sz w:val="24"/>
          <w:szCs w:val="24"/>
        </w:rPr>
        <w:t>составляет  278335,6 тыс. рублей. Н</w:t>
      </w:r>
      <w:r w:rsidRPr="001A299F">
        <w:rPr>
          <w:rFonts w:ascii="Times New Roman" w:hAnsi="Times New Roman" w:cs="Times New Roman"/>
          <w:sz w:val="24"/>
        </w:rPr>
        <w:t xml:space="preserve">ачислено процентов в </w:t>
      </w:r>
      <w:r w:rsidRPr="001A299F">
        <w:rPr>
          <w:rFonts w:ascii="Times New Roman" w:hAnsi="Times New Roman" w:cs="Times New Roman"/>
          <w:sz w:val="24"/>
        </w:rPr>
        <w:lastRenderedPageBreak/>
        <w:t xml:space="preserve">2015 году за пользование бюджетными кредитами в сумме 3389,1 тыс. рублей. </w:t>
      </w:r>
      <w:r w:rsidRPr="001A299F">
        <w:rPr>
          <w:rFonts w:ascii="Times New Roman" w:hAnsi="Times New Roman" w:cs="Times New Roman"/>
          <w:sz w:val="24"/>
          <w:szCs w:val="24"/>
        </w:rPr>
        <w:t>В 2015 году погашено бюджетных кредитов в сумме 55667,3 тыс. рублей, уплачено процентов за пользование бюджетными кредитами 3389,1 тыс. рублей.</w:t>
      </w:r>
    </w:p>
    <w:p w:rsidR="001A299F" w:rsidRPr="001A299F" w:rsidRDefault="001A299F" w:rsidP="001A299F">
      <w:pPr>
        <w:spacing w:after="0" w:line="240" w:lineRule="auto"/>
        <w:ind w:firstLine="708"/>
        <w:jc w:val="both"/>
        <w:outlineLvl w:val="0"/>
        <w:rPr>
          <w:rFonts w:ascii="Times New Roman" w:hAnsi="Times New Roman" w:cs="Times New Roman"/>
          <w:color w:val="000000"/>
          <w:spacing w:val="-7"/>
          <w:sz w:val="24"/>
        </w:rPr>
      </w:pPr>
      <w:r w:rsidRPr="001A299F">
        <w:rPr>
          <w:rFonts w:ascii="Times New Roman" w:hAnsi="Times New Roman" w:cs="Times New Roman"/>
          <w:sz w:val="24"/>
        </w:rPr>
        <w:t>Остаток задолженности бюджетов муниципальных образований</w:t>
      </w:r>
      <w:r w:rsidRPr="001A299F">
        <w:rPr>
          <w:rFonts w:ascii="Times New Roman" w:hAnsi="Times New Roman" w:cs="Times New Roman"/>
        </w:rPr>
        <w:t xml:space="preserve"> </w:t>
      </w:r>
      <w:r w:rsidRPr="001A299F">
        <w:rPr>
          <w:rFonts w:ascii="Times New Roman" w:hAnsi="Times New Roman" w:cs="Times New Roman"/>
          <w:color w:val="000000"/>
          <w:spacing w:val="-9"/>
          <w:sz w:val="24"/>
        </w:rPr>
        <w:t>по бюджетным кредитам по состоянию на 01.01.2016 составляет 222668,3</w:t>
      </w:r>
      <w:r w:rsidRPr="001A299F">
        <w:rPr>
          <w:rFonts w:ascii="Times New Roman" w:hAnsi="Times New Roman" w:cs="Times New Roman"/>
          <w:spacing w:val="-7"/>
          <w:sz w:val="24"/>
          <w:szCs w:val="24"/>
        </w:rPr>
        <w:t xml:space="preserve"> </w:t>
      </w:r>
      <w:r w:rsidRPr="001A299F">
        <w:rPr>
          <w:rFonts w:ascii="Times New Roman" w:hAnsi="Times New Roman" w:cs="Times New Roman"/>
          <w:color w:val="000000"/>
          <w:spacing w:val="-9"/>
          <w:sz w:val="24"/>
        </w:rPr>
        <w:t>тыс. рублей.</w:t>
      </w:r>
      <w:r w:rsidRPr="001A299F">
        <w:rPr>
          <w:rFonts w:ascii="Times New Roman" w:hAnsi="Times New Roman" w:cs="Times New Roman"/>
          <w:color w:val="000000"/>
          <w:spacing w:val="-7"/>
          <w:sz w:val="24"/>
        </w:rPr>
        <w:t xml:space="preserve"> Просроченной задолженности не имеется.</w:t>
      </w:r>
    </w:p>
    <w:p w:rsidR="001A299F" w:rsidRPr="00580719" w:rsidRDefault="001A299F" w:rsidP="001A299F">
      <w:pPr>
        <w:spacing w:after="0" w:line="240" w:lineRule="auto"/>
        <w:ind w:firstLine="708"/>
        <w:jc w:val="both"/>
        <w:outlineLvl w:val="0"/>
        <w:rPr>
          <w:rFonts w:ascii="Times New Roman" w:hAnsi="Times New Roman" w:cs="Times New Roman"/>
          <w:spacing w:val="-4"/>
          <w:sz w:val="24"/>
          <w:szCs w:val="24"/>
        </w:rPr>
      </w:pPr>
      <w:r w:rsidRPr="001A299F">
        <w:rPr>
          <w:rFonts w:ascii="Times New Roman" w:hAnsi="Times New Roman" w:cs="Times New Roman"/>
          <w:spacing w:val="-4"/>
          <w:sz w:val="24"/>
          <w:szCs w:val="24"/>
        </w:rPr>
        <w:t xml:space="preserve">Основную долю задолженности в общей сумме составляет задолженность бюджетов городских округов Свободный – 45,2 процента,  Благовещенск – 21,3 процента. Муниципальными образованиями – Архаринский район, Бурейский район, Сковородинский район задолженность по бюджетным кредитам перед областным бюджетом в 2015 году погашена в полном объеме. Структура задолженности бюджетов муниципальных образований области </w:t>
      </w:r>
      <w:r w:rsidRPr="00580719">
        <w:rPr>
          <w:rFonts w:ascii="Times New Roman" w:hAnsi="Times New Roman" w:cs="Times New Roman"/>
          <w:spacing w:val="-4"/>
          <w:sz w:val="24"/>
          <w:szCs w:val="24"/>
        </w:rPr>
        <w:t>перед областным бюджетом в разрезе муниципальных образований области за 2015 год представлена на рисунке</w:t>
      </w:r>
      <w:r w:rsidR="00580719" w:rsidRPr="00580719">
        <w:rPr>
          <w:rFonts w:ascii="Times New Roman" w:hAnsi="Times New Roman" w:cs="Times New Roman"/>
          <w:spacing w:val="-4"/>
          <w:sz w:val="24"/>
          <w:szCs w:val="24"/>
        </w:rPr>
        <w:t xml:space="preserve"> 40</w:t>
      </w:r>
      <w:r w:rsidRPr="00580719">
        <w:rPr>
          <w:rFonts w:ascii="Times New Roman" w:hAnsi="Times New Roman" w:cs="Times New Roman"/>
          <w:spacing w:val="-4"/>
          <w:sz w:val="24"/>
          <w:szCs w:val="24"/>
        </w:rPr>
        <w:t>.</w:t>
      </w:r>
    </w:p>
    <w:p w:rsidR="001A299F" w:rsidRPr="00EE7D69" w:rsidRDefault="001A299F" w:rsidP="001A299F">
      <w:pPr>
        <w:spacing w:after="0" w:line="240" w:lineRule="auto"/>
        <w:ind w:firstLine="708"/>
        <w:jc w:val="both"/>
        <w:rPr>
          <w:rFonts w:ascii="Times New Roman" w:hAnsi="Times New Roman" w:cs="Times New Roman"/>
          <w:sz w:val="24"/>
          <w:szCs w:val="24"/>
        </w:rPr>
      </w:pPr>
    </w:p>
    <w:p w:rsidR="001A299F" w:rsidRPr="006F620B" w:rsidRDefault="001A299F" w:rsidP="006F620B">
      <w:pPr>
        <w:spacing w:after="0" w:line="240" w:lineRule="auto"/>
        <w:jc w:val="both"/>
        <w:rPr>
          <w:rFonts w:ascii="Times New Roman" w:hAnsi="Times New Roman" w:cs="Times New Roman"/>
          <w:sz w:val="24"/>
          <w:szCs w:val="24"/>
        </w:rPr>
      </w:pPr>
      <w:r w:rsidRPr="001A299F">
        <w:rPr>
          <w:rFonts w:ascii="Times New Roman" w:eastAsia="Times New Roman" w:hAnsi="Times New Roman" w:cs="Times New Roman"/>
          <w:noProof/>
          <w:sz w:val="24"/>
          <w:szCs w:val="24"/>
          <w:lang w:eastAsia="ru-RU"/>
        </w:rPr>
        <w:drawing>
          <wp:inline distT="0" distB="0" distL="0" distR="0" wp14:anchorId="1DF01938" wp14:editId="1F044014">
            <wp:extent cx="6191250" cy="2705100"/>
            <wp:effectExtent l="0" t="0" r="0" b="0"/>
            <wp:docPr id="32"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1A299F" w:rsidRPr="00580719" w:rsidRDefault="001A299F" w:rsidP="001A299F">
      <w:pPr>
        <w:spacing w:after="0" w:line="240" w:lineRule="auto"/>
        <w:ind w:firstLine="708"/>
        <w:jc w:val="both"/>
        <w:rPr>
          <w:rFonts w:ascii="Times New Roman" w:hAnsi="Times New Roman" w:cs="Times New Roman"/>
          <w:sz w:val="24"/>
          <w:szCs w:val="24"/>
        </w:rPr>
      </w:pPr>
    </w:p>
    <w:p w:rsidR="001A299F" w:rsidRPr="001A299F" w:rsidRDefault="00580719" w:rsidP="001A299F">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580719">
        <w:rPr>
          <w:rFonts w:ascii="Times New Roman" w:eastAsia="Times New Roman" w:hAnsi="Times New Roman" w:cs="Times New Roman"/>
          <w:b/>
          <w:sz w:val="24"/>
          <w:szCs w:val="24"/>
          <w:lang w:eastAsia="ru-RU"/>
        </w:rPr>
        <w:t xml:space="preserve">Рис. </w:t>
      </w:r>
      <w:r w:rsidR="001A299F" w:rsidRPr="00580719">
        <w:rPr>
          <w:rFonts w:ascii="Times New Roman" w:eastAsia="Times New Roman" w:hAnsi="Times New Roman" w:cs="Times New Roman"/>
          <w:b/>
          <w:sz w:val="24"/>
          <w:szCs w:val="24"/>
          <w:lang w:eastAsia="ru-RU"/>
        </w:rPr>
        <w:t>4</w:t>
      </w:r>
      <w:r w:rsidRPr="00580719">
        <w:rPr>
          <w:rFonts w:ascii="Times New Roman" w:eastAsia="Times New Roman" w:hAnsi="Times New Roman" w:cs="Times New Roman"/>
          <w:b/>
          <w:sz w:val="24"/>
          <w:szCs w:val="24"/>
          <w:lang w:eastAsia="ru-RU"/>
        </w:rPr>
        <w:t>0</w:t>
      </w:r>
      <w:r w:rsidR="001A299F" w:rsidRPr="00580719">
        <w:rPr>
          <w:rFonts w:ascii="Times New Roman" w:eastAsia="Times New Roman" w:hAnsi="Times New Roman" w:cs="Times New Roman"/>
          <w:b/>
          <w:sz w:val="24"/>
          <w:szCs w:val="24"/>
          <w:lang w:eastAsia="ru-RU"/>
        </w:rPr>
        <w:t xml:space="preserve"> - </w:t>
      </w:r>
      <w:r w:rsidR="001A299F" w:rsidRPr="001A299F">
        <w:rPr>
          <w:rFonts w:ascii="Times New Roman" w:eastAsia="Times New Roman" w:hAnsi="Times New Roman" w:cs="Times New Roman"/>
          <w:b/>
          <w:sz w:val="24"/>
          <w:szCs w:val="24"/>
          <w:lang w:eastAsia="ru-RU"/>
        </w:rPr>
        <w:t>Структура</w:t>
      </w:r>
      <w:r w:rsidR="001A299F" w:rsidRPr="001A299F">
        <w:rPr>
          <w:rFonts w:ascii="Times New Roman" w:hAnsi="Times New Roman" w:cs="Times New Roman"/>
          <w:spacing w:val="-4"/>
          <w:sz w:val="24"/>
          <w:szCs w:val="24"/>
        </w:rPr>
        <w:t xml:space="preserve"> </w:t>
      </w:r>
      <w:r w:rsidR="001A299F" w:rsidRPr="001A299F">
        <w:rPr>
          <w:rFonts w:ascii="Times New Roman" w:hAnsi="Times New Roman" w:cs="Times New Roman"/>
          <w:b/>
          <w:spacing w:val="-4"/>
          <w:sz w:val="24"/>
          <w:szCs w:val="24"/>
        </w:rPr>
        <w:t>задолженности бюджетов муниципальных образований области перед областным бюджетом в разрезе муниципальных образований области за 2015 год</w:t>
      </w:r>
      <w:r w:rsidR="001A299F" w:rsidRPr="001A299F">
        <w:rPr>
          <w:rFonts w:ascii="Times New Roman" w:eastAsia="Times New Roman" w:hAnsi="Times New Roman" w:cs="Times New Roman"/>
          <w:b/>
          <w:sz w:val="24"/>
          <w:szCs w:val="24"/>
          <w:lang w:eastAsia="ru-RU"/>
        </w:rPr>
        <w:t>, в процентах</w:t>
      </w:r>
    </w:p>
    <w:p w:rsidR="001A299F" w:rsidRPr="001A299F" w:rsidRDefault="001A299F" w:rsidP="001A299F">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Министерством финансов Амурской области в соответствии со статьей </w:t>
      </w:r>
      <w:r w:rsidRPr="001A299F">
        <w:rPr>
          <w:rFonts w:ascii="Times New Roman" w:hAnsi="Times New Roman" w:cs="Times New Roman"/>
          <w:spacing w:val="-5"/>
          <w:sz w:val="24"/>
          <w:szCs w:val="24"/>
        </w:rPr>
        <w:t>12</w:t>
      </w:r>
      <w:r w:rsidRPr="001A299F">
        <w:rPr>
          <w:rFonts w:ascii="Times New Roman" w:hAnsi="Times New Roman" w:cs="Times New Roman"/>
          <w:spacing w:val="-5"/>
          <w:sz w:val="24"/>
          <w:szCs w:val="24"/>
          <w:vertAlign w:val="superscript"/>
        </w:rPr>
        <w:t>1</w:t>
      </w:r>
      <w:r w:rsidRPr="001A299F">
        <w:rPr>
          <w:rFonts w:ascii="Times New Roman" w:hAnsi="Times New Roman" w:cs="Times New Roman"/>
          <w:spacing w:val="-5"/>
          <w:sz w:val="24"/>
          <w:szCs w:val="24"/>
        </w:rPr>
        <w:t xml:space="preserve"> Закона </w:t>
      </w:r>
      <w:r w:rsidRPr="001A299F">
        <w:rPr>
          <w:rFonts w:ascii="Times New Roman" w:hAnsi="Times New Roman" w:cs="Times New Roman"/>
          <w:spacing w:val="-10"/>
          <w:sz w:val="24"/>
          <w:szCs w:val="24"/>
        </w:rPr>
        <w:t xml:space="preserve">Амурской области от 10.12.2014 № 458-ОЗ </w:t>
      </w:r>
      <w:r w:rsidRPr="001A299F">
        <w:rPr>
          <w:rFonts w:ascii="Times New Roman" w:hAnsi="Times New Roman" w:cs="Times New Roman"/>
          <w:spacing w:val="-9"/>
          <w:sz w:val="24"/>
          <w:szCs w:val="24"/>
        </w:rPr>
        <w:t>«Об областном бюджете на 2015 год и плановый период 2016 и 2017 годов» (в редакции Закона Амурской области от 25.12.2015 № 626-ОЗ</w:t>
      </w:r>
      <w:r w:rsidRPr="001A299F">
        <w:rPr>
          <w:rFonts w:ascii="Times New Roman" w:hAnsi="Times New Roman" w:cs="Times New Roman"/>
          <w:spacing w:val="-3"/>
          <w:sz w:val="24"/>
          <w:szCs w:val="24"/>
        </w:rPr>
        <w:t xml:space="preserve">), Порядком, утвержденным </w:t>
      </w:r>
      <w:r w:rsidRPr="001A299F">
        <w:rPr>
          <w:rFonts w:ascii="Times New Roman" w:hAnsi="Times New Roman" w:cs="Times New Roman"/>
          <w:sz w:val="24"/>
          <w:szCs w:val="24"/>
        </w:rPr>
        <w:t xml:space="preserve">постановлением Правительства Амурской области от 24.06.2015 № 312 </w:t>
      </w:r>
      <w:r w:rsidRPr="001A299F">
        <w:rPr>
          <w:rFonts w:ascii="Times New Roman" w:hAnsi="Times New Roman" w:cs="Times New Roman"/>
          <w:sz w:val="24"/>
          <w:szCs w:val="24"/>
        </w:rPr>
        <w:br/>
        <w:t>«О проведении в 2015 году реструктуризации задолженности городских округов и муниципальных районов по бюджетным кредитам»</w:t>
      </w:r>
      <w:r w:rsidRPr="001A299F">
        <w:rPr>
          <w:spacing w:val="-3"/>
          <w:sz w:val="24"/>
          <w:szCs w:val="24"/>
        </w:rPr>
        <w:t xml:space="preserve"> </w:t>
      </w:r>
      <w:r w:rsidRPr="001A299F">
        <w:rPr>
          <w:rFonts w:ascii="Times New Roman" w:hAnsi="Times New Roman" w:cs="Times New Roman"/>
          <w:spacing w:val="-3"/>
          <w:sz w:val="24"/>
          <w:szCs w:val="24"/>
        </w:rPr>
        <w:t>с муниципальными образованиями Амурской области заключены дополнительные соглашения к</w:t>
      </w:r>
      <w:r w:rsidRPr="001A299F">
        <w:rPr>
          <w:rFonts w:ascii="Times New Roman" w:hAnsi="Times New Roman" w:cs="Times New Roman"/>
          <w:spacing w:val="-5"/>
          <w:sz w:val="24"/>
          <w:szCs w:val="24"/>
        </w:rPr>
        <w:t xml:space="preserve"> договорам о предоставлении из областного бюджета бюджетных кредитов бюджетам муниципальных районов, городских округов с  3 муниципальными образованиями области на общую сумму 8554,0 тыс. рублей, в том числе по бюджетным кредитам, предоставленным в 2014 году из областного бюджета бюджетам муниципальных районов, городских округов на частичное покрытие дефицита местных бюджетов на сумму 1635,0 тыс. рублей (муниципальное образование – город Белогорск), для осуществления мероприятий, связанных с ликвидацией последствий стихийных бедствий – на сумму 6919,0 тыс. рублей (муниципальные образования – Магдагачинский район – на сумму 3046,0 тыс. рублей, Михайловский район - на сумму 3873,0 тыс. рублей). </w:t>
      </w:r>
      <w:r w:rsidRPr="001A299F">
        <w:rPr>
          <w:rFonts w:ascii="Times New Roman" w:hAnsi="Times New Roman" w:cs="Times New Roman"/>
          <w:sz w:val="24"/>
          <w:szCs w:val="24"/>
        </w:rPr>
        <w:t xml:space="preserve">Погашение реструктурированной задолженности осуществляется равными долями ежегодно, с 1 января 2019 года до 1 января 2023 года, с возможностью ее досрочного погашения. На остаток  реструктурированной задолженности по основному долгу, начиная со дня заключения дополнительного соглашения по день исполнения (включительно) в полном объеме </w:t>
      </w:r>
      <w:r w:rsidRPr="001A299F">
        <w:rPr>
          <w:rFonts w:ascii="Times New Roman" w:hAnsi="Times New Roman" w:cs="Times New Roman"/>
          <w:sz w:val="24"/>
          <w:szCs w:val="24"/>
        </w:rPr>
        <w:lastRenderedPageBreak/>
        <w:t xml:space="preserve">обязательств по погашению реструктурированной задолженности, начисляется плата </w:t>
      </w:r>
      <w:r w:rsidR="006F620B">
        <w:rPr>
          <w:rFonts w:ascii="Times New Roman" w:hAnsi="Times New Roman" w:cs="Times New Roman"/>
          <w:sz w:val="24"/>
          <w:szCs w:val="24"/>
        </w:rPr>
        <w:t>в размере 0,1 процента годовых.</w:t>
      </w:r>
    </w:p>
    <w:p w:rsidR="001A299F" w:rsidRPr="001A299F" w:rsidRDefault="001A299F" w:rsidP="001A299F">
      <w:pPr>
        <w:shd w:val="clear" w:color="auto" w:fill="FFFFFF"/>
        <w:spacing w:after="0" w:line="240" w:lineRule="auto"/>
        <w:ind w:right="10" w:firstLine="720"/>
        <w:jc w:val="both"/>
        <w:rPr>
          <w:rFonts w:ascii="Times New Roman" w:hAnsi="Times New Roman" w:cs="Times New Roman"/>
          <w:spacing w:val="-5"/>
          <w:sz w:val="24"/>
          <w:szCs w:val="24"/>
        </w:rPr>
      </w:pPr>
      <w:r w:rsidRPr="001A299F">
        <w:rPr>
          <w:rFonts w:ascii="Times New Roman" w:hAnsi="Times New Roman" w:cs="Times New Roman"/>
          <w:spacing w:val="-5"/>
          <w:sz w:val="24"/>
          <w:szCs w:val="24"/>
        </w:rPr>
        <w:t xml:space="preserve">В 2015 году Законом </w:t>
      </w:r>
      <w:r w:rsidRPr="001A299F">
        <w:rPr>
          <w:rFonts w:ascii="Times New Roman" w:hAnsi="Times New Roman" w:cs="Times New Roman"/>
          <w:spacing w:val="-10"/>
          <w:sz w:val="24"/>
          <w:szCs w:val="24"/>
        </w:rPr>
        <w:t xml:space="preserve">Амурской области от 10.12.2014 № 458-ОЗ </w:t>
      </w:r>
      <w:r w:rsidRPr="001A299F">
        <w:rPr>
          <w:rFonts w:ascii="Times New Roman" w:hAnsi="Times New Roman" w:cs="Times New Roman"/>
          <w:spacing w:val="-9"/>
          <w:sz w:val="24"/>
          <w:szCs w:val="24"/>
        </w:rPr>
        <w:t>«Об областном бюджете на 2015 год и плановый период 2016 и 2017 годов» предоставление бюджетных кредитов бюджетам муниципальных образований области из облас</w:t>
      </w:r>
      <w:r w:rsidR="006F620B">
        <w:rPr>
          <w:rFonts w:ascii="Times New Roman" w:hAnsi="Times New Roman" w:cs="Times New Roman"/>
          <w:spacing w:val="-9"/>
          <w:sz w:val="24"/>
          <w:szCs w:val="24"/>
        </w:rPr>
        <w:t>тного бюджета не предусмотрено.</w:t>
      </w:r>
    </w:p>
    <w:p w:rsidR="001A299F" w:rsidRPr="00580719" w:rsidRDefault="001A299F" w:rsidP="001A299F">
      <w:pPr>
        <w:tabs>
          <w:tab w:val="left" w:pos="700"/>
        </w:tabs>
        <w:spacing w:after="0" w:line="240" w:lineRule="auto"/>
        <w:ind w:firstLine="709"/>
        <w:jc w:val="both"/>
        <w:outlineLvl w:val="0"/>
        <w:rPr>
          <w:rFonts w:ascii="Times New Roman" w:eastAsia="Times New Roman" w:hAnsi="Times New Roman" w:cs="Times New Roman"/>
          <w:sz w:val="24"/>
          <w:szCs w:val="24"/>
          <w:lang w:eastAsia="ru-RU"/>
        </w:rPr>
      </w:pPr>
      <w:r w:rsidRPr="001A299F">
        <w:rPr>
          <w:rFonts w:ascii="Times New Roman" w:hAnsi="Times New Roman" w:cs="Times New Roman"/>
          <w:sz w:val="24"/>
        </w:rPr>
        <w:t>Информация о состоянии задолженности муниципальных образований перед областным бюджетом по бюджетным кредитам,</w:t>
      </w:r>
      <w:r w:rsidRPr="001A299F">
        <w:rPr>
          <w:rFonts w:ascii="Times New Roman" w:hAnsi="Times New Roman" w:cs="Times New Roman"/>
          <w:sz w:val="24"/>
          <w:szCs w:val="24"/>
        </w:rPr>
        <w:t xml:space="preserve"> предоставленным бюджетам муниципальных образований по состоянию на 01.01.2016 (включая информацию по начислению и уплате процентов за пользование бюджетными кредитами), </w:t>
      </w:r>
      <w:r w:rsidRPr="001A299F">
        <w:rPr>
          <w:rFonts w:ascii="Times New Roman" w:eastAsia="Times New Roman" w:hAnsi="Times New Roman" w:cs="Times New Roman"/>
          <w:sz w:val="24"/>
          <w:szCs w:val="24"/>
          <w:lang w:eastAsia="ru-RU"/>
        </w:rPr>
        <w:t xml:space="preserve">представлена в </w:t>
      </w:r>
      <w:r w:rsidRPr="00580719">
        <w:rPr>
          <w:rFonts w:ascii="Times New Roman" w:eastAsia="Times New Roman" w:hAnsi="Times New Roman" w:cs="Times New Roman"/>
          <w:sz w:val="24"/>
          <w:szCs w:val="24"/>
          <w:lang w:eastAsia="ru-RU"/>
        </w:rPr>
        <w:t>Приложении 4.</w:t>
      </w:r>
    </w:p>
    <w:p w:rsidR="001A299F" w:rsidRPr="001A299F" w:rsidRDefault="001A299F" w:rsidP="001A299F">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EE7D69" w:rsidRPr="00EE7D69" w:rsidRDefault="00EE7D69" w:rsidP="00EE7D69">
      <w:pPr>
        <w:spacing w:after="0" w:line="240" w:lineRule="auto"/>
        <w:ind w:firstLine="709"/>
        <w:jc w:val="both"/>
        <w:outlineLvl w:val="0"/>
        <w:rPr>
          <w:rFonts w:ascii="Times New Roman" w:hAnsi="Times New Roman" w:cs="Times New Roman"/>
          <w:b/>
          <w:sz w:val="24"/>
          <w:szCs w:val="24"/>
        </w:rPr>
      </w:pPr>
      <w:r w:rsidRPr="00EE7D69">
        <w:rPr>
          <w:rFonts w:ascii="Times New Roman" w:hAnsi="Times New Roman" w:cs="Times New Roman"/>
          <w:b/>
          <w:sz w:val="24"/>
          <w:szCs w:val="24"/>
        </w:rPr>
        <w:t>8. Анализ состояния внутреннего финансового контроля и внутреннего финансового аудита, осуществляемого главными распорядителями бюджетных средств в 2015 году</w:t>
      </w:r>
    </w:p>
    <w:p w:rsidR="00EE7D69" w:rsidRPr="00EE7D69" w:rsidRDefault="00EE7D69" w:rsidP="00EE7D69">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EE7D69">
        <w:rPr>
          <w:rFonts w:ascii="Times New Roman" w:eastAsia="Times New Roman" w:hAnsi="Times New Roman" w:cs="Times New Roman"/>
          <w:sz w:val="24"/>
          <w:szCs w:val="24"/>
          <w:lang w:eastAsia="ru-RU"/>
        </w:rPr>
        <w:t>В</w:t>
      </w:r>
      <w:r w:rsidRPr="00EE7D69">
        <w:rPr>
          <w:rFonts w:ascii="Times New Roman" w:hAnsi="Times New Roman" w:cs="Times New Roman"/>
          <w:sz w:val="24"/>
          <w:szCs w:val="24"/>
        </w:rPr>
        <w:t xml:space="preserve"> </w:t>
      </w:r>
      <w:r w:rsidRPr="00EE7D69">
        <w:rPr>
          <w:rFonts w:ascii="Times New Roman" w:eastAsia="Times New Roman" w:hAnsi="Times New Roman" w:cs="Times New Roman"/>
          <w:sz w:val="24"/>
          <w:szCs w:val="24"/>
          <w:lang w:eastAsia="ru-RU"/>
        </w:rPr>
        <w:t xml:space="preserve">соответствии со статьей </w:t>
      </w:r>
      <w:r w:rsidRPr="00EE7D69">
        <w:rPr>
          <w:rFonts w:ascii="Times New Roman" w:hAnsi="Times New Roman" w:cs="Times New Roman"/>
          <w:sz w:val="24"/>
          <w:szCs w:val="24"/>
        </w:rPr>
        <w:t>160.2-1 Бюджетного кодекса Российской Федерации главные распорядители бюджетных средств</w:t>
      </w:r>
      <w:r w:rsidRPr="00EE7D69">
        <w:rPr>
          <w:rFonts w:ascii="Times New Roman" w:eastAsia="Times New Roman" w:hAnsi="Times New Roman" w:cs="Times New Roman"/>
          <w:sz w:val="24"/>
          <w:szCs w:val="24"/>
          <w:lang w:eastAsia="ru-RU"/>
        </w:rPr>
        <w:t xml:space="preserve"> </w:t>
      </w:r>
      <w:r w:rsidRPr="00EE7D69">
        <w:rPr>
          <w:rFonts w:ascii="Times New Roman" w:hAnsi="Times New Roman" w:cs="Times New Roman"/>
          <w:sz w:val="24"/>
          <w:szCs w:val="24"/>
        </w:rPr>
        <w:t xml:space="preserve">наделены бюджетными полномочиями по внутреннему финансовому контролю и внутреннему финансовому аудиту, осуществляемым в соответствии с </w:t>
      </w:r>
      <w:hyperlink r:id="rId67" w:history="1">
        <w:r w:rsidRPr="00EE7D69">
          <w:rPr>
            <w:rFonts w:ascii="Times New Roman" w:hAnsi="Times New Roman" w:cs="Times New Roman"/>
            <w:sz w:val="24"/>
            <w:szCs w:val="24"/>
          </w:rPr>
          <w:t>порядком</w:t>
        </w:r>
      </w:hyperlink>
      <w:r w:rsidRPr="00EE7D69">
        <w:rPr>
          <w:rFonts w:ascii="Times New Roman" w:hAnsi="Times New Roman" w:cs="Times New Roman"/>
          <w:sz w:val="24"/>
          <w:szCs w:val="24"/>
        </w:rPr>
        <w:t>, установленным высшим исполнительным органом государственной власти субъекта Российской Федерации.</w:t>
      </w:r>
    </w:p>
    <w:p w:rsidR="00EE7D69" w:rsidRPr="00EE7D69" w:rsidRDefault="00EE7D69" w:rsidP="00EE7D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7D69">
        <w:rPr>
          <w:rFonts w:ascii="Times New Roman" w:eastAsia="Times New Roman" w:hAnsi="Times New Roman" w:cs="Times New Roman"/>
          <w:sz w:val="24"/>
          <w:szCs w:val="24"/>
          <w:lang w:eastAsia="ru-RU"/>
        </w:rPr>
        <w:t xml:space="preserve">Постановлением Правительства Амурской области от 30.06.2011 № 439 (в ред. постановления Правительства Амурской области от 01.11.2013 № 530) утвержден </w:t>
      </w:r>
      <w:hyperlink r:id="rId68" w:history="1">
        <w:r w:rsidRPr="00EE7D69">
          <w:rPr>
            <w:rFonts w:ascii="Times New Roman" w:eastAsia="Times New Roman" w:hAnsi="Times New Roman" w:cs="Times New Roman"/>
            <w:sz w:val="24"/>
            <w:szCs w:val="24"/>
            <w:lang w:eastAsia="ru-RU"/>
          </w:rPr>
          <w:t>Порядок</w:t>
        </w:r>
      </w:hyperlink>
      <w:r w:rsidRPr="00EE7D69">
        <w:rPr>
          <w:rFonts w:ascii="Times New Roman" w:eastAsia="Times New Roman" w:hAnsi="Times New Roman" w:cs="Times New Roman"/>
          <w:sz w:val="24"/>
          <w:szCs w:val="24"/>
          <w:lang w:eastAsia="ru-RU"/>
        </w:rPr>
        <w:t xml:space="preserve"> осуществления </w:t>
      </w:r>
      <w:r w:rsidRPr="00EE7D69">
        <w:rPr>
          <w:rFonts w:ascii="Times New Roman" w:hAnsi="Times New Roman" w:cs="Times New Roman"/>
          <w:sz w:val="24"/>
          <w:szCs w:val="24"/>
        </w:rPr>
        <w:t>внутреннего финансового контроля и внутреннего финансового аудита, которым установлены единые требования к проведению мероприятий внутреннего финансового контроля и внутреннего финансового аудита главными распорядителями средств областного бюджета.</w:t>
      </w:r>
    </w:p>
    <w:p w:rsidR="00EE7D69" w:rsidRPr="00EE7D69" w:rsidRDefault="00EE7D69" w:rsidP="00EE7D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7D69">
        <w:rPr>
          <w:rFonts w:ascii="Times New Roman" w:hAnsi="Times New Roman" w:cs="Times New Roman"/>
          <w:sz w:val="24"/>
          <w:szCs w:val="24"/>
        </w:rPr>
        <w:t xml:space="preserve">Согласно представленной информации министерства финансов Амурской области, которым в соответствии со </w:t>
      </w:r>
      <w:r w:rsidRPr="00EE7D69">
        <w:rPr>
          <w:rFonts w:ascii="Times New Roman" w:eastAsia="Times New Roman" w:hAnsi="Times New Roman" w:cs="Times New Roman"/>
          <w:sz w:val="24"/>
          <w:szCs w:val="24"/>
          <w:lang w:eastAsia="ru-RU"/>
        </w:rPr>
        <w:t xml:space="preserve">статьей </w:t>
      </w:r>
      <w:r w:rsidRPr="00EE7D69">
        <w:rPr>
          <w:rFonts w:ascii="Times New Roman" w:hAnsi="Times New Roman" w:cs="Times New Roman"/>
          <w:sz w:val="24"/>
          <w:szCs w:val="24"/>
        </w:rPr>
        <w:t>157 Бюджетного кодекса Российской Федерации проводится анализ осуществления главными администраторами бюджетных средств внутреннего финансового контроля и внутреннего финансового аудита, в 2015 году исполнительными органами власти Амурской области – главными администраторами бюджетных средств проведено 236 контрольных мероприятий, из которых 106 - в отношении областных государственных учреждений, 86 - в отношении органов местного самоуправления, 42 - в отношении иных юридических и физических лиц. Выявлено нарушений на сумму 210133,0 тыс. рублей, из них нецелевое использование бюджетных средств – 11493,9 тыс. рублей, неэффективное использование средств – 132243,7 тыс. рублей, неправомерное использование средств – 35791,7 тыс. рублей, недостачи и переплаты – 2543,7 тыс. рублей, прочие нарушения – 28060,0 тыс. рублей.</w:t>
      </w:r>
    </w:p>
    <w:p w:rsidR="00EE7D69" w:rsidRPr="00EE7D69" w:rsidRDefault="00EE7D69" w:rsidP="00EE7D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7D69">
        <w:rPr>
          <w:rFonts w:ascii="Times New Roman" w:hAnsi="Times New Roman" w:cs="Times New Roman"/>
          <w:sz w:val="24"/>
          <w:szCs w:val="24"/>
        </w:rPr>
        <w:t>В результате принятых исполнительными органами государственной власти области мер устранено нарушений на сумму 4065,3 тыс. рублей, в том числе возмещено в доход бюджета – 2511,6 тыс. рублей, возмещено недостач и переплат – 16,6 тыс. рублей, восстановлено в бухгалтерском учете – 1537,1 тыс. рублей. К дисциплинарной ответственности за допущенные нарушения привлечено 31 должностное лицо.</w:t>
      </w:r>
    </w:p>
    <w:p w:rsidR="00EE7D69" w:rsidRPr="00EE7D69" w:rsidRDefault="00EE7D69" w:rsidP="00EE7D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Учитывая, что в соответствии со статьей 157 Бюджетного кодекса Российской Федерации контрольно-счетные органы субъектов Российской Федерации осуществляют бюджетные полномочия по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контрольно-счетной палатой Амурской области проведен анализ бюджетной отчетности и дополнительно представленной по запросу палаты информации об осуществлении в 2015 году внутреннего финансового контроля и внутреннего финансового аудита главными распорядителями средств областного бюджета, имеющими подведомственную сеть и осуществляющими исполнение расходов областного бюджета в части межбюджетных трансфертов, по результатам которого установлено следующее.</w:t>
      </w:r>
    </w:p>
    <w:p w:rsidR="00EE7D69" w:rsidRPr="00EE7D69" w:rsidRDefault="00EE7D69" w:rsidP="00EE7D69">
      <w:pPr>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b/>
          <w:sz w:val="24"/>
          <w:szCs w:val="24"/>
          <w:lang w:eastAsia="ru-RU"/>
        </w:rPr>
        <w:lastRenderedPageBreak/>
        <w:t>Министерством здравоохранения</w:t>
      </w:r>
      <w:r w:rsidRPr="00EE7D69">
        <w:rPr>
          <w:rFonts w:ascii="Times New Roman" w:eastAsia="Times New Roman" w:hAnsi="Times New Roman" w:cs="Times New Roman"/>
          <w:sz w:val="24"/>
          <w:szCs w:val="24"/>
          <w:lang w:eastAsia="ru-RU"/>
        </w:rPr>
        <w:t xml:space="preserve"> Амурской области при наличии </w:t>
      </w:r>
      <w:r w:rsidRPr="00EE7D69">
        <w:rPr>
          <w:rFonts w:ascii="Times New Roman" w:eastAsia="Times New Roman" w:hAnsi="Times New Roman" w:cs="Times New Roman"/>
          <w:sz w:val="24"/>
          <w:szCs w:val="24"/>
          <w:lang w:eastAsia="ru-RU"/>
        </w:rPr>
        <w:br/>
        <w:t xml:space="preserve">51 подведомственного учреждения с объемом финансирования 1882982,1 тыс. рублей и объемом выделенных межбюджетных трансфертов в размере 4898400,5 тыс. рублей в </w:t>
      </w:r>
      <w:r w:rsidRPr="00EE7D69">
        <w:rPr>
          <w:rFonts w:ascii="Times New Roman" w:eastAsia="Times New Roman" w:hAnsi="Times New Roman" w:cs="Times New Roman"/>
          <w:sz w:val="24"/>
          <w:szCs w:val="24"/>
          <w:lang w:eastAsia="ru-RU"/>
        </w:rPr>
        <w:br/>
        <w:t xml:space="preserve">2015 году, проведено 19 проверок (в 2014 году - 21 проверка), охвачено </w:t>
      </w:r>
      <w:r w:rsidRPr="00EE7D69">
        <w:rPr>
          <w:rFonts w:ascii="Times New Roman" w:eastAsia="Times New Roman" w:hAnsi="Times New Roman" w:cs="Times New Roman"/>
          <w:sz w:val="24"/>
          <w:szCs w:val="24"/>
          <w:lang w:eastAsia="ru-RU"/>
        </w:rPr>
        <w:br/>
        <w:t xml:space="preserve">11 подведомственных получателей средств областного бюджета и 8 органов местного самоуправления - получателей средств межбюджетных трансфертов. Согласно представленной информации в 2015 году в 7 подведомственных учреждениях проведены проверки целевого и эффективного расходования средств субсидий, полученных на финансовое обеспечение выполнения государственного задания, и субсидий на иные цели, </w:t>
      </w:r>
      <w:r w:rsidRPr="00EE7D69">
        <w:rPr>
          <w:rFonts w:ascii="Times New Roman" w:eastAsia="Times New Roman" w:hAnsi="Times New Roman" w:cs="Times New Roman"/>
          <w:sz w:val="24"/>
          <w:szCs w:val="24"/>
          <w:lang w:eastAsia="ru-RU"/>
        </w:rPr>
        <w:br/>
        <w:t xml:space="preserve">в 4 учреждениях – тематические проверки в отношении субсидий, полученных на иные цели, в 8 муниципальных образованиях области – тематические проверки целевого и эффективного расходования средств субвенций. Проверками в 2015 году охвачено </w:t>
      </w:r>
      <w:r w:rsidRPr="00EE7D69">
        <w:rPr>
          <w:rFonts w:ascii="Times New Roman" w:eastAsia="Times New Roman" w:hAnsi="Times New Roman" w:cs="Times New Roman"/>
          <w:sz w:val="24"/>
          <w:szCs w:val="24"/>
          <w:lang w:eastAsia="ru-RU"/>
        </w:rPr>
        <w:br/>
        <w:t>12,7 процента объема финансирования подведомственных учреждений и 0,1 процента объема межбюджетных трансфертов (в 2014 году 8,7 и 14,9 процента соответственно). Ведомственными проверками установлено финансовых нарушений на сумму 37506,2 тыс. рублей (в 2014 году - 10656,1 тыс. рублей), по результатам принятых мер устранено финансовых нарушений 2813,8 тыс. рублей (в 2014 году - 353,0 тыс. рублей), из них возмещено в доход бюджета 2813,8 тыс. рублей (в 2013 году - 5,8 тыс.</w:t>
      </w:r>
      <w:r w:rsidR="006F620B">
        <w:rPr>
          <w:rFonts w:ascii="Times New Roman" w:eastAsia="Times New Roman" w:hAnsi="Times New Roman" w:cs="Times New Roman"/>
          <w:sz w:val="24"/>
          <w:szCs w:val="24"/>
          <w:lang w:eastAsia="ru-RU"/>
        </w:rPr>
        <w:t xml:space="preserve"> рублей).</w:t>
      </w:r>
    </w:p>
    <w:p w:rsidR="00EE7D69" w:rsidRPr="00EE7D69" w:rsidRDefault="00EE7D69" w:rsidP="00EE7D69">
      <w:pPr>
        <w:spacing w:after="0" w:line="240" w:lineRule="auto"/>
        <w:ind w:firstLine="709"/>
        <w:jc w:val="both"/>
        <w:rPr>
          <w:rFonts w:ascii="Times New Roman" w:hAnsi="Times New Roman" w:cs="Times New Roman"/>
          <w:sz w:val="24"/>
        </w:rPr>
      </w:pPr>
      <w:r w:rsidRPr="00EE7D69">
        <w:rPr>
          <w:rFonts w:ascii="Times New Roman" w:eastAsia="Times New Roman" w:hAnsi="Times New Roman" w:cs="Times New Roman"/>
          <w:sz w:val="24"/>
          <w:szCs w:val="24"/>
          <w:lang w:eastAsia="ru-RU"/>
        </w:rPr>
        <w:t xml:space="preserve">Контрольно-счетная палата области обращает внимание, что при наличии установленных внутренним финансовым контролем фактов нецелевого использования бюджетных средств (2451,2 тыс. рублей), относящихся к бюджетному нарушению, за совершение которого </w:t>
      </w:r>
      <w:r w:rsidRPr="00EE7D69">
        <w:rPr>
          <w:rFonts w:ascii="Times New Roman" w:hAnsi="Times New Roman" w:cs="Times New Roman"/>
          <w:sz w:val="24"/>
        </w:rPr>
        <w:t xml:space="preserve">применяются бюджетные меры принуждения, а также предусмотрена административная ответственность, министерством здравоохранения области материалы контрольных мероприятий по фактам нецелевого использования бюджетных средств в адрес министерства финансов области для принятия решений о применении бюджетных мер принуждения и рассмотрения вопроса о возбуждении дел об административном </w:t>
      </w:r>
      <w:r w:rsidR="006F620B">
        <w:rPr>
          <w:rFonts w:ascii="Times New Roman" w:hAnsi="Times New Roman" w:cs="Times New Roman"/>
          <w:sz w:val="24"/>
        </w:rPr>
        <w:t>правонарушении не направлялись.</w:t>
      </w:r>
    </w:p>
    <w:p w:rsidR="00EE7D69" w:rsidRPr="00EE7D69" w:rsidRDefault="00EE7D69" w:rsidP="00EE7D69">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EE7D69">
        <w:rPr>
          <w:rFonts w:ascii="Times New Roman" w:eastAsia="Times New Roman" w:hAnsi="Times New Roman" w:cs="Times New Roman"/>
          <w:sz w:val="24"/>
          <w:szCs w:val="24"/>
          <w:lang w:eastAsia="ru-RU"/>
        </w:rPr>
        <w:t xml:space="preserve">Согласно представленной информации по отдельным подведомственным учреждениям проверки внутреннего финансового контроля не проводились в течение </w:t>
      </w:r>
      <w:r w:rsidRPr="00EE7D69">
        <w:rPr>
          <w:rFonts w:ascii="Times New Roman" w:eastAsia="Times New Roman" w:hAnsi="Times New Roman" w:cs="Times New Roman"/>
          <w:sz w:val="24"/>
          <w:szCs w:val="24"/>
          <w:lang w:eastAsia="ru-RU"/>
        </w:rPr>
        <w:br/>
        <w:t>4-5 лет, в 2015 году не подготовлено ни одного заключения по результатам проведения внутреннего финансового аудита, вопросами которого в соответствии с «</w:t>
      </w:r>
      <w:hyperlink r:id="rId69" w:history="1">
        <w:r w:rsidRPr="00EE7D69">
          <w:rPr>
            <w:rFonts w:ascii="Times New Roman" w:eastAsia="Times New Roman" w:hAnsi="Times New Roman" w:cs="Times New Roman"/>
            <w:sz w:val="24"/>
            <w:szCs w:val="24"/>
            <w:lang w:eastAsia="ru-RU"/>
          </w:rPr>
          <w:t>Порядк</w:t>
        </w:r>
      </w:hyperlink>
      <w:r w:rsidRPr="00EE7D69">
        <w:rPr>
          <w:rFonts w:ascii="Times New Roman" w:eastAsia="Times New Roman" w:hAnsi="Times New Roman" w:cs="Times New Roman"/>
          <w:sz w:val="24"/>
          <w:szCs w:val="24"/>
          <w:lang w:eastAsia="ru-RU"/>
        </w:rPr>
        <w:t xml:space="preserve">ом осуществления внутреннего финансового контроля и внутреннего финансового аудита», утвержденным Постановлением Правительства Амурской области от 30.06.2011 № 439 (ред. от 01.11.2013), являются </w:t>
      </w:r>
      <w:r w:rsidRPr="00EE7D69">
        <w:rPr>
          <w:rFonts w:ascii="Times New Roman" w:eastAsia="Times New Roman" w:hAnsi="Times New Roman" w:cs="Times New Roman"/>
          <w:sz w:val="24"/>
          <w:szCs w:val="20"/>
          <w:lang w:eastAsia="ru-RU"/>
        </w:rPr>
        <w:t>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E7D69" w:rsidRPr="00EE7D69" w:rsidRDefault="00EE7D69" w:rsidP="00EE7D69">
      <w:pPr>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 xml:space="preserve">Численность специалистов, осуществляющих функции внутреннего финансового контроля </w:t>
      </w:r>
      <w:r w:rsidRPr="00EE7D69">
        <w:rPr>
          <w:rFonts w:ascii="Times New Roman" w:hAnsi="Times New Roman" w:cs="Times New Roman"/>
          <w:sz w:val="24"/>
          <w:szCs w:val="24"/>
        </w:rPr>
        <w:t>и внутреннего финансового аудита</w:t>
      </w:r>
      <w:r w:rsidRPr="00EE7D69">
        <w:rPr>
          <w:rFonts w:ascii="Times New Roman" w:eastAsia="Times New Roman" w:hAnsi="Times New Roman" w:cs="Times New Roman"/>
          <w:sz w:val="24"/>
          <w:szCs w:val="24"/>
          <w:lang w:eastAsia="ru-RU"/>
        </w:rPr>
        <w:t xml:space="preserve">, составляет две штатные единицы, фактически замещена одна единица, что не позволяет обеспечить на должном уровне полномочия по осуществлению </w:t>
      </w:r>
      <w:r w:rsidRPr="00EE7D69">
        <w:rPr>
          <w:rFonts w:ascii="Times New Roman" w:hAnsi="Times New Roman" w:cs="Times New Roman"/>
          <w:sz w:val="24"/>
          <w:szCs w:val="24"/>
        </w:rPr>
        <w:t>внутреннего финансового контроля и внутреннего финансового аудита.</w:t>
      </w:r>
    </w:p>
    <w:p w:rsidR="00EE7D69" w:rsidRPr="00EE7D69" w:rsidRDefault="00EE7D69" w:rsidP="00EE7D69">
      <w:pPr>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b/>
          <w:sz w:val="24"/>
          <w:szCs w:val="24"/>
          <w:lang w:eastAsia="ru-RU"/>
        </w:rPr>
        <w:t>Министерством образования и науки</w:t>
      </w:r>
      <w:r w:rsidRPr="00EE7D69">
        <w:rPr>
          <w:rFonts w:ascii="Times New Roman" w:eastAsia="Times New Roman" w:hAnsi="Times New Roman" w:cs="Times New Roman"/>
          <w:sz w:val="24"/>
          <w:szCs w:val="24"/>
          <w:lang w:eastAsia="ru-RU"/>
        </w:rPr>
        <w:t xml:space="preserve"> Амурской области при наличии </w:t>
      </w:r>
      <w:r w:rsidRPr="00EE7D69">
        <w:rPr>
          <w:rFonts w:ascii="Times New Roman" w:eastAsia="Times New Roman" w:hAnsi="Times New Roman" w:cs="Times New Roman"/>
          <w:sz w:val="24"/>
          <w:szCs w:val="24"/>
          <w:lang w:eastAsia="ru-RU"/>
        </w:rPr>
        <w:br/>
        <w:t xml:space="preserve">22 подведомственных учреждений с объемом финансирования 1625592,9 тыс. рублей и объемом выделенных межбюджетных трансфертов в размере 6181279,8 тыс. рублей, проведено 23 проверки (в 2014 году - 19 проверок), которыми охвачено </w:t>
      </w:r>
      <w:r w:rsidRPr="00EE7D69">
        <w:rPr>
          <w:rFonts w:ascii="Times New Roman" w:eastAsia="Times New Roman" w:hAnsi="Times New Roman" w:cs="Times New Roman"/>
          <w:sz w:val="24"/>
          <w:szCs w:val="24"/>
          <w:lang w:eastAsia="ru-RU"/>
        </w:rPr>
        <w:br/>
        <w:t xml:space="preserve">10 подведомственных учреждений, 5 юридических лиц – получателей средств субсидий и </w:t>
      </w:r>
      <w:r w:rsidRPr="00EE7D69">
        <w:rPr>
          <w:rFonts w:ascii="Times New Roman" w:eastAsia="Times New Roman" w:hAnsi="Times New Roman" w:cs="Times New Roman"/>
          <w:sz w:val="24"/>
          <w:szCs w:val="24"/>
          <w:lang w:eastAsia="ru-RU"/>
        </w:rPr>
        <w:br/>
        <w:t>8 органов местного самоуправления - получателей средств межбюджетных трансфертов. Проверками в 2015 году охвачено 41 процент объема финансирования подведомственных учреждений и 28 процентов объема межбюджетных трансфертов (в 2014 году со</w:t>
      </w:r>
      <w:r w:rsidR="006F620B">
        <w:rPr>
          <w:rFonts w:ascii="Times New Roman" w:eastAsia="Times New Roman" w:hAnsi="Times New Roman" w:cs="Times New Roman"/>
          <w:sz w:val="24"/>
          <w:szCs w:val="24"/>
          <w:lang w:eastAsia="ru-RU"/>
        </w:rPr>
        <w:t>ответственно 43 и 9 процентов).</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 xml:space="preserve">Согласно представленной информации в 2015 году в 6 подведомственных учреждениях проведены проверки финансово-хозяйственной деятельности, 17 тематических проверок, в том числе 5- юридических лиц по вопросам использования средств субсидий, </w:t>
      </w:r>
      <w:r w:rsidRPr="00EE7D69">
        <w:rPr>
          <w:rFonts w:ascii="Times New Roman" w:eastAsia="Times New Roman" w:hAnsi="Times New Roman" w:cs="Times New Roman"/>
          <w:sz w:val="24"/>
          <w:szCs w:val="24"/>
          <w:lang w:eastAsia="ru-RU"/>
        </w:rPr>
        <w:br/>
      </w:r>
      <w:r w:rsidRPr="00EE7D69">
        <w:rPr>
          <w:rFonts w:ascii="Times New Roman" w:eastAsia="Times New Roman" w:hAnsi="Times New Roman" w:cs="Times New Roman"/>
          <w:sz w:val="24"/>
          <w:szCs w:val="24"/>
          <w:lang w:eastAsia="ru-RU"/>
        </w:rPr>
        <w:lastRenderedPageBreak/>
        <w:t>8 - муниципальных образований области по вопросам целевого и эффективного расходования средств межбюджетных трансфертов, 4 – подведомственных учреждения по отдельным вопросам финансовой деятельности.</w:t>
      </w:r>
    </w:p>
    <w:p w:rsidR="00EE7D69" w:rsidRPr="00EE7D69" w:rsidRDefault="00EE7D69" w:rsidP="00EE7D69">
      <w:pPr>
        <w:spacing w:after="0" w:line="240" w:lineRule="auto"/>
        <w:ind w:firstLine="709"/>
        <w:jc w:val="both"/>
        <w:rPr>
          <w:rFonts w:ascii="Times New Roman" w:hAnsi="Times New Roman" w:cs="Times New Roman"/>
          <w:sz w:val="24"/>
        </w:rPr>
      </w:pPr>
      <w:r w:rsidRPr="00EE7D69">
        <w:rPr>
          <w:rFonts w:ascii="Times New Roman" w:eastAsia="Times New Roman" w:hAnsi="Times New Roman" w:cs="Times New Roman"/>
          <w:sz w:val="24"/>
          <w:szCs w:val="24"/>
          <w:lang w:eastAsia="ru-RU"/>
        </w:rPr>
        <w:t xml:space="preserve">Объем выявленных финансовых нарушений составил 141229,6 тыс. рублей </w:t>
      </w:r>
      <w:r w:rsidRPr="00EE7D69">
        <w:rPr>
          <w:rFonts w:ascii="Times New Roman" w:eastAsia="Times New Roman" w:hAnsi="Times New Roman" w:cs="Times New Roman"/>
          <w:sz w:val="24"/>
          <w:szCs w:val="24"/>
          <w:lang w:eastAsia="ru-RU"/>
        </w:rPr>
        <w:br/>
        <w:t>(в 2014 году - 73774,1 тыс. рублей), устранено финансовых нарушений в объеме 658,4 тыс. рублей (в 2014 году - 2337,2 тыс. рублей), из них возмещено в доход бюджета 608,5 тыс. рублей (в 2014 году – 13,7 тыс. рублей). М</w:t>
      </w:r>
      <w:r w:rsidRPr="00EE7D69">
        <w:rPr>
          <w:rFonts w:ascii="Times New Roman" w:hAnsi="Times New Roman" w:cs="Times New Roman"/>
          <w:sz w:val="24"/>
        </w:rPr>
        <w:t>атериалы 5 контрольных мероприятий направлены в адрес министерства финансов области для принятия решений о применении бюджетных мер принуждения. При наличии установленных фактов</w:t>
      </w:r>
      <w:r w:rsidRPr="00EE7D69">
        <w:rPr>
          <w:rFonts w:ascii="Times New Roman" w:eastAsia="Times New Roman" w:hAnsi="Times New Roman" w:cs="Times New Roman"/>
          <w:sz w:val="24"/>
          <w:szCs w:val="24"/>
          <w:lang w:eastAsia="ru-RU"/>
        </w:rPr>
        <w:t xml:space="preserve"> нецелевого использования бюджетных средств (6735,6 тыс. рублей), за совершение которых Кодексом об административных правонарушениях Российской Федерации </w:t>
      </w:r>
      <w:r w:rsidRPr="00EE7D69">
        <w:rPr>
          <w:rFonts w:ascii="Times New Roman" w:hAnsi="Times New Roman" w:cs="Times New Roman"/>
          <w:sz w:val="24"/>
        </w:rPr>
        <w:t xml:space="preserve">предусмотрено привлечение к административной ответственности, материалы контрольных мероприятий для рассмотрения вопроса о возбуждении дел об административном </w:t>
      </w:r>
      <w:r w:rsidR="006F620B">
        <w:rPr>
          <w:rFonts w:ascii="Times New Roman" w:hAnsi="Times New Roman" w:cs="Times New Roman"/>
          <w:sz w:val="24"/>
        </w:rPr>
        <w:t>правонарушении не направлялись.</w:t>
      </w:r>
    </w:p>
    <w:p w:rsidR="00EE7D69" w:rsidRPr="00EE7D69" w:rsidRDefault="00EE7D69" w:rsidP="00EE7D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7D69">
        <w:rPr>
          <w:rFonts w:ascii="Times New Roman" w:eastAsia="Times New Roman" w:hAnsi="Times New Roman" w:cs="Times New Roman"/>
          <w:sz w:val="24"/>
          <w:szCs w:val="24"/>
          <w:lang w:eastAsia="ru-RU"/>
        </w:rPr>
        <w:t xml:space="preserve">Информация о датах последних ревизий и проверок представлена по 20 из </w:t>
      </w:r>
      <w:r w:rsidRPr="00EE7D69">
        <w:rPr>
          <w:rFonts w:ascii="Times New Roman" w:eastAsia="Times New Roman" w:hAnsi="Times New Roman" w:cs="Times New Roman"/>
          <w:sz w:val="24"/>
          <w:szCs w:val="24"/>
          <w:lang w:eastAsia="ru-RU"/>
        </w:rPr>
        <w:br/>
        <w:t>22 подведомственных министерству учреждений, при этом согласно представленной информации по отдельным учреждениям проверки внутреннего финансового контроля министерством не проводились и на 2016 год не запланированы (г</w:t>
      </w:r>
      <w:r w:rsidRPr="00EE7D69">
        <w:rPr>
          <w:rFonts w:ascii="Times New Roman" w:hAnsi="Times New Roman" w:cs="Times New Roman"/>
          <w:sz w:val="24"/>
          <w:szCs w:val="24"/>
        </w:rPr>
        <w:t xml:space="preserve">осударственное профессиональное образовательное автономное учреждение Амурской области «Амурский казачий колледж»). </w:t>
      </w:r>
      <w:r w:rsidRPr="00EE7D69">
        <w:rPr>
          <w:rFonts w:ascii="Times New Roman" w:eastAsia="Times New Roman" w:hAnsi="Times New Roman" w:cs="Times New Roman"/>
          <w:sz w:val="24"/>
          <w:szCs w:val="24"/>
          <w:lang w:eastAsia="ru-RU"/>
        </w:rPr>
        <w:t xml:space="preserve">Согласно информации по отдельным подведомственным учреждениям проверки внутреннего </w:t>
      </w:r>
      <w:r w:rsidRPr="00EE7D69">
        <w:rPr>
          <w:rFonts w:ascii="Times New Roman" w:hAnsi="Times New Roman" w:cs="Times New Roman"/>
          <w:sz w:val="24"/>
          <w:szCs w:val="24"/>
        </w:rPr>
        <w:t xml:space="preserve">финансового </w:t>
      </w:r>
      <w:r w:rsidRPr="00EE7D69">
        <w:rPr>
          <w:rFonts w:ascii="Times New Roman" w:eastAsia="Times New Roman" w:hAnsi="Times New Roman" w:cs="Times New Roman"/>
          <w:sz w:val="24"/>
          <w:szCs w:val="24"/>
          <w:lang w:eastAsia="ru-RU"/>
        </w:rPr>
        <w:t xml:space="preserve">контроля не проводились в течение </w:t>
      </w:r>
      <w:r w:rsidRPr="00EE7D69">
        <w:rPr>
          <w:rFonts w:ascii="Times New Roman" w:hAnsi="Times New Roman" w:cs="Times New Roman"/>
          <w:sz w:val="24"/>
          <w:szCs w:val="24"/>
        </w:rPr>
        <w:t>4-</w:t>
      </w:r>
      <w:r w:rsidRPr="00EE7D69">
        <w:rPr>
          <w:rFonts w:ascii="Times New Roman" w:eastAsia="Times New Roman" w:hAnsi="Times New Roman" w:cs="Times New Roman"/>
          <w:sz w:val="24"/>
          <w:szCs w:val="24"/>
          <w:lang w:eastAsia="ru-RU"/>
        </w:rPr>
        <w:t>5 лет</w:t>
      </w:r>
      <w:r w:rsidR="006F620B">
        <w:rPr>
          <w:rFonts w:ascii="Times New Roman" w:hAnsi="Times New Roman" w:cs="Times New Roman"/>
          <w:sz w:val="24"/>
          <w:szCs w:val="24"/>
        </w:rPr>
        <w:t>.</w:t>
      </w:r>
    </w:p>
    <w:p w:rsidR="00EE7D69" w:rsidRPr="00EE7D69" w:rsidRDefault="00EE7D69" w:rsidP="00EE7D69">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EE7D69">
        <w:rPr>
          <w:rFonts w:ascii="Times New Roman" w:eastAsia="Times New Roman" w:hAnsi="Times New Roman" w:cs="Times New Roman"/>
          <w:sz w:val="24"/>
          <w:szCs w:val="24"/>
          <w:lang w:eastAsia="ru-RU"/>
        </w:rPr>
        <w:t>Анализом представленной информации установлено, что в 2015 году не подготовлено ни одного заключения по результатам проведения внутреннего финансового аудита, вопросами которого в соответствии с «</w:t>
      </w:r>
      <w:hyperlink r:id="rId70" w:history="1">
        <w:r w:rsidRPr="00EE7D69">
          <w:rPr>
            <w:rFonts w:ascii="Times New Roman" w:eastAsia="Times New Roman" w:hAnsi="Times New Roman" w:cs="Times New Roman"/>
            <w:sz w:val="24"/>
            <w:szCs w:val="24"/>
            <w:lang w:eastAsia="ru-RU"/>
          </w:rPr>
          <w:t>Порядк</w:t>
        </w:r>
      </w:hyperlink>
      <w:r w:rsidRPr="00EE7D69">
        <w:rPr>
          <w:rFonts w:ascii="Times New Roman" w:eastAsia="Times New Roman" w:hAnsi="Times New Roman" w:cs="Times New Roman"/>
          <w:sz w:val="24"/>
          <w:szCs w:val="24"/>
          <w:lang w:eastAsia="ru-RU"/>
        </w:rPr>
        <w:t xml:space="preserve">ом осуществления внутреннего финансового контроля и внутреннего финансового аудита», утвержденным Постановлением Правительства Амурской области от 30.06.2011 № 439 (ред. от 01.11.2013), являются </w:t>
      </w:r>
      <w:r w:rsidRPr="00EE7D69">
        <w:rPr>
          <w:rFonts w:ascii="Times New Roman" w:eastAsia="Times New Roman" w:hAnsi="Times New Roman" w:cs="Times New Roman"/>
          <w:sz w:val="24"/>
          <w:szCs w:val="20"/>
          <w:lang w:eastAsia="ru-RU"/>
        </w:rPr>
        <w:t>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 xml:space="preserve">Согласно представленной информации выполнение функций по внутреннему финансовому контролю и </w:t>
      </w:r>
      <w:r w:rsidRPr="00EE7D69">
        <w:rPr>
          <w:rFonts w:ascii="Times New Roman" w:hAnsi="Times New Roman" w:cs="Times New Roman"/>
          <w:sz w:val="24"/>
          <w:szCs w:val="24"/>
        </w:rPr>
        <w:t>внутреннему финансовому аудиту</w:t>
      </w:r>
      <w:r w:rsidRPr="00EE7D69">
        <w:rPr>
          <w:rFonts w:ascii="Times New Roman" w:eastAsia="Times New Roman" w:hAnsi="Times New Roman" w:cs="Times New Roman"/>
          <w:sz w:val="24"/>
          <w:szCs w:val="24"/>
          <w:lang w:eastAsia="ru-RU"/>
        </w:rPr>
        <w:t xml:space="preserve"> возложено на отдел бюджетного учета, отчетности и контроля, штатной численностью 5 единиц, фа</w:t>
      </w:r>
      <w:r w:rsidR="006F620B">
        <w:rPr>
          <w:rFonts w:ascii="Times New Roman" w:eastAsia="Times New Roman" w:hAnsi="Times New Roman" w:cs="Times New Roman"/>
          <w:sz w:val="24"/>
          <w:szCs w:val="24"/>
          <w:lang w:eastAsia="ru-RU"/>
        </w:rPr>
        <w:t xml:space="preserve">ктически замещено </w:t>
      </w:r>
      <w:r w:rsidR="006F620B">
        <w:rPr>
          <w:rFonts w:ascii="Times New Roman" w:eastAsia="Times New Roman" w:hAnsi="Times New Roman" w:cs="Times New Roman"/>
          <w:sz w:val="24"/>
          <w:szCs w:val="24"/>
          <w:lang w:eastAsia="ru-RU"/>
        </w:rPr>
        <w:br/>
        <w:t>4 должности.</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 xml:space="preserve">Проведенный анализ позволяет констатировать, что организации работы в министерстве образования и науки Амурской области не позволяет обеспечить на должном уровне полномочия по осуществлению </w:t>
      </w:r>
      <w:r w:rsidRPr="00EE7D69">
        <w:rPr>
          <w:rFonts w:ascii="Times New Roman" w:hAnsi="Times New Roman" w:cs="Times New Roman"/>
          <w:sz w:val="24"/>
          <w:szCs w:val="24"/>
        </w:rPr>
        <w:t>внутреннего финансового контроля и внутреннего финансового аудита.</w:t>
      </w:r>
    </w:p>
    <w:p w:rsidR="00EE7D69" w:rsidRPr="00EE7D69" w:rsidRDefault="00EE7D69" w:rsidP="00EE7D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E7D69">
        <w:rPr>
          <w:rFonts w:ascii="Times New Roman" w:eastAsia="Times New Roman" w:hAnsi="Times New Roman" w:cs="Times New Roman"/>
          <w:b/>
          <w:sz w:val="24"/>
          <w:szCs w:val="24"/>
          <w:lang w:eastAsia="ru-RU"/>
        </w:rPr>
        <w:t>Министерством социальной защиты населения Амурской области</w:t>
      </w:r>
      <w:r w:rsidRPr="00EE7D69">
        <w:rPr>
          <w:rFonts w:ascii="Times New Roman" w:eastAsia="Times New Roman" w:hAnsi="Times New Roman" w:cs="Times New Roman"/>
          <w:sz w:val="24"/>
          <w:szCs w:val="24"/>
          <w:lang w:eastAsia="ru-RU"/>
        </w:rPr>
        <w:t xml:space="preserve"> при наличии </w:t>
      </w:r>
      <w:r w:rsidRPr="00EE7D69">
        <w:rPr>
          <w:rFonts w:ascii="Times New Roman" w:eastAsia="Times New Roman" w:hAnsi="Times New Roman" w:cs="Times New Roman"/>
          <w:sz w:val="24"/>
          <w:szCs w:val="24"/>
          <w:lang w:eastAsia="ru-RU"/>
        </w:rPr>
        <w:br/>
        <w:t xml:space="preserve">68 подведомственных учреждений с объемом финансирования 1978669,0 тыс. рублей, одного подведомственного государственного унитарного предприятия и объемом выделенных межбюджетных трансфертов в размере 813466,6 тыс. рублей, </w:t>
      </w:r>
      <w:r w:rsidRPr="00EE7D69">
        <w:rPr>
          <w:rFonts w:ascii="Times New Roman" w:hAnsi="Times New Roman" w:cs="Times New Roman"/>
          <w:sz w:val="24"/>
          <w:szCs w:val="24"/>
        </w:rPr>
        <w:t>внутренним финансовым контролем</w:t>
      </w:r>
      <w:r w:rsidRPr="00EE7D69">
        <w:rPr>
          <w:rFonts w:ascii="Times New Roman" w:eastAsia="Times New Roman" w:hAnsi="Times New Roman" w:cs="Times New Roman"/>
          <w:sz w:val="24"/>
          <w:szCs w:val="24"/>
          <w:lang w:eastAsia="ru-RU"/>
        </w:rPr>
        <w:t xml:space="preserve"> в 2015 году охвачено 17 подведомственных учреждений (в 2014 году - </w:t>
      </w:r>
      <w:r w:rsidRPr="00EE7D69">
        <w:rPr>
          <w:rFonts w:ascii="Times New Roman" w:eastAsia="Times New Roman" w:hAnsi="Times New Roman" w:cs="Times New Roman"/>
          <w:sz w:val="24"/>
          <w:szCs w:val="24"/>
          <w:lang w:eastAsia="ru-RU"/>
        </w:rPr>
        <w:br/>
        <w:t>13 учреждений), 25,5 процента объема финансирования подведомственных учреждений, проверками охвачено 29 органов местного самоуправления - получателей средств межбюджетных трансфертов, проверки проведены в отношении 3,1 процента выделенных ср</w:t>
      </w:r>
      <w:r w:rsidR="006F620B">
        <w:rPr>
          <w:rFonts w:ascii="Times New Roman" w:eastAsia="Times New Roman" w:hAnsi="Times New Roman" w:cs="Times New Roman"/>
          <w:sz w:val="24"/>
          <w:szCs w:val="24"/>
          <w:lang w:eastAsia="ru-RU"/>
        </w:rPr>
        <w:t>едств межбюджетных трансфертов.</w:t>
      </w:r>
    </w:p>
    <w:p w:rsidR="00EE7D69" w:rsidRPr="00EE7D69" w:rsidRDefault="00EE7D69" w:rsidP="00EE7D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В 2015 году министерством социальной защиты населения согласно представленной информации проведено 29 контрольных мероприятий (в 2014 году - 14), при этом установлено, что только в 4 подведомственных учреждениях проведены ревизии финансово-хозяйственной деятельности, в 19 учреждениях проведены тематические проверки отдельных вопросов деятельности, темы проверок в информации не указаны, что не позволяет судить об охвате проверками направлений деятельности учреждений, при этом срок проведения 12 тематических проверок составляет от 1 до 3 дней, что позволяет сделать вывод о недостаточном охвате проверками вопросов использования бюджетных средств.</w:t>
      </w:r>
    </w:p>
    <w:p w:rsidR="00EE7D69" w:rsidRPr="00EE7D69" w:rsidRDefault="00EE7D69" w:rsidP="00EE7D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lastRenderedPageBreak/>
        <w:t>Проведенными ревизиями и проверками выявлено финансовых нарушений на сумму 3761,8 тыс. рублей (в 2014 году - 2083,1 тыс. рублей), устранено финансовых нарушений на сумму 22,9 тыс. рублей, или 0,6 процента установленного объема финансовых нарушений, что свидетельствует о крайне низкой эффективности внутреннего фин</w:t>
      </w:r>
      <w:r w:rsidR="006F620B">
        <w:rPr>
          <w:rFonts w:ascii="Times New Roman" w:eastAsia="Times New Roman" w:hAnsi="Times New Roman" w:cs="Times New Roman"/>
          <w:sz w:val="24"/>
          <w:szCs w:val="24"/>
          <w:lang w:eastAsia="ru-RU"/>
        </w:rPr>
        <w:t>ансового контроля министерства.</w:t>
      </w:r>
    </w:p>
    <w:p w:rsidR="00EE7D69" w:rsidRPr="00EE7D69" w:rsidRDefault="00EE7D69" w:rsidP="00EE7D69">
      <w:pPr>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М</w:t>
      </w:r>
      <w:r w:rsidRPr="00EE7D69">
        <w:rPr>
          <w:rFonts w:ascii="Times New Roman" w:hAnsi="Times New Roman" w:cs="Times New Roman"/>
          <w:sz w:val="24"/>
        </w:rPr>
        <w:t>атериалы 5 контрольных мероприятий направлены в адрес министерства финансов области для рассмотрения вопроса о возбуждении дел об административном правонарушении, министерством финансов области в рамках возложенных полномочий составлено 12 протоколов об ад</w:t>
      </w:r>
      <w:r w:rsidR="006F620B">
        <w:rPr>
          <w:rFonts w:ascii="Times New Roman" w:hAnsi="Times New Roman" w:cs="Times New Roman"/>
          <w:sz w:val="24"/>
        </w:rPr>
        <w:t>министративных правонарушениях.</w:t>
      </w:r>
    </w:p>
    <w:p w:rsidR="00EE7D69" w:rsidRPr="00EE7D69" w:rsidRDefault="00EE7D69" w:rsidP="00EE7D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Согласно представленной информации по 16 подведомственным учреждениям проверки внутреннего финансового контроля не проводились в течение 5-6 лет, при этом проверки внутреннего финансового контроля данных учреждений на 2016 год не запланированы (государственное автономное учреждение социального обслуживания Амурской области «Белогорский психоневрологический интернат», государственное бюджетное учреждение Амурской области «Ивановский социальный приют для детей», государственное бюджетное учреждение Амурской области «Свободненский специальный дом для одинокий престарелых «Ветеран», государственное автономное учреждение социального обслуживания Амурской области «Реабилитационный центр для детей и подростков с ограниченными возможностями «Бардагон» и т.д.).</w:t>
      </w:r>
    </w:p>
    <w:p w:rsidR="00EE7D69" w:rsidRPr="00EE7D69" w:rsidRDefault="00EE7D69" w:rsidP="00EE7D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 xml:space="preserve">В 2015 году в рамках проведения внутреннего финансового аудита подготовлено </w:t>
      </w:r>
      <w:r w:rsidRPr="00EE7D69">
        <w:rPr>
          <w:rFonts w:ascii="Times New Roman" w:eastAsia="Times New Roman" w:hAnsi="Times New Roman" w:cs="Times New Roman"/>
          <w:sz w:val="24"/>
          <w:szCs w:val="24"/>
          <w:lang w:eastAsia="ru-RU"/>
        </w:rPr>
        <w:br/>
        <w:t xml:space="preserve">18 заключений по результатам </w:t>
      </w:r>
      <w:r w:rsidRPr="00EE7D69">
        <w:rPr>
          <w:rFonts w:ascii="Times New Roman" w:eastAsia="Times New Roman" w:hAnsi="Times New Roman" w:cs="Times New Roman"/>
          <w:sz w:val="24"/>
          <w:szCs w:val="20"/>
          <w:lang w:eastAsia="ru-RU"/>
        </w:rPr>
        <w:t>анализа составления бюджетной отчетности и ведения бюджетного учета,</w:t>
      </w:r>
      <w:r w:rsidRPr="00EE7D69">
        <w:rPr>
          <w:rFonts w:ascii="Times New Roman" w:eastAsia="Times New Roman" w:hAnsi="Times New Roman" w:cs="Times New Roman"/>
          <w:sz w:val="24"/>
          <w:szCs w:val="24"/>
          <w:lang w:eastAsia="ru-RU"/>
        </w:rPr>
        <w:t xml:space="preserve"> 5 заключений по результатам</w:t>
      </w:r>
      <w:r w:rsidRPr="00EE7D69">
        <w:rPr>
          <w:rFonts w:ascii="Times New Roman" w:eastAsia="Times New Roman" w:hAnsi="Times New Roman" w:cs="Times New Roman"/>
          <w:sz w:val="24"/>
          <w:szCs w:val="20"/>
          <w:lang w:eastAsia="ru-RU"/>
        </w:rPr>
        <w:t xml:space="preserve"> осуществления оценки экономности и результативности расходования бюджетных средств для достижения целей, задач и целевых прогнозных показателей. </w:t>
      </w:r>
      <w:r w:rsidRPr="00EE7D69">
        <w:rPr>
          <w:rFonts w:ascii="Times New Roman" w:eastAsia="Times New Roman" w:hAnsi="Times New Roman" w:cs="Times New Roman"/>
          <w:sz w:val="24"/>
          <w:szCs w:val="24"/>
          <w:lang w:eastAsia="ru-RU"/>
        </w:rPr>
        <w:t>Осуществление внутреннего финансового контроля и внутреннего финансового аудита возложено на отдел ведомственного контроля, численность специалистов по шт</w:t>
      </w:r>
      <w:r w:rsidR="006F620B">
        <w:rPr>
          <w:rFonts w:ascii="Times New Roman" w:eastAsia="Times New Roman" w:hAnsi="Times New Roman" w:cs="Times New Roman"/>
          <w:sz w:val="24"/>
          <w:szCs w:val="24"/>
          <w:lang w:eastAsia="ru-RU"/>
        </w:rPr>
        <w:t>ату и фактически - три единицы.</w:t>
      </w:r>
    </w:p>
    <w:p w:rsidR="00EE7D69" w:rsidRPr="00EE7D69" w:rsidRDefault="00EE7D69" w:rsidP="00EE7D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Проведенный анализ деятельности министерства свидетельствует о низком уровне организации и осуществления министерством социальной защиты населения как главным распорядителем бюджетных средств полномочий в части внутреннего финансового контроля.</w:t>
      </w:r>
    </w:p>
    <w:p w:rsidR="00EE7D69" w:rsidRPr="00EE7D69" w:rsidRDefault="00EE7D69" w:rsidP="00EE7D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E7D69">
        <w:rPr>
          <w:rFonts w:ascii="Times New Roman" w:eastAsia="Times New Roman" w:hAnsi="Times New Roman" w:cs="Times New Roman"/>
          <w:b/>
          <w:sz w:val="24"/>
          <w:szCs w:val="24"/>
          <w:lang w:eastAsia="ru-RU"/>
        </w:rPr>
        <w:t>Министерством культуры и архивного дела Амурской области</w:t>
      </w:r>
      <w:r w:rsidRPr="00EE7D69">
        <w:rPr>
          <w:rFonts w:ascii="Times New Roman" w:eastAsia="Times New Roman" w:hAnsi="Times New Roman" w:cs="Times New Roman"/>
          <w:sz w:val="24"/>
          <w:szCs w:val="24"/>
          <w:lang w:eastAsia="ru-RU"/>
        </w:rPr>
        <w:t xml:space="preserve"> при наличии </w:t>
      </w:r>
      <w:r w:rsidRPr="00EE7D69">
        <w:rPr>
          <w:rFonts w:ascii="Times New Roman" w:eastAsia="Times New Roman" w:hAnsi="Times New Roman" w:cs="Times New Roman"/>
          <w:sz w:val="24"/>
          <w:szCs w:val="24"/>
          <w:lang w:eastAsia="ru-RU"/>
        </w:rPr>
        <w:br/>
        <w:t xml:space="preserve">11 подведомственных учреждений с объемом финансирования 358797,2 тыс. рублей и объемом выделенных межбюджетных трансфертов в размере 55644,2 тыс. рублей, ведомственным контролем в 2015 году охвачено 5 подведомственных учреждений </w:t>
      </w:r>
      <w:r w:rsidRPr="00EE7D69">
        <w:rPr>
          <w:rFonts w:ascii="Times New Roman" w:eastAsia="Times New Roman" w:hAnsi="Times New Roman" w:cs="Times New Roman"/>
          <w:sz w:val="24"/>
          <w:szCs w:val="24"/>
          <w:lang w:eastAsia="ru-RU"/>
        </w:rPr>
        <w:br/>
        <w:t xml:space="preserve">(в 2014 году - 4), охват проверками выделенных объемов бюджетных средств составил </w:t>
      </w:r>
      <w:r w:rsidRPr="00EE7D69">
        <w:rPr>
          <w:rFonts w:ascii="Times New Roman" w:eastAsia="Times New Roman" w:hAnsi="Times New Roman" w:cs="Times New Roman"/>
          <w:sz w:val="24"/>
          <w:szCs w:val="24"/>
          <w:lang w:eastAsia="ru-RU"/>
        </w:rPr>
        <w:br/>
        <w:t xml:space="preserve">18,0 процентов, при этом в 4 учреждениях проведены тематические проверки по отдельным вопросам финансовой деятельности. В 2015 году проведено 3 проверки соблюдения условий предоставления иных межбюджетных трансфертов, которыми охвачен объем финансирования в размере 1303,0 тыс. рублей, что составляет 0,03 процента объема выделенных министерством культуры и архивного дела межбюджетных трансфертов. </w:t>
      </w:r>
      <w:r w:rsidRPr="00EE7D69">
        <w:rPr>
          <w:rFonts w:ascii="Times New Roman" w:eastAsia="Times New Roman" w:hAnsi="Times New Roman" w:cs="Times New Roman"/>
          <w:sz w:val="24"/>
          <w:szCs w:val="24"/>
          <w:lang w:eastAsia="ru-RU"/>
        </w:rPr>
        <w:br/>
        <w:t>По результатам проверок установлено финансовых нарушений в объеме 1739,2 тыс. рублей (в 2014 году - 61,9 тыс. рублей), нарушения не устранены, что свидетельствует о крайне низкой эффективности внутреннего фин</w:t>
      </w:r>
      <w:r w:rsidR="006F620B">
        <w:rPr>
          <w:rFonts w:ascii="Times New Roman" w:eastAsia="Times New Roman" w:hAnsi="Times New Roman" w:cs="Times New Roman"/>
          <w:sz w:val="24"/>
          <w:szCs w:val="24"/>
          <w:lang w:eastAsia="ru-RU"/>
        </w:rPr>
        <w:t>ансового контроля министерства.</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 xml:space="preserve">Согласно информации о датах последних ревизий и проверок по отдельным учреждениям проверки внутреннего контроля министерством не проводились в течение </w:t>
      </w:r>
      <w:r w:rsidRPr="00EE7D69">
        <w:rPr>
          <w:rFonts w:ascii="Times New Roman" w:eastAsia="Times New Roman" w:hAnsi="Times New Roman" w:cs="Times New Roman"/>
          <w:sz w:val="24"/>
          <w:szCs w:val="24"/>
          <w:lang w:eastAsia="ru-RU"/>
        </w:rPr>
        <w:br/>
        <w:t xml:space="preserve">4-5 лет, при этом проверки </w:t>
      </w:r>
      <w:r w:rsidRPr="00EE7D69">
        <w:rPr>
          <w:rFonts w:ascii="Times New Roman" w:hAnsi="Times New Roman" w:cs="Times New Roman"/>
          <w:sz w:val="24"/>
          <w:szCs w:val="24"/>
        </w:rPr>
        <w:t xml:space="preserve">данных учреждений </w:t>
      </w:r>
      <w:r w:rsidRPr="00EE7D69">
        <w:rPr>
          <w:rFonts w:ascii="Times New Roman" w:eastAsia="Times New Roman" w:hAnsi="Times New Roman" w:cs="Times New Roman"/>
          <w:sz w:val="24"/>
          <w:szCs w:val="24"/>
          <w:lang w:eastAsia="ru-RU"/>
        </w:rPr>
        <w:t xml:space="preserve">на 2016 год не запланированы </w:t>
      </w:r>
      <w:r w:rsidRPr="00EE7D69">
        <w:rPr>
          <w:rFonts w:ascii="Times New Roman" w:eastAsia="Times New Roman" w:hAnsi="Times New Roman" w:cs="Times New Roman"/>
          <w:sz w:val="24"/>
          <w:szCs w:val="24"/>
          <w:lang w:eastAsia="ru-RU"/>
        </w:rPr>
        <w:br/>
        <w:t>(ГАУК Амурской области «Амурский областной дом народного творчества», ГАУК Амурской области «Ам</w:t>
      </w:r>
      <w:r w:rsidR="006F620B">
        <w:rPr>
          <w:rFonts w:ascii="Times New Roman" w:eastAsia="Times New Roman" w:hAnsi="Times New Roman" w:cs="Times New Roman"/>
          <w:sz w:val="24"/>
          <w:szCs w:val="24"/>
          <w:lang w:eastAsia="ru-RU"/>
        </w:rPr>
        <w:t>урский областной театр драмы»).</w:t>
      </w:r>
    </w:p>
    <w:p w:rsidR="00EE7D69" w:rsidRPr="00EE7D69" w:rsidRDefault="00EE7D69" w:rsidP="00EE7D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7D69">
        <w:rPr>
          <w:rFonts w:ascii="Times New Roman" w:eastAsia="Times New Roman" w:hAnsi="Times New Roman" w:cs="Times New Roman"/>
          <w:sz w:val="24"/>
          <w:szCs w:val="24"/>
          <w:lang w:eastAsia="ru-RU"/>
        </w:rPr>
        <w:t xml:space="preserve">Анализом представленной информации установлено, что в 2015 году не подготовлено ни одного заключения по результатам проведения внутреннего финансового аудита, вопросами которого </w:t>
      </w:r>
      <w:r w:rsidRPr="00EE7D69">
        <w:rPr>
          <w:rFonts w:ascii="Times New Roman" w:hAnsi="Times New Roman" w:cs="Times New Roman"/>
          <w:sz w:val="24"/>
          <w:szCs w:val="24"/>
        </w:rPr>
        <w:t>в соответствии с «</w:t>
      </w:r>
      <w:hyperlink r:id="rId71" w:history="1">
        <w:r w:rsidRPr="00EE7D69">
          <w:rPr>
            <w:rFonts w:ascii="Times New Roman" w:eastAsia="Times New Roman" w:hAnsi="Times New Roman" w:cs="Times New Roman"/>
            <w:sz w:val="24"/>
            <w:szCs w:val="24"/>
            <w:lang w:eastAsia="ru-RU"/>
          </w:rPr>
          <w:t>Порядк</w:t>
        </w:r>
      </w:hyperlink>
      <w:r w:rsidRPr="00EE7D69">
        <w:rPr>
          <w:rFonts w:ascii="Times New Roman" w:hAnsi="Times New Roman" w:cs="Times New Roman"/>
          <w:sz w:val="24"/>
          <w:szCs w:val="24"/>
        </w:rPr>
        <w:t>ом</w:t>
      </w:r>
      <w:r w:rsidRPr="00EE7D69">
        <w:rPr>
          <w:rFonts w:ascii="Times New Roman" w:eastAsia="Times New Roman" w:hAnsi="Times New Roman" w:cs="Times New Roman"/>
          <w:sz w:val="24"/>
          <w:szCs w:val="24"/>
          <w:lang w:eastAsia="ru-RU"/>
        </w:rPr>
        <w:t xml:space="preserve"> осуществления </w:t>
      </w:r>
      <w:r w:rsidRPr="00EE7D6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(ред. от 01.11.2013), </w:t>
      </w:r>
      <w:r w:rsidRPr="00EE7D69">
        <w:rPr>
          <w:rFonts w:ascii="Times New Roman" w:eastAsia="Times New Roman" w:hAnsi="Times New Roman" w:cs="Times New Roman"/>
          <w:sz w:val="24"/>
          <w:szCs w:val="24"/>
          <w:lang w:eastAsia="ru-RU"/>
        </w:rPr>
        <w:t>являю</w:t>
      </w:r>
      <w:r w:rsidRPr="00EE7D69">
        <w:rPr>
          <w:rFonts w:ascii="Times New Roman" w:hAnsi="Times New Roman" w:cs="Times New Roman"/>
          <w:sz w:val="24"/>
          <w:szCs w:val="24"/>
        </w:rPr>
        <w:t xml:space="preserve">тся </w:t>
      </w:r>
      <w:r w:rsidRPr="00EE7D69">
        <w:rPr>
          <w:rFonts w:ascii="Times New Roman" w:hAnsi="Times New Roman" w:cs="Times New Roman"/>
          <w:sz w:val="24"/>
          <w:szCs w:val="24"/>
        </w:rPr>
        <w:lastRenderedPageBreak/>
        <w:t>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E7D69" w:rsidRPr="00EE7D69" w:rsidRDefault="00EE7D69" w:rsidP="00EE7D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 xml:space="preserve">Согласно представленной информации выполнение функций по внутреннему финансовому контролю и </w:t>
      </w:r>
      <w:r w:rsidRPr="00EE7D69">
        <w:rPr>
          <w:rFonts w:ascii="Times New Roman" w:hAnsi="Times New Roman" w:cs="Times New Roman"/>
          <w:sz w:val="24"/>
          <w:szCs w:val="24"/>
        </w:rPr>
        <w:t>внутреннему финансовому аудиту</w:t>
      </w:r>
      <w:r w:rsidRPr="00EE7D69">
        <w:rPr>
          <w:rFonts w:ascii="Times New Roman" w:eastAsia="Times New Roman" w:hAnsi="Times New Roman" w:cs="Times New Roman"/>
          <w:sz w:val="24"/>
          <w:szCs w:val="24"/>
          <w:lang w:eastAsia="ru-RU"/>
        </w:rPr>
        <w:t xml:space="preserve"> возложено на ведущего консультанта финансово-экономического отдела, на 2016 год запланировано проведение проверок двух подведомственных учреждений.</w:t>
      </w:r>
    </w:p>
    <w:p w:rsidR="00EE7D69" w:rsidRPr="00EE7D69" w:rsidRDefault="00EE7D69" w:rsidP="00EE7D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 xml:space="preserve">Проведенный анализ свидетельствует о низком уровне организации и необеспечении министерством культуры и архивного дела внутреннего финансового контроля и </w:t>
      </w:r>
      <w:r w:rsidR="006F620B">
        <w:rPr>
          <w:rFonts w:ascii="Times New Roman" w:hAnsi="Times New Roman" w:cs="Times New Roman"/>
          <w:sz w:val="24"/>
          <w:szCs w:val="24"/>
        </w:rPr>
        <w:t>внутреннего финансового аудита.</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b/>
          <w:sz w:val="24"/>
          <w:szCs w:val="24"/>
          <w:lang w:eastAsia="ru-RU"/>
        </w:rPr>
        <w:t>Министерством сельского хозяйства Амурской области</w:t>
      </w:r>
      <w:r w:rsidRPr="00EE7D69">
        <w:rPr>
          <w:rFonts w:ascii="Times New Roman" w:eastAsia="Times New Roman" w:hAnsi="Times New Roman" w:cs="Times New Roman"/>
          <w:sz w:val="24"/>
          <w:szCs w:val="24"/>
          <w:lang w:eastAsia="ru-RU"/>
        </w:rPr>
        <w:t xml:space="preserve"> в рамках осуществления ведомственного финансового контроля проведено 28 контрольных мероприятий (в 2014 году - 34), из которых 25 проверок юридических лиц – получателей средств субсидий, </w:t>
      </w:r>
      <w:r w:rsidRPr="00EE7D69">
        <w:rPr>
          <w:rFonts w:ascii="Times New Roman" w:eastAsia="Times New Roman" w:hAnsi="Times New Roman" w:cs="Times New Roman"/>
          <w:sz w:val="24"/>
          <w:szCs w:val="24"/>
          <w:lang w:eastAsia="ru-RU"/>
        </w:rPr>
        <w:br/>
        <w:t>3 проверки органов местного самоуправления - получателей средств межбюджетных трансфертов. Проверками охвачено 18,9 процента объемов финансирования в части субсидий юридическим лицам (в 2014 году - 7,7 процента), 3,7 процента объема выделенных министерством межбюджетных трансфертов. Проведенными в 2015 году проверками финансовых нарушений не установлено (в 2014 году - 4046,0 тыс. рублей).</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 xml:space="preserve">Как отмечено анализом состояния внутреннего финансового контроля в предыдущие годы, министерством сельского хозяйства не обеспечен контроль финансово-хозяйственной деятельности государственных унитарных предприятий, подведомственных министерству, контрольные мероприятия в отношении государственных унитарных предприятий </w:t>
      </w:r>
      <w:r w:rsidRPr="00EE7D69">
        <w:rPr>
          <w:rFonts w:ascii="Times New Roman" w:eastAsia="Times New Roman" w:hAnsi="Times New Roman" w:cs="Times New Roman"/>
          <w:sz w:val="24"/>
          <w:szCs w:val="24"/>
          <w:lang w:eastAsia="ru-RU"/>
        </w:rPr>
        <w:br/>
        <w:t>в 2015 году не проводились и на 2016 год не запланированы.</w:t>
      </w:r>
    </w:p>
    <w:p w:rsidR="00EE7D69" w:rsidRPr="00EE7D69" w:rsidRDefault="00EE7D69" w:rsidP="00EE7D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7D69">
        <w:rPr>
          <w:rFonts w:ascii="Times New Roman" w:eastAsia="Times New Roman" w:hAnsi="Times New Roman" w:cs="Times New Roman"/>
          <w:sz w:val="24"/>
          <w:szCs w:val="24"/>
          <w:lang w:eastAsia="ru-RU"/>
        </w:rPr>
        <w:t xml:space="preserve">Анализом представленной информации установлено, что в 2015 году не подготовлено ни одного заключения по результатам проведения внутреннего финансового аудита, вопросами которого </w:t>
      </w:r>
      <w:r w:rsidRPr="00EE7D69">
        <w:rPr>
          <w:rFonts w:ascii="Times New Roman" w:hAnsi="Times New Roman" w:cs="Times New Roman"/>
          <w:sz w:val="24"/>
          <w:szCs w:val="24"/>
        </w:rPr>
        <w:t>в соответствии с «</w:t>
      </w:r>
      <w:hyperlink r:id="rId72" w:history="1">
        <w:r w:rsidRPr="00EE7D69">
          <w:rPr>
            <w:rFonts w:ascii="Times New Roman" w:eastAsia="Times New Roman" w:hAnsi="Times New Roman" w:cs="Times New Roman"/>
            <w:sz w:val="24"/>
            <w:szCs w:val="24"/>
            <w:lang w:eastAsia="ru-RU"/>
          </w:rPr>
          <w:t>Порядк</w:t>
        </w:r>
      </w:hyperlink>
      <w:r w:rsidRPr="00EE7D69">
        <w:rPr>
          <w:rFonts w:ascii="Times New Roman" w:hAnsi="Times New Roman" w:cs="Times New Roman"/>
          <w:sz w:val="24"/>
          <w:szCs w:val="24"/>
        </w:rPr>
        <w:t>ом</w:t>
      </w:r>
      <w:r w:rsidRPr="00EE7D69">
        <w:rPr>
          <w:rFonts w:ascii="Times New Roman" w:eastAsia="Times New Roman" w:hAnsi="Times New Roman" w:cs="Times New Roman"/>
          <w:sz w:val="24"/>
          <w:szCs w:val="24"/>
          <w:lang w:eastAsia="ru-RU"/>
        </w:rPr>
        <w:t xml:space="preserve"> осуществления </w:t>
      </w:r>
      <w:r w:rsidRPr="00EE7D6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(ред. от 01.11.2013), </w:t>
      </w:r>
      <w:r w:rsidRPr="00EE7D69">
        <w:rPr>
          <w:rFonts w:ascii="Times New Roman" w:eastAsia="Times New Roman" w:hAnsi="Times New Roman" w:cs="Times New Roman"/>
          <w:sz w:val="24"/>
          <w:szCs w:val="24"/>
          <w:lang w:eastAsia="ru-RU"/>
        </w:rPr>
        <w:t>являю</w:t>
      </w:r>
      <w:r w:rsidRPr="00EE7D6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E7D69" w:rsidRPr="00EE7D69" w:rsidRDefault="00EE7D69" w:rsidP="00EE7D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 xml:space="preserve">Согласно представленной информации выполнение функций по внутреннему финансовому контролю и </w:t>
      </w:r>
      <w:r w:rsidRPr="00EE7D69">
        <w:rPr>
          <w:rFonts w:ascii="Times New Roman" w:hAnsi="Times New Roman" w:cs="Times New Roman"/>
          <w:sz w:val="24"/>
          <w:szCs w:val="24"/>
        </w:rPr>
        <w:t>внутреннему финансовому аудиту</w:t>
      </w:r>
      <w:r w:rsidRPr="00EE7D69">
        <w:rPr>
          <w:rFonts w:ascii="Times New Roman" w:eastAsia="Times New Roman" w:hAnsi="Times New Roman" w:cs="Times New Roman"/>
          <w:sz w:val="24"/>
          <w:szCs w:val="24"/>
          <w:lang w:eastAsia="ru-RU"/>
        </w:rPr>
        <w:t xml:space="preserve"> возложено на консультанта по осуществлению финансового контроля.</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 xml:space="preserve">Проведенный анализ позволяет констатировать низкий уровень организации и осуществления министерством сельского хозяйства Амурской области полномочий в части </w:t>
      </w:r>
      <w:r w:rsidRPr="00EE7D69">
        <w:rPr>
          <w:rFonts w:ascii="Times New Roman" w:hAnsi="Times New Roman" w:cs="Times New Roman"/>
          <w:sz w:val="24"/>
          <w:szCs w:val="24"/>
        </w:rPr>
        <w:t>внутреннего финансового контроля и внутреннего финансового аудита.</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b/>
          <w:sz w:val="24"/>
          <w:szCs w:val="24"/>
          <w:lang w:eastAsia="ru-RU"/>
        </w:rPr>
        <w:t>Министерством лесного хозяйства и пожарной безопасности Амурской области</w:t>
      </w:r>
      <w:r w:rsidRPr="00EE7D69">
        <w:rPr>
          <w:rFonts w:ascii="Times New Roman" w:eastAsia="Times New Roman" w:hAnsi="Times New Roman" w:cs="Times New Roman"/>
          <w:sz w:val="24"/>
          <w:szCs w:val="24"/>
          <w:lang w:eastAsia="ru-RU"/>
        </w:rPr>
        <w:t xml:space="preserve"> при наличии 28 подведомственных учреждений с объемом финансирования 1482200,5 тыс. рублей, внутренним финансовым контролем в 2015 году охвачено 11 подведомственных учреждений (в 2014 году – 10),</w:t>
      </w:r>
      <w:r w:rsidRPr="00EE7D69">
        <w:rPr>
          <w:rFonts w:ascii="Times New Roman" w:hAnsi="Times New Roman" w:cs="Times New Roman"/>
          <w:sz w:val="24"/>
          <w:szCs w:val="24"/>
        </w:rPr>
        <w:t xml:space="preserve"> при этом проведены 10 проверок финансово-хозяйственной деятельности и состояния бухгалтерского учета, 1 тематическая проверка</w:t>
      </w:r>
      <w:r w:rsidRPr="00EE7D69">
        <w:rPr>
          <w:rFonts w:ascii="Times New Roman" w:eastAsia="Times New Roman" w:hAnsi="Times New Roman" w:cs="Times New Roman"/>
          <w:sz w:val="24"/>
          <w:szCs w:val="24"/>
          <w:lang w:eastAsia="ru-RU"/>
        </w:rPr>
        <w:t xml:space="preserve"> </w:t>
      </w:r>
      <w:r w:rsidRPr="00EE7D69">
        <w:rPr>
          <w:rFonts w:ascii="Times New Roman" w:hAnsi="Times New Roman" w:cs="Times New Roman"/>
          <w:sz w:val="24"/>
          <w:szCs w:val="24"/>
        </w:rPr>
        <w:t xml:space="preserve">– состояния учета материальных запасов и основных средств. Согласно представленной министерством информации </w:t>
      </w:r>
      <w:r w:rsidRPr="00EE7D69">
        <w:rPr>
          <w:rFonts w:ascii="Times New Roman" w:eastAsia="Times New Roman" w:hAnsi="Times New Roman" w:cs="Times New Roman"/>
          <w:sz w:val="24"/>
          <w:szCs w:val="24"/>
          <w:lang w:eastAsia="ru-RU"/>
        </w:rPr>
        <w:t xml:space="preserve">срок проведения проверок </w:t>
      </w:r>
      <w:r w:rsidRPr="00EE7D69">
        <w:rPr>
          <w:rFonts w:ascii="Times New Roman" w:hAnsi="Times New Roman" w:cs="Times New Roman"/>
          <w:sz w:val="24"/>
          <w:szCs w:val="24"/>
        </w:rPr>
        <w:t>финансово-хозяйственной деятельности и состояния бухгалтерского учета</w:t>
      </w:r>
      <w:r w:rsidRPr="00EE7D69">
        <w:rPr>
          <w:rFonts w:ascii="Times New Roman" w:eastAsia="Times New Roman" w:hAnsi="Times New Roman" w:cs="Times New Roman"/>
          <w:sz w:val="24"/>
          <w:szCs w:val="24"/>
          <w:lang w:eastAsia="ru-RU"/>
        </w:rPr>
        <w:t xml:space="preserve"> в отдельных случаях составляет от трех до пяти дней, что позволяет сделать вывод о недостаточном охвате проверками вопросов финансовой деятельности, что в свою очередь снижае</w:t>
      </w:r>
      <w:r w:rsidR="006F620B">
        <w:rPr>
          <w:rFonts w:ascii="Times New Roman" w:eastAsia="Times New Roman" w:hAnsi="Times New Roman" w:cs="Times New Roman"/>
          <w:sz w:val="24"/>
          <w:szCs w:val="24"/>
          <w:lang w:eastAsia="ru-RU"/>
        </w:rPr>
        <w:t>т качество проводимых проверок.</w:t>
      </w:r>
    </w:p>
    <w:p w:rsidR="00EE7D69" w:rsidRPr="00EE7D69" w:rsidRDefault="00EE7D69" w:rsidP="00EE7D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Проведенными ревизиями и проверками выявлено финансовых нарушений на сумму 3831,8 тыс. рублей (в 2014 году - 795,7 тыс. рублей), устранено финансовых нарушений на сумму 21,7 тыс. рублей (в 2014 году - 56,1 тыс. рублей), или 0,6 процента установленного объема финансовых нарушений, что свидетельствует о крайне низкой эффективности внутреннего фин</w:t>
      </w:r>
      <w:r w:rsidR="006F620B">
        <w:rPr>
          <w:rFonts w:ascii="Times New Roman" w:eastAsia="Times New Roman" w:hAnsi="Times New Roman" w:cs="Times New Roman"/>
          <w:sz w:val="24"/>
          <w:szCs w:val="24"/>
          <w:lang w:eastAsia="ru-RU"/>
        </w:rPr>
        <w:t>ансового контроля министерства.</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 xml:space="preserve">Согласно представленной информации по 8 из 28 подведомственных учреждений не </w:t>
      </w:r>
      <w:r w:rsidRPr="00EE7D69">
        <w:rPr>
          <w:rFonts w:ascii="Times New Roman" w:eastAsia="Times New Roman" w:hAnsi="Times New Roman" w:cs="Times New Roman"/>
          <w:sz w:val="24"/>
          <w:szCs w:val="24"/>
          <w:lang w:eastAsia="ru-RU"/>
        </w:rPr>
        <w:lastRenderedPageBreak/>
        <w:t>определена дата проведения последней проверки органом внутреннего финансового контроля, что не позволяет оценить соблюдение периодичности проведения министерством провер</w:t>
      </w:r>
      <w:r w:rsidR="006F620B">
        <w:rPr>
          <w:rFonts w:ascii="Times New Roman" w:eastAsia="Times New Roman" w:hAnsi="Times New Roman" w:cs="Times New Roman"/>
          <w:sz w:val="24"/>
          <w:szCs w:val="24"/>
          <w:lang w:eastAsia="ru-RU"/>
        </w:rPr>
        <w:t>ок подведомственных учреждений.</w:t>
      </w:r>
    </w:p>
    <w:p w:rsidR="00EE7D69" w:rsidRPr="00EE7D69" w:rsidRDefault="00EE7D69" w:rsidP="00EE7D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7D69">
        <w:rPr>
          <w:rFonts w:ascii="Times New Roman" w:eastAsia="Times New Roman" w:hAnsi="Times New Roman" w:cs="Times New Roman"/>
          <w:sz w:val="24"/>
          <w:szCs w:val="24"/>
          <w:lang w:eastAsia="ru-RU"/>
        </w:rPr>
        <w:t xml:space="preserve">Анализом представленной информации установлено, что в 2015 году не подготовлено ни одного заключения по результатам проведения внутреннего финансового аудита, вопросами которого </w:t>
      </w:r>
      <w:r w:rsidRPr="00EE7D69">
        <w:rPr>
          <w:rFonts w:ascii="Times New Roman" w:hAnsi="Times New Roman" w:cs="Times New Roman"/>
          <w:sz w:val="24"/>
          <w:szCs w:val="24"/>
        </w:rPr>
        <w:t>в соответствии с «</w:t>
      </w:r>
      <w:hyperlink r:id="rId73" w:history="1">
        <w:r w:rsidRPr="00EE7D69">
          <w:rPr>
            <w:rFonts w:ascii="Times New Roman" w:eastAsia="Times New Roman" w:hAnsi="Times New Roman" w:cs="Times New Roman"/>
            <w:sz w:val="24"/>
            <w:szCs w:val="24"/>
            <w:lang w:eastAsia="ru-RU"/>
          </w:rPr>
          <w:t>Порядк</w:t>
        </w:r>
      </w:hyperlink>
      <w:r w:rsidRPr="00EE7D69">
        <w:rPr>
          <w:rFonts w:ascii="Times New Roman" w:hAnsi="Times New Roman" w:cs="Times New Roman"/>
          <w:sz w:val="24"/>
          <w:szCs w:val="24"/>
        </w:rPr>
        <w:t>ом</w:t>
      </w:r>
      <w:r w:rsidRPr="00EE7D69">
        <w:rPr>
          <w:rFonts w:ascii="Times New Roman" w:eastAsia="Times New Roman" w:hAnsi="Times New Roman" w:cs="Times New Roman"/>
          <w:sz w:val="24"/>
          <w:szCs w:val="24"/>
          <w:lang w:eastAsia="ru-RU"/>
        </w:rPr>
        <w:t xml:space="preserve"> осуществления </w:t>
      </w:r>
      <w:r w:rsidRPr="00EE7D6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(ред. от 01.11.2013), </w:t>
      </w:r>
      <w:r w:rsidRPr="00EE7D69">
        <w:rPr>
          <w:rFonts w:ascii="Times New Roman" w:eastAsia="Times New Roman" w:hAnsi="Times New Roman" w:cs="Times New Roman"/>
          <w:sz w:val="24"/>
          <w:szCs w:val="24"/>
          <w:lang w:eastAsia="ru-RU"/>
        </w:rPr>
        <w:t>являю</w:t>
      </w:r>
      <w:r w:rsidRPr="00EE7D6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 xml:space="preserve">Согласно представленной информации выполнение функций по внутреннему финансовому контролю и </w:t>
      </w:r>
      <w:r w:rsidRPr="00EE7D69">
        <w:rPr>
          <w:rFonts w:ascii="Times New Roman" w:hAnsi="Times New Roman" w:cs="Times New Roman"/>
          <w:sz w:val="24"/>
          <w:szCs w:val="24"/>
        </w:rPr>
        <w:t>внутреннему финансовому аудиту</w:t>
      </w:r>
      <w:r w:rsidRPr="00EE7D69">
        <w:rPr>
          <w:rFonts w:ascii="Times New Roman" w:eastAsia="Times New Roman" w:hAnsi="Times New Roman" w:cs="Times New Roman"/>
          <w:sz w:val="24"/>
          <w:szCs w:val="24"/>
          <w:lang w:eastAsia="ru-RU"/>
        </w:rPr>
        <w:t xml:space="preserve"> возложено на отдел планирования, мониторинга, государственных программ и контрольно-ревизионной деятельности, штатной численностью 4 единицы. Фактически замещено 2 должности. Проведенный анализ позволяет констатировать низкий уровень организации и осуществления министерством лесного хозяйства и пожарной безопасности Амурской области полномочий в части </w:t>
      </w:r>
      <w:r w:rsidRPr="00EE7D69">
        <w:rPr>
          <w:rFonts w:ascii="Times New Roman" w:hAnsi="Times New Roman" w:cs="Times New Roman"/>
          <w:sz w:val="24"/>
          <w:szCs w:val="24"/>
        </w:rPr>
        <w:t>внутреннего финансового контроля и внутреннего финансового аудита</w:t>
      </w:r>
      <w:r w:rsidRPr="00EE7D69">
        <w:rPr>
          <w:rFonts w:ascii="Times New Roman" w:eastAsia="Times New Roman" w:hAnsi="Times New Roman" w:cs="Times New Roman"/>
          <w:sz w:val="24"/>
          <w:szCs w:val="24"/>
          <w:lang w:eastAsia="ru-RU"/>
        </w:rPr>
        <w:t>.</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 xml:space="preserve">Анализом состояния ведомственного финансового контроля в </w:t>
      </w:r>
      <w:r w:rsidRPr="00EE7D69">
        <w:rPr>
          <w:rFonts w:ascii="Times New Roman" w:eastAsia="Times New Roman" w:hAnsi="Times New Roman" w:cs="Times New Roman"/>
          <w:b/>
          <w:sz w:val="24"/>
          <w:szCs w:val="24"/>
          <w:lang w:eastAsia="ru-RU"/>
        </w:rPr>
        <w:t xml:space="preserve">управлении занятости Амурской области </w:t>
      </w:r>
      <w:r w:rsidRPr="00EE7D69">
        <w:rPr>
          <w:rFonts w:ascii="Times New Roman" w:eastAsia="Times New Roman" w:hAnsi="Times New Roman" w:cs="Times New Roman"/>
          <w:sz w:val="24"/>
          <w:szCs w:val="24"/>
          <w:lang w:eastAsia="ru-RU"/>
        </w:rPr>
        <w:t>установлено, что при наличии 21 подведомственного учреждения с объемами финансирования 190071,3 тыс. рублей и объемом межбюджетных трансфертов 528661,4 тыс. рублей, в 2015 году ревизиями финансово-хозяйственной деятельности охвачены все подведомственные учреждения. По результатам проведенных проверок финансовых нарушений не установлено. Согласно представленной информации внутренний финансовый контроль возложен на финансовую службу управления.</w:t>
      </w:r>
    </w:p>
    <w:p w:rsidR="00EE7D69" w:rsidRPr="00EE7D69" w:rsidRDefault="00EE7D69" w:rsidP="00EE7D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7D69">
        <w:rPr>
          <w:rFonts w:ascii="Times New Roman" w:eastAsia="Times New Roman" w:hAnsi="Times New Roman" w:cs="Times New Roman"/>
          <w:sz w:val="24"/>
          <w:szCs w:val="24"/>
          <w:lang w:eastAsia="ru-RU"/>
        </w:rPr>
        <w:t xml:space="preserve">Анализом представленной информации установлено, что в 2015 году не подготовлено ни одного заключения по результатам проведения внутреннего финансового аудита, вопросами которого </w:t>
      </w:r>
      <w:r w:rsidRPr="00EE7D69">
        <w:rPr>
          <w:rFonts w:ascii="Times New Roman" w:hAnsi="Times New Roman" w:cs="Times New Roman"/>
          <w:sz w:val="24"/>
          <w:szCs w:val="24"/>
        </w:rPr>
        <w:t>в соответствии с «</w:t>
      </w:r>
      <w:hyperlink r:id="rId74" w:history="1">
        <w:r w:rsidRPr="00EE7D69">
          <w:rPr>
            <w:rFonts w:ascii="Times New Roman" w:eastAsia="Times New Roman" w:hAnsi="Times New Roman" w:cs="Times New Roman"/>
            <w:sz w:val="24"/>
            <w:szCs w:val="24"/>
            <w:lang w:eastAsia="ru-RU"/>
          </w:rPr>
          <w:t>Порядк</w:t>
        </w:r>
      </w:hyperlink>
      <w:r w:rsidRPr="00EE7D69">
        <w:rPr>
          <w:rFonts w:ascii="Times New Roman" w:hAnsi="Times New Roman" w:cs="Times New Roman"/>
          <w:sz w:val="24"/>
          <w:szCs w:val="24"/>
        </w:rPr>
        <w:t>ом</w:t>
      </w:r>
      <w:r w:rsidRPr="00EE7D69">
        <w:rPr>
          <w:rFonts w:ascii="Times New Roman" w:eastAsia="Times New Roman" w:hAnsi="Times New Roman" w:cs="Times New Roman"/>
          <w:sz w:val="24"/>
          <w:szCs w:val="24"/>
          <w:lang w:eastAsia="ru-RU"/>
        </w:rPr>
        <w:t xml:space="preserve"> осуществления </w:t>
      </w:r>
      <w:r w:rsidRPr="00EE7D6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(ред. от 01.11.2013), </w:t>
      </w:r>
      <w:r w:rsidRPr="00EE7D69">
        <w:rPr>
          <w:rFonts w:ascii="Times New Roman" w:eastAsia="Times New Roman" w:hAnsi="Times New Roman" w:cs="Times New Roman"/>
          <w:sz w:val="24"/>
          <w:szCs w:val="24"/>
          <w:lang w:eastAsia="ru-RU"/>
        </w:rPr>
        <w:t>являю</w:t>
      </w:r>
      <w:r w:rsidRPr="00EE7D6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b/>
          <w:sz w:val="24"/>
          <w:szCs w:val="24"/>
          <w:lang w:eastAsia="ru-RU"/>
        </w:rPr>
        <w:t>Правительством Амурской области</w:t>
      </w:r>
      <w:r w:rsidRPr="00EE7D69">
        <w:rPr>
          <w:rFonts w:ascii="Times New Roman" w:eastAsia="Times New Roman" w:hAnsi="Times New Roman" w:cs="Times New Roman"/>
          <w:sz w:val="24"/>
          <w:szCs w:val="24"/>
          <w:lang w:eastAsia="ru-RU"/>
        </w:rPr>
        <w:t>, являющимся в 2014 году главным распорядителем бюджетных средств 3 подведомственных учреждений с объемами финансирования 223805,4 тыс. рублей, проведено 8 тематических проверок, которыми охвачены отдельные направления деятельности. По результатам проведенных проверок установлено финансовых нарушений на сумму 1572,6 тыс. рублей, информация об устранении фи</w:t>
      </w:r>
      <w:r w:rsidR="006F620B">
        <w:rPr>
          <w:rFonts w:ascii="Times New Roman" w:eastAsia="Times New Roman" w:hAnsi="Times New Roman" w:cs="Times New Roman"/>
          <w:sz w:val="24"/>
          <w:szCs w:val="24"/>
          <w:lang w:eastAsia="ru-RU"/>
        </w:rPr>
        <w:t>нансовых нарушений отсутствует.</w:t>
      </w:r>
    </w:p>
    <w:p w:rsidR="00EE7D69" w:rsidRPr="00EE7D69" w:rsidRDefault="00EE7D69" w:rsidP="00EE7D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7D69">
        <w:rPr>
          <w:rFonts w:ascii="Times New Roman" w:eastAsia="Times New Roman" w:hAnsi="Times New Roman" w:cs="Times New Roman"/>
          <w:sz w:val="24"/>
          <w:szCs w:val="24"/>
          <w:lang w:eastAsia="ru-RU"/>
        </w:rPr>
        <w:t xml:space="preserve">Анализом представленной информации установлено, что в 2015 году не подготовлено ни одного заключения по результатам проведения внутреннего финансового аудита, вопросами которого </w:t>
      </w:r>
      <w:r w:rsidRPr="00EE7D69">
        <w:rPr>
          <w:rFonts w:ascii="Times New Roman" w:hAnsi="Times New Roman" w:cs="Times New Roman"/>
          <w:sz w:val="24"/>
          <w:szCs w:val="24"/>
        </w:rPr>
        <w:t>в соответствии с «</w:t>
      </w:r>
      <w:hyperlink r:id="rId75" w:history="1">
        <w:r w:rsidRPr="00EE7D69">
          <w:rPr>
            <w:rFonts w:ascii="Times New Roman" w:eastAsia="Times New Roman" w:hAnsi="Times New Roman" w:cs="Times New Roman"/>
            <w:sz w:val="24"/>
            <w:szCs w:val="24"/>
            <w:lang w:eastAsia="ru-RU"/>
          </w:rPr>
          <w:t>Порядк</w:t>
        </w:r>
      </w:hyperlink>
      <w:r w:rsidRPr="00EE7D69">
        <w:rPr>
          <w:rFonts w:ascii="Times New Roman" w:hAnsi="Times New Roman" w:cs="Times New Roman"/>
          <w:sz w:val="24"/>
          <w:szCs w:val="24"/>
        </w:rPr>
        <w:t>ом</w:t>
      </w:r>
      <w:r w:rsidRPr="00EE7D69">
        <w:rPr>
          <w:rFonts w:ascii="Times New Roman" w:eastAsia="Times New Roman" w:hAnsi="Times New Roman" w:cs="Times New Roman"/>
          <w:sz w:val="24"/>
          <w:szCs w:val="24"/>
          <w:lang w:eastAsia="ru-RU"/>
        </w:rPr>
        <w:t xml:space="preserve"> осуществления </w:t>
      </w:r>
      <w:r w:rsidRPr="00EE7D6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(ред. от 01.11.2013), </w:t>
      </w:r>
      <w:r w:rsidRPr="00EE7D69">
        <w:rPr>
          <w:rFonts w:ascii="Times New Roman" w:eastAsia="Times New Roman" w:hAnsi="Times New Roman" w:cs="Times New Roman"/>
          <w:sz w:val="24"/>
          <w:szCs w:val="24"/>
          <w:lang w:eastAsia="ru-RU"/>
        </w:rPr>
        <w:t>являю</w:t>
      </w:r>
      <w:r w:rsidRPr="00EE7D69">
        <w:rPr>
          <w:rFonts w:ascii="Times New Roman" w:hAnsi="Times New Roman" w:cs="Times New Roman"/>
          <w:sz w:val="24"/>
          <w:szCs w:val="24"/>
        </w:rPr>
        <w:t xml:space="preserve">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w:t>
      </w:r>
      <w:r w:rsidR="006F620B">
        <w:rPr>
          <w:rFonts w:ascii="Times New Roman" w:hAnsi="Times New Roman" w:cs="Times New Roman"/>
          <w:sz w:val="24"/>
          <w:szCs w:val="24"/>
        </w:rPr>
        <w:t>целевых прогнозных показателей.</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Согласно представленным сведениям в аппарате отсутствуют штатные специалисты, обеспечивающие внутренний финансовый контроль и внутренний финансовый аудит.</w:t>
      </w:r>
    </w:p>
    <w:p w:rsidR="00EE7D69" w:rsidRPr="00EE7D69" w:rsidRDefault="00EE7D69" w:rsidP="00EE7D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Проведенный анализ свидетельствует о необходимости усиления роли внутреннего финансового контроля и внутреннего финансового аудита в деятельности аппарата губернатора Амурской области и Правительства Амурской области.</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b/>
          <w:sz w:val="24"/>
          <w:szCs w:val="24"/>
          <w:lang w:eastAsia="ru-RU"/>
        </w:rPr>
        <w:lastRenderedPageBreak/>
        <w:t xml:space="preserve">Министерством по физической культуре и спорту </w:t>
      </w:r>
      <w:r w:rsidRPr="00EE7D69">
        <w:rPr>
          <w:rFonts w:ascii="Times New Roman" w:eastAsia="Times New Roman" w:hAnsi="Times New Roman" w:cs="Times New Roman"/>
          <w:sz w:val="24"/>
          <w:szCs w:val="24"/>
          <w:lang w:eastAsia="ru-RU"/>
        </w:rPr>
        <w:t xml:space="preserve">Амурской области при наличии 3 подведомственных учреждений, проведено 12 контрольных мероприятий, из которых </w:t>
      </w:r>
      <w:r w:rsidRPr="00EE7D69">
        <w:rPr>
          <w:rFonts w:ascii="Times New Roman" w:eastAsia="Times New Roman" w:hAnsi="Times New Roman" w:cs="Times New Roman"/>
          <w:sz w:val="24"/>
          <w:szCs w:val="24"/>
          <w:lang w:eastAsia="ru-RU"/>
        </w:rPr>
        <w:br/>
        <w:t>8 проверок подведомственных учреждений по вопросам оценки выполнения целевых показателей эффективности деятельности автономных учреждений, 4 – в отношении органов местного самоуправления - получателей средств межбюджетных трансфертов. Проверки использования средств областного бюджета, выделенных подведомственным учреждения</w:t>
      </w:r>
      <w:r w:rsidR="006F620B">
        <w:rPr>
          <w:rFonts w:ascii="Times New Roman" w:eastAsia="Times New Roman" w:hAnsi="Times New Roman" w:cs="Times New Roman"/>
          <w:sz w:val="24"/>
          <w:szCs w:val="24"/>
          <w:lang w:eastAsia="ru-RU"/>
        </w:rPr>
        <w:t xml:space="preserve">м, </w:t>
      </w:r>
      <w:r w:rsidR="006F620B">
        <w:rPr>
          <w:rFonts w:ascii="Times New Roman" w:eastAsia="Times New Roman" w:hAnsi="Times New Roman" w:cs="Times New Roman"/>
          <w:sz w:val="24"/>
          <w:szCs w:val="24"/>
          <w:lang w:eastAsia="ru-RU"/>
        </w:rPr>
        <w:br/>
        <w:t>в 2015 году не проводились.</w:t>
      </w:r>
    </w:p>
    <w:p w:rsidR="00EE7D69" w:rsidRPr="00EE7D69" w:rsidRDefault="00EE7D69" w:rsidP="00EE7D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7D69">
        <w:rPr>
          <w:rFonts w:ascii="Times New Roman" w:eastAsia="Times New Roman" w:hAnsi="Times New Roman" w:cs="Times New Roman"/>
          <w:sz w:val="24"/>
          <w:szCs w:val="24"/>
          <w:lang w:eastAsia="ru-RU"/>
        </w:rPr>
        <w:t xml:space="preserve">Анализом представленной информации установлено, что в 2015 году не подготовлено ни одного заключения по результатам проведения внутреннего финансового аудита, вопросами которого </w:t>
      </w:r>
      <w:r w:rsidRPr="00EE7D69">
        <w:rPr>
          <w:rFonts w:ascii="Times New Roman" w:hAnsi="Times New Roman" w:cs="Times New Roman"/>
          <w:sz w:val="24"/>
          <w:szCs w:val="24"/>
        </w:rPr>
        <w:t>в соответствии с «</w:t>
      </w:r>
      <w:hyperlink r:id="rId76" w:history="1">
        <w:r w:rsidRPr="00EE7D69">
          <w:rPr>
            <w:rFonts w:ascii="Times New Roman" w:eastAsia="Times New Roman" w:hAnsi="Times New Roman" w:cs="Times New Roman"/>
            <w:sz w:val="24"/>
            <w:szCs w:val="24"/>
            <w:lang w:eastAsia="ru-RU"/>
          </w:rPr>
          <w:t>Порядк</w:t>
        </w:r>
      </w:hyperlink>
      <w:r w:rsidRPr="00EE7D69">
        <w:rPr>
          <w:rFonts w:ascii="Times New Roman" w:hAnsi="Times New Roman" w:cs="Times New Roman"/>
          <w:sz w:val="24"/>
          <w:szCs w:val="24"/>
        </w:rPr>
        <w:t>ом</w:t>
      </w:r>
      <w:r w:rsidRPr="00EE7D69">
        <w:rPr>
          <w:rFonts w:ascii="Times New Roman" w:eastAsia="Times New Roman" w:hAnsi="Times New Roman" w:cs="Times New Roman"/>
          <w:sz w:val="24"/>
          <w:szCs w:val="24"/>
          <w:lang w:eastAsia="ru-RU"/>
        </w:rPr>
        <w:t xml:space="preserve"> осуществления </w:t>
      </w:r>
      <w:r w:rsidRPr="00EE7D6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(ред. от 01.11.2013), </w:t>
      </w:r>
      <w:r w:rsidRPr="00EE7D69">
        <w:rPr>
          <w:rFonts w:ascii="Times New Roman" w:eastAsia="Times New Roman" w:hAnsi="Times New Roman" w:cs="Times New Roman"/>
          <w:sz w:val="24"/>
          <w:szCs w:val="24"/>
          <w:lang w:eastAsia="ru-RU"/>
        </w:rPr>
        <w:t>являю</w:t>
      </w:r>
      <w:r w:rsidRPr="00EE7D6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Согласно представленным сведениям полномочия по осуществлению внутреннего финансового контроля и внутреннего финансового аудита возложено на финансовую службу министерства. Анализ представленной информации свидетельствует о необеспечении министерством, как главным распорядителем бюджетных средств, полномочий в части внутреннего финансового контроля и внутреннего финансового аудита в 2015 году.</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b/>
          <w:sz w:val="24"/>
          <w:szCs w:val="24"/>
          <w:lang w:eastAsia="ru-RU"/>
        </w:rPr>
        <w:t>Управлением ветеринарии и племенного дела Амурской области</w:t>
      </w:r>
      <w:r w:rsidRPr="00EE7D69">
        <w:rPr>
          <w:rFonts w:ascii="Times New Roman" w:eastAsia="Times New Roman" w:hAnsi="Times New Roman" w:cs="Times New Roman"/>
          <w:sz w:val="24"/>
          <w:szCs w:val="24"/>
          <w:lang w:eastAsia="ru-RU"/>
        </w:rPr>
        <w:t xml:space="preserve">, являющимся в 2015 году главным распорядителем бюджетных средств 13 подведомственных учреждений с объемами финансирования 127480,2 тыс. рублей, </w:t>
      </w:r>
      <w:r w:rsidRPr="00EE7D69">
        <w:rPr>
          <w:rFonts w:ascii="Times New Roman" w:hAnsi="Times New Roman" w:cs="Times New Roman"/>
          <w:sz w:val="24"/>
          <w:szCs w:val="24"/>
        </w:rPr>
        <w:t>внутренним финансовым контролем</w:t>
      </w:r>
      <w:r w:rsidRPr="00EE7D69">
        <w:rPr>
          <w:rFonts w:ascii="Times New Roman" w:eastAsia="Times New Roman" w:hAnsi="Times New Roman" w:cs="Times New Roman"/>
          <w:sz w:val="24"/>
          <w:szCs w:val="24"/>
          <w:lang w:eastAsia="ru-RU"/>
        </w:rPr>
        <w:t xml:space="preserve"> в </w:t>
      </w:r>
      <w:r w:rsidRPr="00EE7D69">
        <w:rPr>
          <w:rFonts w:ascii="Times New Roman" w:eastAsia="Times New Roman" w:hAnsi="Times New Roman" w:cs="Times New Roman"/>
          <w:sz w:val="24"/>
          <w:szCs w:val="24"/>
          <w:lang w:eastAsia="ru-RU"/>
        </w:rPr>
        <w:br/>
        <w:t xml:space="preserve">2015 году охвачено 4 подведомственных учреждений (в 2014 году - 9 учреждений), </w:t>
      </w:r>
      <w:r w:rsidRPr="00EE7D69">
        <w:rPr>
          <w:rFonts w:ascii="Times New Roman" w:eastAsia="Times New Roman" w:hAnsi="Times New Roman" w:cs="Times New Roman"/>
          <w:sz w:val="24"/>
          <w:szCs w:val="24"/>
          <w:lang w:eastAsia="ru-RU"/>
        </w:rPr>
        <w:br/>
        <w:t>23,4 процента объема финансирования подведомственных учреждений, кроме того проверками охвачено 7 органов местного самоуправления - получателей средств межбюджетных трансфертов, проверки проведены по вопросу целевого и эффективного использования средств областного бюджета, представленных в виде субвенции на осуществление полномочий по организации проведения мероприятий по регулированию чис</w:t>
      </w:r>
      <w:r w:rsidR="006F620B">
        <w:rPr>
          <w:rFonts w:ascii="Times New Roman" w:eastAsia="Times New Roman" w:hAnsi="Times New Roman" w:cs="Times New Roman"/>
          <w:sz w:val="24"/>
          <w:szCs w:val="24"/>
          <w:lang w:eastAsia="ru-RU"/>
        </w:rPr>
        <w:t>ленности безнадзорных животных.</w:t>
      </w:r>
    </w:p>
    <w:p w:rsidR="00EE7D69" w:rsidRPr="00EE7D69" w:rsidRDefault="00EE7D69" w:rsidP="00EE7D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 xml:space="preserve">Согласно представленной информации проверки подведомственных учреждений проведены по вопросу «Применения Инструкции 174н от 16.12.2010 «Об утверждении Плана счетов бухгалтерского учета бюджетных учреждений и Инструкции по его применению» в части использования финансового обеспечения на государственное задание». По результатам проверок установлено финансовых нарушений на сумму 1205,3 тыс. рублей (в 2014 году - 307,7 тыс. рублей), устранено финансовых нарушений на сумму 26,4 тыс. рублей </w:t>
      </w:r>
      <w:r w:rsidRPr="00EE7D69">
        <w:rPr>
          <w:rFonts w:ascii="Times New Roman" w:eastAsia="Times New Roman" w:hAnsi="Times New Roman" w:cs="Times New Roman"/>
          <w:sz w:val="24"/>
          <w:szCs w:val="24"/>
          <w:lang w:eastAsia="ru-RU"/>
        </w:rPr>
        <w:br/>
        <w:t>(в 2014 году - 148,0 тыс. рублей), или 2,2 процента установленного объема финансовых нарушений, что свидетельствует о крайне низкой эффективности внутреннего фин</w:t>
      </w:r>
      <w:r w:rsidR="006F620B">
        <w:rPr>
          <w:rFonts w:ascii="Times New Roman" w:eastAsia="Times New Roman" w:hAnsi="Times New Roman" w:cs="Times New Roman"/>
          <w:sz w:val="24"/>
          <w:szCs w:val="24"/>
          <w:lang w:eastAsia="ru-RU"/>
        </w:rPr>
        <w:t>ансового контроля министерства.</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Согласно представленной информации внутренний финансовый контроль обеспечивается специалистом отдела бюджетного учета, контроля и отчетности.</w:t>
      </w:r>
    </w:p>
    <w:p w:rsidR="00EE7D69" w:rsidRPr="00EE7D69" w:rsidRDefault="00EE7D69" w:rsidP="00EE7D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7D69">
        <w:rPr>
          <w:rFonts w:ascii="Times New Roman" w:eastAsia="Times New Roman" w:hAnsi="Times New Roman" w:cs="Times New Roman"/>
          <w:sz w:val="24"/>
          <w:szCs w:val="24"/>
          <w:lang w:eastAsia="ru-RU"/>
        </w:rPr>
        <w:t xml:space="preserve">Анализом представленной информации установлено, что в 2015 году не подготовлено ни одного заключения по результатам проведения внутреннего финансового аудита, вопросами которого </w:t>
      </w:r>
      <w:r w:rsidRPr="00EE7D69">
        <w:rPr>
          <w:rFonts w:ascii="Times New Roman" w:hAnsi="Times New Roman" w:cs="Times New Roman"/>
          <w:sz w:val="24"/>
          <w:szCs w:val="24"/>
        </w:rPr>
        <w:t>в соответствии с «</w:t>
      </w:r>
      <w:hyperlink r:id="rId77" w:history="1">
        <w:r w:rsidRPr="00EE7D69">
          <w:rPr>
            <w:rFonts w:ascii="Times New Roman" w:eastAsia="Times New Roman" w:hAnsi="Times New Roman" w:cs="Times New Roman"/>
            <w:sz w:val="24"/>
            <w:szCs w:val="24"/>
            <w:lang w:eastAsia="ru-RU"/>
          </w:rPr>
          <w:t>Порядк</w:t>
        </w:r>
      </w:hyperlink>
      <w:r w:rsidRPr="00EE7D69">
        <w:rPr>
          <w:rFonts w:ascii="Times New Roman" w:hAnsi="Times New Roman" w:cs="Times New Roman"/>
          <w:sz w:val="24"/>
          <w:szCs w:val="24"/>
        </w:rPr>
        <w:t>ом</w:t>
      </w:r>
      <w:r w:rsidRPr="00EE7D69">
        <w:rPr>
          <w:rFonts w:ascii="Times New Roman" w:eastAsia="Times New Roman" w:hAnsi="Times New Roman" w:cs="Times New Roman"/>
          <w:sz w:val="24"/>
          <w:szCs w:val="24"/>
          <w:lang w:eastAsia="ru-RU"/>
        </w:rPr>
        <w:t xml:space="preserve"> осуществления </w:t>
      </w:r>
      <w:r w:rsidRPr="00EE7D6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(ред. от 01.11.2013), </w:t>
      </w:r>
      <w:r w:rsidRPr="00EE7D69">
        <w:rPr>
          <w:rFonts w:ascii="Times New Roman" w:eastAsia="Times New Roman" w:hAnsi="Times New Roman" w:cs="Times New Roman"/>
          <w:sz w:val="24"/>
          <w:szCs w:val="24"/>
          <w:lang w:eastAsia="ru-RU"/>
        </w:rPr>
        <w:t>являю</w:t>
      </w:r>
      <w:r w:rsidRPr="00EE7D6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E7D69" w:rsidRPr="00EE7D69" w:rsidRDefault="00EE7D69" w:rsidP="00EE7D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7D69">
        <w:rPr>
          <w:rFonts w:ascii="Times New Roman" w:eastAsia="Times New Roman" w:hAnsi="Times New Roman" w:cs="Times New Roman"/>
          <w:sz w:val="24"/>
          <w:szCs w:val="24"/>
          <w:lang w:eastAsia="ru-RU"/>
        </w:rPr>
        <w:t xml:space="preserve">Крайне узкий спектр охваченных проверками вопросов и отсутствие мероприятий, проводимых в рамках внутреннего финансового аудита, позволяют констатировать недостаточный уровень организации и осуществления управлением ветеринарии и племенного дела полномочий в части </w:t>
      </w:r>
      <w:r w:rsidRPr="00EE7D69">
        <w:rPr>
          <w:rFonts w:ascii="Times New Roman" w:hAnsi="Times New Roman" w:cs="Times New Roman"/>
          <w:sz w:val="24"/>
          <w:szCs w:val="24"/>
        </w:rPr>
        <w:t>внутреннего финансового контроля</w:t>
      </w:r>
      <w:r w:rsidRPr="00EE7D69">
        <w:rPr>
          <w:rFonts w:ascii="Times New Roman" w:eastAsia="Times New Roman" w:hAnsi="Times New Roman" w:cs="Times New Roman"/>
          <w:sz w:val="24"/>
          <w:szCs w:val="24"/>
          <w:lang w:eastAsia="ru-RU"/>
        </w:rPr>
        <w:t xml:space="preserve"> и </w:t>
      </w:r>
      <w:r w:rsidRPr="00EE7D69">
        <w:rPr>
          <w:rFonts w:ascii="Times New Roman" w:hAnsi="Times New Roman" w:cs="Times New Roman"/>
          <w:sz w:val="24"/>
          <w:szCs w:val="24"/>
        </w:rPr>
        <w:t xml:space="preserve">внутреннего </w:t>
      </w:r>
      <w:r w:rsidR="00052B58">
        <w:rPr>
          <w:rFonts w:ascii="Times New Roman" w:hAnsi="Times New Roman" w:cs="Times New Roman"/>
          <w:sz w:val="24"/>
          <w:szCs w:val="24"/>
        </w:rPr>
        <w:lastRenderedPageBreak/>
        <w:t>финансового аудита.</w:t>
      </w:r>
    </w:p>
    <w:p w:rsidR="00EE7D69" w:rsidRPr="00EE7D69" w:rsidRDefault="00EE7D69" w:rsidP="00EE7D69">
      <w:pPr>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b/>
          <w:sz w:val="24"/>
          <w:szCs w:val="24"/>
          <w:lang w:eastAsia="ru-RU"/>
        </w:rPr>
        <w:t>Министерством транспорта и строительства</w:t>
      </w:r>
      <w:r w:rsidRPr="00EE7D69">
        <w:rPr>
          <w:rFonts w:ascii="Times New Roman" w:eastAsia="Times New Roman" w:hAnsi="Times New Roman" w:cs="Times New Roman"/>
          <w:sz w:val="24"/>
          <w:szCs w:val="24"/>
          <w:lang w:eastAsia="ru-RU"/>
        </w:rPr>
        <w:t xml:space="preserve"> Амурской области при наличии </w:t>
      </w:r>
      <w:r w:rsidRPr="00EE7D69">
        <w:rPr>
          <w:rFonts w:ascii="Times New Roman" w:eastAsia="Times New Roman" w:hAnsi="Times New Roman" w:cs="Times New Roman"/>
          <w:sz w:val="24"/>
          <w:szCs w:val="24"/>
          <w:lang w:eastAsia="ru-RU"/>
        </w:rPr>
        <w:br/>
        <w:t xml:space="preserve">3 подведомственных учреждений с объемами финансирования 1450612,2 тыс. рублей, </w:t>
      </w:r>
      <w:r w:rsidRPr="00EE7D69">
        <w:rPr>
          <w:rFonts w:ascii="Times New Roman" w:eastAsia="Times New Roman" w:hAnsi="Times New Roman" w:cs="Times New Roman"/>
          <w:sz w:val="24"/>
          <w:szCs w:val="24"/>
          <w:lang w:eastAsia="ru-RU"/>
        </w:rPr>
        <w:br/>
        <w:t>1 государственного унитарного предприятия, расходах главного распорядителя на предоставление субсидий юридическим лицам – производителям товаров, работ, услуг в объеме 134000,0 тыс. рублей, проверки подведомственных учреждений и юридических лиц – получателей субсидий не проводились. Объем предоставленных межбюджетных трансфертов составил в 2014 году – 1949813,7 тыс. рублей, в 2015 году – 805907,7 тыс. рублей, в 2015 году главным распорядителем проведено 37 проверок по вопросам целевого использования муниципальными образованиями области средств межбюджетных трансфертов, представленных на ликвидацию чрезвычайной ситуации и ее последствий, на аварийно-восстановительные работы, субсидий на софинансирование расходов по осуще</w:t>
      </w:r>
      <w:r w:rsidR="00052B58">
        <w:rPr>
          <w:rFonts w:ascii="Times New Roman" w:eastAsia="Times New Roman" w:hAnsi="Times New Roman" w:cs="Times New Roman"/>
          <w:sz w:val="24"/>
          <w:szCs w:val="24"/>
          <w:lang w:eastAsia="ru-RU"/>
        </w:rPr>
        <w:t>ствлению дорожной деятельности.</w:t>
      </w:r>
    </w:p>
    <w:p w:rsidR="00EE7D69" w:rsidRPr="00EE7D69" w:rsidRDefault="00EE7D69" w:rsidP="00EE7D69">
      <w:pPr>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По результатам проверок установлено финансовых нарушений на сумму 21215, тыс. рублей, материалы одного контрольного мероприятия по факту нецелевого использования бюджетных средств (1789,7 тыс. рублей) направлены</w:t>
      </w:r>
      <w:r w:rsidRPr="00EE7D69">
        <w:rPr>
          <w:rFonts w:ascii="Times New Roman" w:hAnsi="Times New Roman" w:cs="Times New Roman"/>
          <w:sz w:val="24"/>
        </w:rPr>
        <w:t xml:space="preserve"> в адрес министерства финансов области для принятия решений о применении бюджетных мер принуждения</w:t>
      </w:r>
      <w:r w:rsidRPr="00EE7D69">
        <w:rPr>
          <w:rFonts w:ascii="Times New Roman" w:eastAsia="Times New Roman" w:hAnsi="Times New Roman" w:cs="Times New Roman"/>
          <w:sz w:val="24"/>
          <w:szCs w:val="24"/>
          <w:lang w:eastAsia="ru-RU"/>
        </w:rPr>
        <w:t>, предложен</w:t>
      </w:r>
      <w:r w:rsidR="00052B58">
        <w:rPr>
          <w:rFonts w:ascii="Times New Roman" w:eastAsia="Times New Roman" w:hAnsi="Times New Roman" w:cs="Times New Roman"/>
          <w:sz w:val="24"/>
          <w:szCs w:val="24"/>
          <w:lang w:eastAsia="ru-RU"/>
        </w:rPr>
        <w:t>ие реализовано в полном объеме.</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Согласно представленным сведениям полномочия по осуществлению внутреннего финансового контроля и внутреннего финансового аудита возложены на отдел финансово-бюджетного контроля и ауд</w:t>
      </w:r>
      <w:r w:rsidR="00052B58">
        <w:rPr>
          <w:rFonts w:ascii="Times New Roman" w:eastAsia="Times New Roman" w:hAnsi="Times New Roman" w:cs="Times New Roman"/>
          <w:sz w:val="24"/>
          <w:szCs w:val="24"/>
          <w:lang w:eastAsia="ru-RU"/>
        </w:rPr>
        <w:t>ита, численностью 3 человека.</w:t>
      </w:r>
    </w:p>
    <w:p w:rsidR="00EE7D69" w:rsidRPr="00EE7D69" w:rsidRDefault="00EE7D69" w:rsidP="00EE7D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7D69">
        <w:rPr>
          <w:rFonts w:ascii="Times New Roman" w:eastAsia="Times New Roman" w:hAnsi="Times New Roman" w:cs="Times New Roman"/>
          <w:sz w:val="24"/>
          <w:szCs w:val="24"/>
          <w:lang w:eastAsia="ru-RU"/>
        </w:rPr>
        <w:t xml:space="preserve">Анализом представленной информации установлено, что в 2015 году не подготовлено ни одного заключения по результатам проведения внутреннего финансового аудита, вопросами которого </w:t>
      </w:r>
      <w:r w:rsidRPr="00EE7D69">
        <w:rPr>
          <w:rFonts w:ascii="Times New Roman" w:hAnsi="Times New Roman" w:cs="Times New Roman"/>
          <w:sz w:val="24"/>
          <w:szCs w:val="24"/>
        </w:rPr>
        <w:t>в соответствии с «</w:t>
      </w:r>
      <w:hyperlink r:id="rId78" w:history="1">
        <w:r w:rsidRPr="00EE7D69">
          <w:rPr>
            <w:rFonts w:ascii="Times New Roman" w:eastAsia="Times New Roman" w:hAnsi="Times New Roman" w:cs="Times New Roman"/>
            <w:sz w:val="24"/>
            <w:szCs w:val="24"/>
            <w:lang w:eastAsia="ru-RU"/>
          </w:rPr>
          <w:t>Порядк</w:t>
        </w:r>
      </w:hyperlink>
      <w:r w:rsidRPr="00EE7D69">
        <w:rPr>
          <w:rFonts w:ascii="Times New Roman" w:hAnsi="Times New Roman" w:cs="Times New Roman"/>
          <w:sz w:val="24"/>
          <w:szCs w:val="24"/>
        </w:rPr>
        <w:t>ом</w:t>
      </w:r>
      <w:r w:rsidRPr="00EE7D69">
        <w:rPr>
          <w:rFonts w:ascii="Times New Roman" w:eastAsia="Times New Roman" w:hAnsi="Times New Roman" w:cs="Times New Roman"/>
          <w:sz w:val="24"/>
          <w:szCs w:val="24"/>
          <w:lang w:eastAsia="ru-RU"/>
        </w:rPr>
        <w:t xml:space="preserve"> осуществления </w:t>
      </w:r>
      <w:r w:rsidRPr="00EE7D6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(ред. от 01.11.2013), </w:t>
      </w:r>
      <w:r w:rsidRPr="00EE7D69">
        <w:rPr>
          <w:rFonts w:ascii="Times New Roman" w:eastAsia="Times New Roman" w:hAnsi="Times New Roman" w:cs="Times New Roman"/>
          <w:sz w:val="24"/>
          <w:szCs w:val="24"/>
          <w:lang w:eastAsia="ru-RU"/>
        </w:rPr>
        <w:t>являю</w:t>
      </w:r>
      <w:r w:rsidRPr="00EE7D6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Анализ представленной информации свидетельствует о недостаточном уровне организации и осуществления министерством, как главным распорядителем бюджетных средств, полномочий в части внутреннего финансового контроля и внутреннего финансового аудита в 2015 году.</w:t>
      </w:r>
    </w:p>
    <w:p w:rsidR="00EE7D69" w:rsidRPr="00EE7D69" w:rsidRDefault="00EE7D69" w:rsidP="00EE7D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E7D69">
        <w:rPr>
          <w:rFonts w:ascii="Times New Roman" w:eastAsia="Times New Roman" w:hAnsi="Times New Roman" w:cs="Times New Roman"/>
          <w:b/>
          <w:sz w:val="24"/>
          <w:szCs w:val="24"/>
          <w:lang w:eastAsia="ru-RU"/>
        </w:rPr>
        <w:t>Министерство внешнеэкономических связей, туризма и предпринимательства</w:t>
      </w:r>
      <w:r w:rsidRPr="00EE7D69">
        <w:rPr>
          <w:rFonts w:ascii="Times New Roman" w:eastAsia="Times New Roman" w:hAnsi="Times New Roman" w:cs="Times New Roman"/>
          <w:sz w:val="24"/>
          <w:szCs w:val="24"/>
          <w:lang w:eastAsia="ru-RU"/>
        </w:rPr>
        <w:t xml:space="preserve"> Амурской области, имеющее одно подведомственное учреждение, а также предоставившее в 2015 году субсидий юридическим лицам – производителям товаров, работ, услуг в объеме 27648,4 тыс. рублей (2014 год – 72970,8 тыс. рублей), в 2015 году проведено 8 контрольных мероприятий, в числе которых проверка подведомственного учреждения и 7 проверок использования субсидий, предоставленных юридическим лицам, которыми охвачено </w:t>
      </w:r>
      <w:r w:rsidRPr="00EE7D69">
        <w:rPr>
          <w:rFonts w:ascii="Times New Roman" w:eastAsia="Times New Roman" w:hAnsi="Times New Roman" w:cs="Times New Roman"/>
          <w:sz w:val="24"/>
          <w:szCs w:val="24"/>
          <w:lang w:eastAsia="ru-RU"/>
        </w:rPr>
        <w:br/>
        <w:t>7,0 процентов объемов предоставленных субсидий. По результатам про</w:t>
      </w:r>
      <w:r w:rsidR="00052B58">
        <w:rPr>
          <w:rFonts w:ascii="Times New Roman" w:eastAsia="Times New Roman" w:hAnsi="Times New Roman" w:cs="Times New Roman"/>
          <w:sz w:val="24"/>
          <w:szCs w:val="24"/>
          <w:lang w:eastAsia="ru-RU"/>
        </w:rPr>
        <w:t>верок нарушений не установлено.</w:t>
      </w:r>
    </w:p>
    <w:p w:rsidR="00EE7D69" w:rsidRPr="00EE7D69" w:rsidRDefault="00EE7D69" w:rsidP="00EE7D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7D69">
        <w:rPr>
          <w:rFonts w:ascii="Times New Roman" w:eastAsia="Times New Roman" w:hAnsi="Times New Roman" w:cs="Times New Roman"/>
          <w:sz w:val="24"/>
          <w:szCs w:val="24"/>
          <w:lang w:eastAsia="ru-RU"/>
        </w:rPr>
        <w:t xml:space="preserve">Анализом представленной информации установлено, что в 2015 году не подготовлено ни одного заключения по результатам проведения внутреннего финансового аудита, вопросами которого </w:t>
      </w:r>
      <w:r w:rsidRPr="00EE7D69">
        <w:rPr>
          <w:rFonts w:ascii="Times New Roman" w:hAnsi="Times New Roman" w:cs="Times New Roman"/>
          <w:sz w:val="24"/>
          <w:szCs w:val="24"/>
        </w:rPr>
        <w:t>в соответствии с «</w:t>
      </w:r>
      <w:hyperlink r:id="rId79" w:history="1">
        <w:r w:rsidRPr="00EE7D69">
          <w:rPr>
            <w:rFonts w:ascii="Times New Roman" w:eastAsia="Times New Roman" w:hAnsi="Times New Roman" w:cs="Times New Roman"/>
            <w:sz w:val="24"/>
            <w:szCs w:val="24"/>
            <w:lang w:eastAsia="ru-RU"/>
          </w:rPr>
          <w:t>Порядк</w:t>
        </w:r>
      </w:hyperlink>
      <w:r w:rsidRPr="00EE7D69">
        <w:rPr>
          <w:rFonts w:ascii="Times New Roman" w:hAnsi="Times New Roman" w:cs="Times New Roman"/>
          <w:sz w:val="24"/>
          <w:szCs w:val="24"/>
        </w:rPr>
        <w:t>ом</w:t>
      </w:r>
      <w:r w:rsidRPr="00EE7D69">
        <w:rPr>
          <w:rFonts w:ascii="Times New Roman" w:eastAsia="Times New Roman" w:hAnsi="Times New Roman" w:cs="Times New Roman"/>
          <w:sz w:val="24"/>
          <w:szCs w:val="24"/>
          <w:lang w:eastAsia="ru-RU"/>
        </w:rPr>
        <w:t xml:space="preserve"> осуществления </w:t>
      </w:r>
      <w:r w:rsidRPr="00EE7D6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(ред. от 01.11.2013), </w:t>
      </w:r>
      <w:r w:rsidRPr="00EE7D69">
        <w:rPr>
          <w:rFonts w:ascii="Times New Roman" w:eastAsia="Times New Roman" w:hAnsi="Times New Roman" w:cs="Times New Roman"/>
          <w:sz w:val="24"/>
          <w:szCs w:val="24"/>
          <w:lang w:eastAsia="ru-RU"/>
        </w:rPr>
        <w:t>являю</w:t>
      </w:r>
      <w:r w:rsidRPr="00EE7D6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EE7D69" w:rsidRPr="00EE7D69" w:rsidRDefault="00EE7D69" w:rsidP="00EE7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D69">
        <w:rPr>
          <w:rFonts w:ascii="Times New Roman" w:eastAsia="Times New Roman" w:hAnsi="Times New Roman" w:cs="Times New Roman"/>
          <w:sz w:val="24"/>
          <w:szCs w:val="24"/>
          <w:lang w:eastAsia="ru-RU"/>
        </w:rPr>
        <w:t xml:space="preserve">Согласно представленным сведениям полномочия по осуществлению внутреннего финансового контроля и внутреннего финансового аудита возложены как дополнительные обязанности на специалистов министерства. Незначительная доля средств, охваченных контролем, и отсутствие сведений о выполнении мероприятий внутреннего финансового </w:t>
      </w:r>
      <w:r w:rsidRPr="00EE7D69">
        <w:rPr>
          <w:rFonts w:ascii="Times New Roman" w:eastAsia="Times New Roman" w:hAnsi="Times New Roman" w:cs="Times New Roman"/>
          <w:sz w:val="24"/>
          <w:szCs w:val="24"/>
          <w:lang w:eastAsia="ru-RU"/>
        </w:rPr>
        <w:lastRenderedPageBreak/>
        <w:t>аудита свидетельствует о необходимости усиления роли внутреннего финансового контроля и внутреннего финансового аудита в деятельности министерства.</w:t>
      </w:r>
    </w:p>
    <w:p w:rsidR="00EE7D69" w:rsidRPr="00EE7D69" w:rsidRDefault="00EE7D69" w:rsidP="00EE7D69">
      <w:pPr>
        <w:widowControl w:val="0"/>
        <w:autoSpaceDE w:val="0"/>
        <w:autoSpaceDN w:val="0"/>
        <w:adjustRightInd w:val="0"/>
        <w:spacing w:after="0" w:line="240" w:lineRule="auto"/>
        <w:ind w:firstLine="709"/>
        <w:jc w:val="both"/>
      </w:pPr>
      <w:r w:rsidRPr="00EE7D69">
        <w:rPr>
          <w:rFonts w:ascii="Times New Roman" w:eastAsia="Times New Roman" w:hAnsi="Times New Roman" w:cs="Times New Roman"/>
          <w:i/>
          <w:sz w:val="24"/>
          <w:szCs w:val="24"/>
          <w:lang w:eastAsia="ru-RU"/>
        </w:rPr>
        <w:t xml:space="preserve">Результаты проведенного анализа по осуществлению главными распорядителями средств областного бюджета </w:t>
      </w:r>
      <w:r w:rsidRPr="00EE7D69">
        <w:rPr>
          <w:rFonts w:ascii="Times New Roman" w:hAnsi="Times New Roman" w:cs="Times New Roman"/>
          <w:i/>
          <w:sz w:val="24"/>
          <w:szCs w:val="24"/>
        </w:rPr>
        <w:t xml:space="preserve">внутреннего финансового контроля и внутреннего финансового аудита </w:t>
      </w:r>
      <w:r w:rsidRPr="00EE7D69">
        <w:rPr>
          <w:rFonts w:ascii="Times New Roman" w:eastAsia="Times New Roman" w:hAnsi="Times New Roman" w:cs="Times New Roman"/>
          <w:i/>
          <w:sz w:val="24"/>
          <w:szCs w:val="24"/>
          <w:lang w:eastAsia="ru-RU"/>
        </w:rPr>
        <w:t xml:space="preserve">позволяют сделать вывод о сохранении в 2015 году низкого уровня осуществления </w:t>
      </w:r>
      <w:r w:rsidRPr="00EE7D69">
        <w:rPr>
          <w:rFonts w:ascii="Times New Roman" w:hAnsi="Times New Roman" w:cs="Times New Roman"/>
          <w:i/>
          <w:sz w:val="24"/>
          <w:szCs w:val="24"/>
        </w:rPr>
        <w:t>внутреннего финансового контроля</w:t>
      </w:r>
      <w:r w:rsidRPr="00EE7D69">
        <w:rPr>
          <w:rFonts w:ascii="Times New Roman" w:eastAsia="Times New Roman" w:hAnsi="Times New Roman" w:cs="Times New Roman"/>
          <w:i/>
          <w:sz w:val="24"/>
          <w:szCs w:val="24"/>
          <w:lang w:eastAsia="ru-RU"/>
        </w:rPr>
        <w:t>, фактическом отсутствии мероприятий по внутреннему финансовому аудиту, необходимости обеспечения системного подхода к организации работы.</w:t>
      </w:r>
    </w:p>
    <w:p w:rsidR="00FB2899" w:rsidRPr="00FB2899" w:rsidRDefault="00FB2899" w:rsidP="00FB2899">
      <w:pPr>
        <w:spacing w:after="0" w:line="240" w:lineRule="auto"/>
        <w:ind w:firstLine="709"/>
        <w:jc w:val="both"/>
        <w:rPr>
          <w:rFonts w:ascii="Times New Roman" w:eastAsia="Times New Roman" w:hAnsi="Times New Roman" w:cs="Times New Roman"/>
          <w:b/>
          <w:sz w:val="24"/>
          <w:szCs w:val="24"/>
          <w:lang w:eastAsia="ru-RU"/>
        </w:rPr>
      </w:pPr>
      <w:r w:rsidRPr="00FB2899">
        <w:rPr>
          <w:rFonts w:ascii="Times New Roman" w:eastAsia="Times New Roman" w:hAnsi="Times New Roman" w:cs="Times New Roman"/>
          <w:b/>
          <w:sz w:val="24"/>
          <w:szCs w:val="24"/>
          <w:lang w:eastAsia="ru-RU"/>
        </w:rPr>
        <w:t>Контрольно-счетная палата Амурской области считает возможным принятие проекта закона Амурской области «Об исполнении областного бюджета за 2015 год» в первом чтении и в целях устранения отмеченных в настоящем заключении замечаний и недопущения их при исполнении бюджета текущего года и будущих периодов предлагает Правительству Амурской области:</w:t>
      </w:r>
    </w:p>
    <w:p w:rsidR="00FB2899" w:rsidRPr="00FB2899" w:rsidRDefault="00FB2899" w:rsidP="0014690C">
      <w:pPr>
        <w:widowControl w:val="0"/>
        <w:numPr>
          <w:ilvl w:val="0"/>
          <w:numId w:val="46"/>
        </w:numPr>
        <w:tabs>
          <w:tab w:val="left" w:pos="709"/>
          <w:tab w:val="left" w:pos="851"/>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2899">
        <w:rPr>
          <w:rFonts w:ascii="Times New Roman" w:eastAsia="Times New Roman" w:hAnsi="Times New Roman" w:cs="Times New Roman"/>
          <w:sz w:val="24"/>
          <w:szCs w:val="24"/>
          <w:lang w:eastAsia="ru-RU"/>
        </w:rPr>
        <w:t>Принять меры по повышению уровня достоверности прогнозирования доходов областного бюджета, эффективности администрирования доходов, закрепленных за главными администраторами доходов областного бюджета.</w:t>
      </w:r>
    </w:p>
    <w:p w:rsidR="00FB2899" w:rsidRPr="00FB2899" w:rsidRDefault="00FB2899" w:rsidP="0014690C">
      <w:pPr>
        <w:widowControl w:val="0"/>
        <w:numPr>
          <w:ilvl w:val="0"/>
          <w:numId w:val="46"/>
        </w:numPr>
        <w:tabs>
          <w:tab w:val="left" w:pos="709"/>
          <w:tab w:val="left" w:pos="85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FB2899">
        <w:rPr>
          <w:rFonts w:ascii="Times New Roman" w:eastAsia="Times New Roman" w:hAnsi="Times New Roman" w:cs="Times New Roman"/>
          <w:sz w:val="24"/>
          <w:szCs w:val="24"/>
          <w:lang w:eastAsia="ru-RU"/>
        </w:rPr>
        <w:t>Продолжить работу по реализации комплекса мероприятий, направленных на развитие доходного потенциала области, позволяющих обеспечить исполнение расходных обязательств, а также снижение дефицита бюджета, повышение эффективности управления внутренними заимствованиями области с целью снижения долговой нагрузки на областной бюджет, обеспечить выполнение основных мероприятий по сокращению объема государственного долга Амурской области и дефицита областного бюджета, утвержденных р</w:t>
      </w:r>
      <w:r w:rsidRPr="00FB2899">
        <w:rPr>
          <w:rFonts w:ascii="Times New Roman" w:eastAsia="Calibri" w:hAnsi="Times New Roman" w:cs="Times New Roman"/>
          <w:sz w:val="24"/>
          <w:szCs w:val="24"/>
          <w:lang w:eastAsia="ru-RU"/>
        </w:rPr>
        <w:t>аспоряжением Правительства Амурской области от 23.01.2015 № 6-р «Об утверждении долговой политики Амурской области на 2015 и на плановый период 2016 и 2017 годов».</w:t>
      </w:r>
    </w:p>
    <w:p w:rsidR="00FB2899" w:rsidRPr="00FB2899" w:rsidRDefault="00FB2899" w:rsidP="0014690C">
      <w:pPr>
        <w:widowControl w:val="0"/>
        <w:numPr>
          <w:ilvl w:val="0"/>
          <w:numId w:val="46"/>
        </w:numPr>
        <w:tabs>
          <w:tab w:val="left" w:pos="709"/>
          <w:tab w:val="left" w:pos="85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FB2899">
        <w:rPr>
          <w:rFonts w:ascii="Times New Roman" w:eastAsia="Times New Roman" w:hAnsi="Times New Roman" w:cs="Times New Roman"/>
          <w:sz w:val="24"/>
          <w:szCs w:val="24"/>
          <w:lang w:eastAsia="ru-RU"/>
        </w:rPr>
        <w:t xml:space="preserve">В качестве дополнительных мер, направленных на </w:t>
      </w:r>
      <w:r w:rsidRPr="00FB2899">
        <w:rPr>
          <w:rFonts w:ascii="Times New Roman" w:hAnsi="Times New Roman" w:cs="Times New Roman"/>
          <w:sz w:val="24"/>
          <w:szCs w:val="24"/>
        </w:rPr>
        <w:t xml:space="preserve">увеличение доходов бюджета, рассмотреть вопрос включения объектов недвижимого имущества государственных бюджетных и автономных учреждений Амурской области, подлежащих реализации, в состав имущества казны, </w:t>
      </w:r>
      <w:r w:rsidRPr="00FB2899">
        <w:rPr>
          <w:rFonts w:ascii="Times New Roman" w:eastAsia="Times New Roman" w:hAnsi="Times New Roman" w:cs="Times New Roman"/>
          <w:sz w:val="24"/>
          <w:szCs w:val="24"/>
          <w:lang w:eastAsia="ru-RU"/>
        </w:rPr>
        <w:t>средства от продажи которого не являются доходами, подлежащими налогообложению налогом на прибыль организаций.</w:t>
      </w:r>
    </w:p>
    <w:p w:rsidR="00FB2899" w:rsidRPr="00FB2899" w:rsidRDefault="00FB2899" w:rsidP="0014690C">
      <w:pPr>
        <w:widowControl w:val="0"/>
        <w:numPr>
          <w:ilvl w:val="0"/>
          <w:numId w:val="46"/>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2899">
        <w:rPr>
          <w:rFonts w:ascii="Times New Roman" w:eastAsia="Times New Roman" w:hAnsi="Times New Roman" w:cs="Times New Roman"/>
          <w:sz w:val="24"/>
          <w:szCs w:val="24"/>
          <w:lang w:eastAsia="ru-RU"/>
        </w:rPr>
        <w:t>В целях обеспечения прозрачности расходов областного бюджета на стадии его реализации минимизировать объем отклонений показателей сводной бюджетной росписи от показателей закона об областном бюджете.</w:t>
      </w:r>
    </w:p>
    <w:p w:rsidR="00FB2899" w:rsidRPr="00FB2899" w:rsidRDefault="00FB2899" w:rsidP="0014690C">
      <w:pPr>
        <w:widowControl w:val="0"/>
        <w:numPr>
          <w:ilvl w:val="0"/>
          <w:numId w:val="46"/>
        </w:numPr>
        <w:tabs>
          <w:tab w:val="left" w:pos="709"/>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2899">
        <w:rPr>
          <w:rFonts w:ascii="Times New Roman" w:eastAsia="Times New Roman" w:hAnsi="Times New Roman" w:cs="Times New Roman"/>
          <w:sz w:val="24"/>
          <w:szCs w:val="24"/>
          <w:lang w:eastAsia="ru-RU"/>
        </w:rPr>
        <w:t>Обязать главных распорядителей бюджетных средств – координаторов и участников государственных программ Амурской области:</w:t>
      </w:r>
    </w:p>
    <w:p w:rsidR="00FB2899" w:rsidRPr="00FB2899" w:rsidRDefault="00FB2899" w:rsidP="00FB2899">
      <w:pPr>
        <w:widowControl w:val="0"/>
        <w:tabs>
          <w:tab w:val="left" w:pos="709"/>
          <w:tab w:val="left" w:pos="851"/>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899">
        <w:rPr>
          <w:rFonts w:ascii="Times New Roman" w:eastAsia="Times New Roman" w:hAnsi="Times New Roman" w:cs="Times New Roman"/>
          <w:sz w:val="24"/>
          <w:szCs w:val="24"/>
          <w:lang w:eastAsia="ru-RU"/>
        </w:rPr>
        <w:t>5.1.     Обеспечить соблюдение требований Порядка принятия решений о разработке государственных программ Амурской области, их формирования и реализации, а также проведения оценки эффективности, утвержденного постановлением Правительства Амурской области от 29.07.2013 № 329, при подготовке сводного годового доклада о ходе реализации и оценке эффективности государственных программ области в части соответствия показателей объема бюджетных ассигнований и показателей о кассовом исполнении государственных программ, отраженных в сводном годовом докладе, аналогичным показателям, утвержденным сводной бюджетной росписью расходов, и показателям годового отчета об исполнении областного бюджета.</w:t>
      </w:r>
    </w:p>
    <w:p w:rsidR="00FB2899" w:rsidRPr="00FB2899" w:rsidRDefault="00FB2899" w:rsidP="00FB2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899">
        <w:rPr>
          <w:rFonts w:ascii="Times New Roman" w:eastAsia="Times New Roman" w:hAnsi="Times New Roman" w:cs="Times New Roman"/>
          <w:sz w:val="24"/>
          <w:szCs w:val="24"/>
          <w:lang w:eastAsia="ru-RU"/>
        </w:rPr>
        <w:t>5.2. В целях эффективного использования бюджетных ассигнований, предусмотренных на реализацию государственных программ, обеспечить достижение целевых показателей и планируемых результатов, установленных</w:t>
      </w:r>
      <w:r>
        <w:rPr>
          <w:rFonts w:ascii="Times New Roman" w:eastAsia="Times New Roman" w:hAnsi="Times New Roman" w:cs="Times New Roman"/>
          <w:sz w:val="24"/>
          <w:szCs w:val="24"/>
          <w:lang w:eastAsia="ru-RU"/>
        </w:rPr>
        <w:t xml:space="preserve"> государственными программами.</w:t>
      </w:r>
    </w:p>
    <w:p w:rsidR="00FB2899" w:rsidRPr="00FB2899" w:rsidRDefault="00FB2899" w:rsidP="00FB2899">
      <w:pPr>
        <w:widowControl w:val="0"/>
        <w:tabs>
          <w:tab w:val="left" w:pos="540"/>
          <w:tab w:val="left" w:pos="709"/>
          <w:tab w:val="left" w:pos="851"/>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899">
        <w:rPr>
          <w:rFonts w:ascii="Times New Roman" w:eastAsia="Times New Roman" w:hAnsi="Times New Roman" w:cs="Times New Roman"/>
          <w:sz w:val="24"/>
          <w:szCs w:val="24"/>
          <w:lang w:eastAsia="ru-RU"/>
        </w:rPr>
        <w:t>5.3.     Принять меры к повышению качества планирования расходов по мероприятиям государственных программ, предусматривающим бюджетные инвестиции в объекты капитального строительства. Расходы на изготовление проектно-сметной документации, строительство и реконструкцию вновь начинаемых объектов государственной собственности области осуществлять при наличии ресурсного обеспечения, реальных возможностей и перспектив строительства.</w:t>
      </w:r>
    </w:p>
    <w:p w:rsidR="00FB2899" w:rsidRPr="00FB2899" w:rsidRDefault="00FB2899" w:rsidP="0014690C">
      <w:pPr>
        <w:widowControl w:val="0"/>
        <w:numPr>
          <w:ilvl w:val="0"/>
          <w:numId w:val="4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B2899">
        <w:rPr>
          <w:rFonts w:ascii="Times New Roman" w:hAnsi="Times New Roman" w:cs="Times New Roman"/>
          <w:sz w:val="24"/>
          <w:szCs w:val="24"/>
        </w:rPr>
        <w:lastRenderedPageBreak/>
        <w:t>При формировании расходов областного бюджета учитывать целесообразность отнесения отдельных непрограммных расходов, по которым установлены цели и имеется возможность установить конечный результат их достижения, к расходам, учитываемым в составе мероприятий государственных программ.</w:t>
      </w:r>
    </w:p>
    <w:p w:rsidR="00FB2899" w:rsidRPr="00FB2899" w:rsidRDefault="00FB2899" w:rsidP="0014690C">
      <w:pPr>
        <w:widowControl w:val="0"/>
        <w:numPr>
          <w:ilvl w:val="0"/>
          <w:numId w:val="46"/>
        </w:numPr>
        <w:tabs>
          <w:tab w:val="left" w:pos="709"/>
          <w:tab w:val="left" w:pos="851"/>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4"/>
          <w:szCs w:val="24"/>
          <w:lang w:eastAsia="ru-RU"/>
        </w:rPr>
      </w:pPr>
      <w:r w:rsidRPr="00FB2899">
        <w:rPr>
          <w:rFonts w:ascii="Times New Roman" w:eastAsia="Times New Roman" w:hAnsi="Times New Roman" w:cs="Times New Roman"/>
          <w:sz w:val="24"/>
          <w:szCs w:val="24"/>
          <w:lang w:eastAsia="ru-RU"/>
        </w:rPr>
        <w:t>Принять необходимые меры по соблюдению условий предоставления за счет средств федерального бюджета межбюджетных трансфертов в части обеспечения установленного соглашениями уровня софинансирования мероприятий государственных программ за счет средств областного бюджета, в том числе в целях исключения возможности принятия предусмотренных статьей 306.8. Бюджетного кодекса Российской Федерации решений о бесспорном взыскании сумм межбюджетных трансфертов и (или) приостановления (сокращения) предоставления межбюджетных трансфертов.</w:t>
      </w:r>
    </w:p>
    <w:p w:rsidR="00FB2899" w:rsidRPr="00FB2899" w:rsidRDefault="00FB2899" w:rsidP="0014690C">
      <w:pPr>
        <w:widowControl w:val="0"/>
        <w:numPr>
          <w:ilvl w:val="0"/>
          <w:numId w:val="46"/>
        </w:numPr>
        <w:tabs>
          <w:tab w:val="left" w:pos="709"/>
          <w:tab w:val="left" w:pos="851"/>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B2899">
        <w:rPr>
          <w:rFonts w:ascii="Times New Roman" w:eastAsia="Times New Roman" w:hAnsi="Times New Roman" w:cs="Times New Roman"/>
          <w:sz w:val="24"/>
          <w:szCs w:val="24"/>
          <w:lang w:eastAsia="ru-RU"/>
        </w:rPr>
        <w:t>В целях обеспечения эффективного расходования бюджетных средств обязать главных распорядителей средств областного бюджета обеспечить своевременное и полное использование целевых средств, поступающих из федерального бюджета</w:t>
      </w:r>
      <w:r w:rsidRPr="00FB2899">
        <w:rPr>
          <w:rFonts w:ascii="Times New Roman" w:hAnsi="Times New Roman" w:cs="Times New Roman"/>
          <w:sz w:val="24"/>
          <w:szCs w:val="24"/>
        </w:rPr>
        <w:t>.</w:t>
      </w:r>
      <w:r w:rsidRPr="00FB2899">
        <w:rPr>
          <w:rFonts w:ascii="Times New Roman" w:eastAsia="Times New Roman" w:hAnsi="Times New Roman" w:cs="Times New Roman"/>
          <w:sz w:val="24"/>
          <w:szCs w:val="24"/>
          <w:lang w:eastAsia="ru-RU"/>
        </w:rPr>
        <w:t xml:space="preserve"> В случае перечисления остатков неиспользованных целевых средств в федеральный бюджет, принять меры к их возврату и максимально возможному использованию в текущем финансовом году.</w:t>
      </w:r>
    </w:p>
    <w:p w:rsidR="00FB2899" w:rsidRPr="00FB2899" w:rsidRDefault="00FB2899" w:rsidP="0014690C">
      <w:pPr>
        <w:widowControl w:val="0"/>
        <w:numPr>
          <w:ilvl w:val="0"/>
          <w:numId w:val="46"/>
        </w:numPr>
        <w:tabs>
          <w:tab w:val="left" w:pos="709"/>
          <w:tab w:val="left" w:pos="851"/>
          <w:tab w:val="left" w:pos="1418"/>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4"/>
          <w:szCs w:val="24"/>
          <w:lang w:eastAsia="ru-RU"/>
        </w:rPr>
      </w:pPr>
      <w:r w:rsidRPr="00FB2899">
        <w:rPr>
          <w:rFonts w:ascii="Times New Roman" w:eastAsia="Times New Roman" w:hAnsi="Times New Roman" w:cs="Times New Roman"/>
          <w:sz w:val="24"/>
          <w:szCs w:val="24"/>
          <w:lang w:eastAsia="ru-RU"/>
        </w:rPr>
        <w:t>В целях принятия мер по предотвращению рисков неэффективного использования бюджетных средств, выделенных в виде инвестиций на государственные капитальные вложения, разработать комплекс мероприятий, направленных на завершение строительства объектов с высокой степенью готовности, принятие решений о консервации объектов, не предусмотренных для завершения строительством, и выработку предложений по их дальнейшему использованию.</w:t>
      </w:r>
    </w:p>
    <w:p w:rsidR="00FB2899" w:rsidRPr="00FB2899" w:rsidRDefault="00FB2899" w:rsidP="0014690C">
      <w:pPr>
        <w:widowControl w:val="0"/>
        <w:numPr>
          <w:ilvl w:val="0"/>
          <w:numId w:val="4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B2899">
        <w:rPr>
          <w:rFonts w:ascii="Times New Roman" w:eastAsia="Times New Roman" w:hAnsi="Times New Roman" w:cs="Times New Roman"/>
          <w:sz w:val="24"/>
          <w:szCs w:val="24"/>
          <w:lang w:eastAsia="ru-RU"/>
        </w:rPr>
        <w:t xml:space="preserve">Обратить внимание главных администраторов бюджетных средств на необходимость исполнения полномочий по осуществлению внутреннего финансового аудита, вопросами которого в соответствии с </w:t>
      </w:r>
      <w:hyperlink r:id="rId80" w:history="1">
        <w:r w:rsidRPr="00FB2899">
          <w:rPr>
            <w:rFonts w:ascii="Times New Roman" w:eastAsia="Times New Roman" w:hAnsi="Times New Roman" w:cs="Times New Roman"/>
            <w:sz w:val="24"/>
            <w:szCs w:val="24"/>
            <w:lang w:eastAsia="ru-RU"/>
          </w:rPr>
          <w:t>Порядк</w:t>
        </w:r>
      </w:hyperlink>
      <w:r w:rsidRPr="00FB2899">
        <w:rPr>
          <w:rFonts w:ascii="Times New Roman" w:eastAsia="Times New Roman" w:hAnsi="Times New Roman" w:cs="Times New Roman"/>
          <w:sz w:val="24"/>
          <w:szCs w:val="24"/>
          <w:lang w:eastAsia="ru-RU"/>
        </w:rPr>
        <w:t>ом осуществления внутреннего финансового контроля и внутреннего финансового аудита, утвержденным Постановлением Правительства Амурской области от 30.06.2011 № 439 (ред. от 01.11.2013), являются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FB2899" w:rsidRPr="00FB2899" w:rsidRDefault="00FB2899" w:rsidP="0014690C">
      <w:pPr>
        <w:numPr>
          <w:ilvl w:val="0"/>
          <w:numId w:val="46"/>
        </w:numPr>
        <w:spacing w:after="0" w:line="240" w:lineRule="auto"/>
        <w:ind w:left="0" w:firstLine="709"/>
        <w:contextualSpacing/>
        <w:jc w:val="both"/>
        <w:rPr>
          <w:rFonts w:ascii="Times New Roman" w:hAnsi="Times New Roman" w:cs="Times New Roman"/>
          <w:sz w:val="24"/>
          <w:szCs w:val="24"/>
        </w:rPr>
      </w:pPr>
      <w:r w:rsidRPr="00FB2899">
        <w:rPr>
          <w:rFonts w:ascii="Times New Roman" w:eastAsia="Times New Roman" w:hAnsi="Times New Roman" w:cs="Times New Roman"/>
          <w:sz w:val="24"/>
          <w:szCs w:val="24"/>
          <w:lang w:eastAsia="ru-RU"/>
        </w:rPr>
        <w:t xml:space="preserve">В целях повышения эффективности и действенности внутреннего финансового контроля, усиления мер ответственности, рассмотреть вопрос внесения изменений в </w:t>
      </w:r>
      <w:hyperlink r:id="rId81" w:history="1">
        <w:r w:rsidRPr="00FB2899">
          <w:rPr>
            <w:rFonts w:ascii="Times New Roman" w:eastAsia="Times New Roman" w:hAnsi="Times New Roman" w:cs="Times New Roman"/>
            <w:sz w:val="24"/>
            <w:szCs w:val="24"/>
            <w:lang w:eastAsia="ru-RU"/>
          </w:rPr>
          <w:t>Порядок</w:t>
        </w:r>
      </w:hyperlink>
      <w:r w:rsidRPr="00FB2899">
        <w:rPr>
          <w:rFonts w:ascii="Times New Roman" w:eastAsia="Times New Roman" w:hAnsi="Times New Roman" w:cs="Times New Roman"/>
          <w:sz w:val="24"/>
          <w:szCs w:val="24"/>
          <w:lang w:eastAsia="ru-RU"/>
        </w:rPr>
        <w:t xml:space="preserve"> осуществления </w:t>
      </w:r>
      <w:r w:rsidRPr="00FB2899">
        <w:rPr>
          <w:rFonts w:ascii="Times New Roman" w:hAnsi="Times New Roman" w:cs="Times New Roman"/>
          <w:sz w:val="24"/>
          <w:szCs w:val="24"/>
        </w:rPr>
        <w:t>внутреннего финансового контроля и внутреннего финансового аудита, утвержденный</w:t>
      </w:r>
      <w:r w:rsidRPr="00FB2899">
        <w:rPr>
          <w:rFonts w:ascii="Times New Roman" w:eastAsia="Times New Roman" w:hAnsi="Times New Roman" w:cs="Times New Roman"/>
          <w:sz w:val="24"/>
          <w:szCs w:val="24"/>
          <w:lang w:eastAsia="ru-RU"/>
        </w:rPr>
        <w:t xml:space="preserve"> Постановлением Правительства Амурской области от 30.06.2011 № 439, в части </w:t>
      </w:r>
      <w:r w:rsidRPr="00FB2899">
        <w:rPr>
          <w:rFonts w:ascii="Times New Roman" w:hAnsi="Times New Roman" w:cs="Times New Roman"/>
          <w:sz w:val="24"/>
          <w:szCs w:val="24"/>
        </w:rPr>
        <w:t xml:space="preserve">установления требований о направлении материалов проверок по фактам </w:t>
      </w:r>
      <w:r w:rsidRPr="00FB2899">
        <w:rPr>
          <w:rFonts w:ascii="Times New Roman" w:eastAsia="Times New Roman" w:hAnsi="Times New Roman" w:cs="Times New Roman"/>
          <w:sz w:val="24"/>
          <w:szCs w:val="24"/>
          <w:lang w:eastAsia="ru-RU"/>
        </w:rPr>
        <w:t xml:space="preserve">нарушений, за совершение которых </w:t>
      </w:r>
      <w:r w:rsidRPr="00FB2899">
        <w:rPr>
          <w:rFonts w:ascii="Times New Roman" w:hAnsi="Times New Roman" w:cs="Times New Roman"/>
          <w:sz w:val="24"/>
          <w:szCs w:val="24"/>
        </w:rPr>
        <w:t>применяются бюджетные меры принуждения, а также предусмотрена административная ответственность, в адрес министерства финансов области для принятия решений о применении бюджетных мер принуждения и рассмотрения вопроса о возбуждении дел об а</w:t>
      </w:r>
      <w:r>
        <w:rPr>
          <w:rFonts w:ascii="Times New Roman" w:hAnsi="Times New Roman" w:cs="Times New Roman"/>
          <w:sz w:val="24"/>
          <w:szCs w:val="24"/>
        </w:rPr>
        <w:t>дминистративном правонарушении.</w:t>
      </w:r>
    </w:p>
    <w:p w:rsidR="00FB2899" w:rsidRPr="00FB2899" w:rsidRDefault="00FB2899" w:rsidP="0014690C">
      <w:pPr>
        <w:widowControl w:val="0"/>
        <w:numPr>
          <w:ilvl w:val="0"/>
          <w:numId w:val="46"/>
        </w:numPr>
        <w:tabs>
          <w:tab w:val="left" w:pos="709"/>
          <w:tab w:val="left" w:pos="851"/>
          <w:tab w:val="left" w:pos="993"/>
          <w:tab w:val="left" w:pos="1418"/>
        </w:tabs>
        <w:autoSpaceDE w:val="0"/>
        <w:autoSpaceDN w:val="0"/>
        <w:adjustRightInd w:val="0"/>
        <w:spacing w:after="0" w:line="240" w:lineRule="auto"/>
        <w:ind w:left="0" w:firstLine="709"/>
        <w:contextualSpacing/>
        <w:jc w:val="both"/>
        <w:outlineLvl w:val="3"/>
        <w:rPr>
          <w:rFonts w:ascii="Times New Roman" w:eastAsia="Times New Roman" w:hAnsi="Times New Roman" w:cs="Times New Roman"/>
          <w:sz w:val="24"/>
          <w:szCs w:val="24"/>
          <w:lang w:eastAsia="ru-RU"/>
        </w:rPr>
      </w:pPr>
      <w:r w:rsidRPr="00FB2899">
        <w:rPr>
          <w:rFonts w:ascii="Times New Roman" w:eastAsia="Times New Roman" w:hAnsi="Times New Roman" w:cs="Times New Roman"/>
          <w:sz w:val="24"/>
          <w:szCs w:val="24"/>
          <w:lang w:eastAsia="ru-RU"/>
        </w:rPr>
        <w:t xml:space="preserve">Обязать руководителей министерств и управлений - главных распорядителей средств областного бюджета, принять меры по обеспечению в полном объеме бюджетных полномочий главных распорядителей бюджетных средств по организации и осуществлению внутреннего финансового контроля и </w:t>
      </w:r>
      <w:r>
        <w:rPr>
          <w:rFonts w:ascii="Times New Roman" w:eastAsia="Times New Roman" w:hAnsi="Times New Roman" w:cs="Times New Roman"/>
          <w:sz w:val="24"/>
          <w:szCs w:val="24"/>
          <w:lang w:eastAsia="ru-RU"/>
        </w:rPr>
        <w:t>внутреннего финансового аудита.</w:t>
      </w:r>
    </w:p>
    <w:p w:rsidR="00FB2899" w:rsidRPr="00FB2899" w:rsidRDefault="00FB2899" w:rsidP="00FB2899">
      <w:pPr>
        <w:spacing w:after="0" w:line="240" w:lineRule="auto"/>
        <w:ind w:firstLine="709"/>
      </w:pPr>
    </w:p>
    <w:p w:rsidR="00FB2899" w:rsidRDefault="00FB2899" w:rsidP="00FB2899">
      <w:pPr>
        <w:spacing w:after="0" w:line="240" w:lineRule="auto"/>
        <w:ind w:firstLine="709"/>
      </w:pPr>
    </w:p>
    <w:p w:rsidR="00FB2899" w:rsidRDefault="00FB2899" w:rsidP="00FB2899">
      <w:pPr>
        <w:spacing w:after="0" w:line="240" w:lineRule="auto"/>
        <w:ind w:firstLine="709"/>
      </w:pPr>
      <w:bookmarkStart w:id="5" w:name="_GoBack"/>
      <w:bookmarkEnd w:id="5"/>
    </w:p>
    <w:p w:rsidR="00FB2899" w:rsidRPr="00FB2899" w:rsidRDefault="00FB2899" w:rsidP="00FB2899">
      <w:pPr>
        <w:spacing w:after="0" w:line="240" w:lineRule="auto"/>
        <w:ind w:firstLine="709"/>
      </w:pPr>
    </w:p>
    <w:p w:rsidR="00FB2899" w:rsidRPr="00FB2899" w:rsidRDefault="00FB2899" w:rsidP="00FB2899">
      <w:pPr>
        <w:spacing w:after="0" w:line="240" w:lineRule="auto"/>
        <w:ind w:firstLine="709"/>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B2899" w:rsidRPr="00FB2899" w:rsidTr="00B00992">
        <w:tc>
          <w:tcPr>
            <w:tcW w:w="4926" w:type="dxa"/>
          </w:tcPr>
          <w:p w:rsidR="00FB2899" w:rsidRPr="00FB2899" w:rsidRDefault="00FB2899" w:rsidP="00FB2899">
            <w:r w:rsidRPr="00FB2899">
              <w:rPr>
                <w:rFonts w:ascii="Times New Roman" w:hAnsi="Times New Roman" w:cs="Times New Roman"/>
                <w:sz w:val="24"/>
                <w:szCs w:val="24"/>
              </w:rPr>
              <w:t>Председатель</w:t>
            </w:r>
            <w:r w:rsidRPr="00FB2899">
              <w:rPr>
                <w:rFonts w:ascii="Times New Roman" w:hAnsi="Times New Roman" w:cs="Times New Roman"/>
                <w:sz w:val="24"/>
                <w:szCs w:val="24"/>
              </w:rPr>
              <w:tab/>
            </w:r>
          </w:p>
        </w:tc>
        <w:tc>
          <w:tcPr>
            <w:tcW w:w="4927" w:type="dxa"/>
          </w:tcPr>
          <w:p w:rsidR="00FB2899" w:rsidRPr="00FB2899" w:rsidRDefault="00FB2899" w:rsidP="00FB2899">
            <w:pPr>
              <w:jc w:val="right"/>
            </w:pPr>
            <w:r w:rsidRPr="00FB2899">
              <w:rPr>
                <w:rFonts w:ascii="Times New Roman" w:hAnsi="Times New Roman" w:cs="Times New Roman"/>
                <w:sz w:val="24"/>
                <w:szCs w:val="24"/>
              </w:rPr>
              <w:t>О.М. Бродская</w:t>
            </w:r>
          </w:p>
        </w:tc>
      </w:tr>
    </w:tbl>
    <w:p w:rsidR="001A299F" w:rsidRPr="001A299F" w:rsidRDefault="001A299F" w:rsidP="00FB2899">
      <w:pPr>
        <w:autoSpaceDE w:val="0"/>
        <w:autoSpaceDN w:val="0"/>
        <w:adjustRightInd w:val="0"/>
        <w:spacing w:after="0" w:line="240" w:lineRule="auto"/>
        <w:ind w:firstLine="720"/>
        <w:jc w:val="both"/>
        <w:outlineLvl w:val="0"/>
        <w:rPr>
          <w:rFonts w:ascii="Times New Roman" w:hAnsi="Times New Roman" w:cs="Times New Roman"/>
          <w:sz w:val="24"/>
          <w:szCs w:val="24"/>
        </w:rPr>
      </w:pPr>
    </w:p>
    <w:sectPr w:rsidR="001A299F" w:rsidRPr="001A299F" w:rsidSect="006B57D3">
      <w:footerReference w:type="default" r:id="rId8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C1" w:rsidRDefault="00FF71C1" w:rsidP="00C84029">
      <w:pPr>
        <w:spacing w:after="0" w:line="240" w:lineRule="auto"/>
      </w:pPr>
      <w:r>
        <w:separator/>
      </w:r>
    </w:p>
  </w:endnote>
  <w:endnote w:type="continuationSeparator" w:id="0">
    <w:p w:rsidR="00FF71C1" w:rsidRDefault="00FF71C1" w:rsidP="00C8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083804"/>
      <w:docPartObj>
        <w:docPartGallery w:val="Page Numbers (Bottom of Page)"/>
        <w:docPartUnique/>
      </w:docPartObj>
    </w:sdtPr>
    <w:sdtEndPr/>
    <w:sdtContent>
      <w:p w:rsidR="00B00992" w:rsidRDefault="00B00992">
        <w:pPr>
          <w:pStyle w:val="a9"/>
          <w:jc w:val="center"/>
        </w:pPr>
        <w:r>
          <w:fldChar w:fldCharType="begin"/>
        </w:r>
        <w:r>
          <w:instrText>PAGE   \* MERGEFORMAT</w:instrText>
        </w:r>
        <w:r>
          <w:fldChar w:fldCharType="separate"/>
        </w:r>
        <w:r w:rsidR="00184BC0">
          <w:rPr>
            <w:noProof/>
          </w:rPr>
          <w:t>145</w:t>
        </w:r>
        <w:r>
          <w:fldChar w:fldCharType="end"/>
        </w:r>
      </w:p>
    </w:sdtContent>
  </w:sdt>
  <w:p w:rsidR="00B00992" w:rsidRDefault="00B009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C1" w:rsidRDefault="00FF71C1" w:rsidP="00C84029">
      <w:pPr>
        <w:spacing w:after="0" w:line="240" w:lineRule="auto"/>
      </w:pPr>
      <w:r>
        <w:separator/>
      </w:r>
    </w:p>
  </w:footnote>
  <w:footnote w:type="continuationSeparator" w:id="0">
    <w:p w:rsidR="00FF71C1" w:rsidRDefault="00FF71C1" w:rsidP="00C84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76C"/>
    <w:multiLevelType w:val="hybridMultilevel"/>
    <w:tmpl w:val="4E3CE8EC"/>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
    <w:nsid w:val="03A62F01"/>
    <w:multiLevelType w:val="hybridMultilevel"/>
    <w:tmpl w:val="9176D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B11791"/>
    <w:multiLevelType w:val="hybridMultilevel"/>
    <w:tmpl w:val="AD5AC5FA"/>
    <w:lvl w:ilvl="0" w:tplc="8414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E489E"/>
    <w:multiLevelType w:val="hybridMultilevel"/>
    <w:tmpl w:val="1B389192"/>
    <w:lvl w:ilvl="0" w:tplc="93EC27D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6075E5"/>
    <w:multiLevelType w:val="hybridMultilevel"/>
    <w:tmpl w:val="3A7032F2"/>
    <w:lvl w:ilvl="0" w:tplc="93EC27D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962A3"/>
    <w:multiLevelType w:val="hybridMultilevel"/>
    <w:tmpl w:val="ACFA61A2"/>
    <w:lvl w:ilvl="0" w:tplc="8414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2A75D5"/>
    <w:multiLevelType w:val="hybridMultilevel"/>
    <w:tmpl w:val="92321C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1D08A7"/>
    <w:multiLevelType w:val="hybridMultilevel"/>
    <w:tmpl w:val="5704BE30"/>
    <w:lvl w:ilvl="0" w:tplc="B986F37E">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8">
    <w:nsid w:val="16FA1AE9"/>
    <w:multiLevelType w:val="hybridMultilevel"/>
    <w:tmpl w:val="1A0EF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018C2"/>
    <w:multiLevelType w:val="hybridMultilevel"/>
    <w:tmpl w:val="1682DF2A"/>
    <w:lvl w:ilvl="0" w:tplc="8DC67AD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83013BE"/>
    <w:multiLevelType w:val="hybridMultilevel"/>
    <w:tmpl w:val="423C5EF6"/>
    <w:lvl w:ilvl="0" w:tplc="93EC27D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24096B"/>
    <w:multiLevelType w:val="hybridMultilevel"/>
    <w:tmpl w:val="0D7E0B54"/>
    <w:lvl w:ilvl="0" w:tplc="8414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D357DC"/>
    <w:multiLevelType w:val="hybridMultilevel"/>
    <w:tmpl w:val="BA888FD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7162FE"/>
    <w:multiLevelType w:val="hybridMultilevel"/>
    <w:tmpl w:val="D6783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E72B0F"/>
    <w:multiLevelType w:val="hybridMultilevel"/>
    <w:tmpl w:val="25405A7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472B36"/>
    <w:multiLevelType w:val="hybridMultilevel"/>
    <w:tmpl w:val="014AE9F4"/>
    <w:lvl w:ilvl="0" w:tplc="91000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387DBE"/>
    <w:multiLevelType w:val="hybridMultilevel"/>
    <w:tmpl w:val="52F86B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BF7021"/>
    <w:multiLevelType w:val="hybridMultilevel"/>
    <w:tmpl w:val="413AC5FC"/>
    <w:lvl w:ilvl="0" w:tplc="04190005">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8">
    <w:nsid w:val="30E153DA"/>
    <w:multiLevelType w:val="hybridMultilevel"/>
    <w:tmpl w:val="39B093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291D0D"/>
    <w:multiLevelType w:val="hybridMultilevel"/>
    <w:tmpl w:val="680272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0B673E"/>
    <w:multiLevelType w:val="hybridMultilevel"/>
    <w:tmpl w:val="1C4048EE"/>
    <w:lvl w:ilvl="0" w:tplc="04190005">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1">
    <w:nsid w:val="3B8A6F7B"/>
    <w:multiLevelType w:val="hybridMultilevel"/>
    <w:tmpl w:val="2884C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286562"/>
    <w:multiLevelType w:val="hybridMultilevel"/>
    <w:tmpl w:val="52AE4FEA"/>
    <w:lvl w:ilvl="0" w:tplc="8DC67A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CE3279"/>
    <w:multiLevelType w:val="hybridMultilevel"/>
    <w:tmpl w:val="0ED425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22129D4"/>
    <w:multiLevelType w:val="hybridMultilevel"/>
    <w:tmpl w:val="BBC0606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3A71EF6"/>
    <w:multiLevelType w:val="hybridMultilevel"/>
    <w:tmpl w:val="D772B4C4"/>
    <w:lvl w:ilvl="0" w:tplc="8414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345332"/>
    <w:multiLevelType w:val="hybridMultilevel"/>
    <w:tmpl w:val="E60AC6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1468E7"/>
    <w:multiLevelType w:val="hybridMultilevel"/>
    <w:tmpl w:val="71763C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CB0513A"/>
    <w:multiLevelType w:val="hybridMultilevel"/>
    <w:tmpl w:val="EABCED90"/>
    <w:lvl w:ilvl="0" w:tplc="9C388DD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E167026"/>
    <w:multiLevelType w:val="hybridMultilevel"/>
    <w:tmpl w:val="9808D98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A20A95"/>
    <w:multiLevelType w:val="hybridMultilevel"/>
    <w:tmpl w:val="7ED0914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333A31"/>
    <w:multiLevelType w:val="hybridMultilevel"/>
    <w:tmpl w:val="58D687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75D4D04"/>
    <w:multiLevelType w:val="hybridMultilevel"/>
    <w:tmpl w:val="B97A26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82653E"/>
    <w:multiLevelType w:val="hybridMultilevel"/>
    <w:tmpl w:val="CA38503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4">
    <w:nsid w:val="5CEB5CF6"/>
    <w:multiLevelType w:val="hybridMultilevel"/>
    <w:tmpl w:val="16D421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597D97"/>
    <w:multiLevelType w:val="hybridMultilevel"/>
    <w:tmpl w:val="A8B0EE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A0E5E37"/>
    <w:multiLevelType w:val="hybridMultilevel"/>
    <w:tmpl w:val="6C743766"/>
    <w:lvl w:ilvl="0" w:tplc="9C388DD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056C93"/>
    <w:multiLevelType w:val="hybridMultilevel"/>
    <w:tmpl w:val="19C04AB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BF6186C"/>
    <w:multiLevelType w:val="hybridMultilevel"/>
    <w:tmpl w:val="CDDAB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1F3040"/>
    <w:multiLevelType w:val="hybridMultilevel"/>
    <w:tmpl w:val="6FC8DBE6"/>
    <w:lvl w:ilvl="0" w:tplc="8DC67A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EF3136"/>
    <w:multiLevelType w:val="hybridMultilevel"/>
    <w:tmpl w:val="5FA2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C061B"/>
    <w:multiLevelType w:val="hybridMultilevel"/>
    <w:tmpl w:val="CCB61E0E"/>
    <w:lvl w:ilvl="0" w:tplc="8414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5321BB"/>
    <w:multiLevelType w:val="hybridMultilevel"/>
    <w:tmpl w:val="8D240624"/>
    <w:lvl w:ilvl="0" w:tplc="8DC67A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7816EB"/>
    <w:multiLevelType w:val="hybridMultilevel"/>
    <w:tmpl w:val="FAD6A5AE"/>
    <w:lvl w:ilvl="0" w:tplc="91000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D83E67"/>
    <w:multiLevelType w:val="hybridMultilevel"/>
    <w:tmpl w:val="7144D2B2"/>
    <w:lvl w:ilvl="0" w:tplc="9C388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EE3248"/>
    <w:multiLevelType w:val="multilevel"/>
    <w:tmpl w:val="D180A1E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35"/>
  </w:num>
  <w:num w:numId="3">
    <w:abstractNumId w:val="28"/>
  </w:num>
  <w:num w:numId="4">
    <w:abstractNumId w:val="36"/>
  </w:num>
  <w:num w:numId="5">
    <w:abstractNumId w:val="23"/>
  </w:num>
  <w:num w:numId="6">
    <w:abstractNumId w:val="40"/>
  </w:num>
  <w:num w:numId="7">
    <w:abstractNumId w:val="30"/>
  </w:num>
  <w:num w:numId="8">
    <w:abstractNumId w:val="20"/>
  </w:num>
  <w:num w:numId="9">
    <w:abstractNumId w:val="12"/>
  </w:num>
  <w:num w:numId="10">
    <w:abstractNumId w:val="22"/>
  </w:num>
  <w:num w:numId="11">
    <w:abstractNumId w:val="39"/>
  </w:num>
  <w:num w:numId="12">
    <w:abstractNumId w:val="42"/>
  </w:num>
  <w:num w:numId="13">
    <w:abstractNumId w:val="17"/>
  </w:num>
  <w:num w:numId="14">
    <w:abstractNumId w:val="9"/>
  </w:num>
  <w:num w:numId="15">
    <w:abstractNumId w:val="44"/>
  </w:num>
  <w:num w:numId="16">
    <w:abstractNumId w:val="33"/>
  </w:num>
  <w:num w:numId="17">
    <w:abstractNumId w:val="13"/>
  </w:num>
  <w:num w:numId="18">
    <w:abstractNumId w:val="1"/>
  </w:num>
  <w:num w:numId="19">
    <w:abstractNumId w:val="0"/>
  </w:num>
  <w:num w:numId="20">
    <w:abstractNumId w:val="38"/>
  </w:num>
  <w:num w:numId="21">
    <w:abstractNumId w:val="18"/>
  </w:num>
  <w:num w:numId="22">
    <w:abstractNumId w:val="21"/>
  </w:num>
  <w:num w:numId="23">
    <w:abstractNumId w:val="29"/>
  </w:num>
  <w:num w:numId="24">
    <w:abstractNumId w:val="34"/>
  </w:num>
  <w:num w:numId="25">
    <w:abstractNumId w:val="16"/>
  </w:num>
  <w:num w:numId="26">
    <w:abstractNumId w:val="7"/>
  </w:num>
  <w:num w:numId="27">
    <w:abstractNumId w:val="26"/>
  </w:num>
  <w:num w:numId="28">
    <w:abstractNumId w:val="4"/>
  </w:num>
  <w:num w:numId="29">
    <w:abstractNumId w:val="24"/>
  </w:num>
  <w:num w:numId="30">
    <w:abstractNumId w:val="8"/>
  </w:num>
  <w:num w:numId="31">
    <w:abstractNumId w:val="31"/>
  </w:num>
  <w:num w:numId="32">
    <w:abstractNumId w:val="11"/>
  </w:num>
  <w:num w:numId="33">
    <w:abstractNumId w:val="10"/>
  </w:num>
  <w:num w:numId="34">
    <w:abstractNumId w:val="14"/>
  </w:num>
  <w:num w:numId="35">
    <w:abstractNumId w:val="27"/>
  </w:num>
  <w:num w:numId="36">
    <w:abstractNumId w:val="6"/>
  </w:num>
  <w:num w:numId="37">
    <w:abstractNumId w:val="32"/>
  </w:num>
  <w:num w:numId="38">
    <w:abstractNumId w:val="3"/>
  </w:num>
  <w:num w:numId="39">
    <w:abstractNumId w:val="41"/>
  </w:num>
  <w:num w:numId="40">
    <w:abstractNumId w:val="2"/>
  </w:num>
  <w:num w:numId="41">
    <w:abstractNumId w:val="25"/>
  </w:num>
  <w:num w:numId="42">
    <w:abstractNumId w:val="43"/>
  </w:num>
  <w:num w:numId="43">
    <w:abstractNumId w:val="37"/>
  </w:num>
  <w:num w:numId="44">
    <w:abstractNumId w:val="5"/>
  </w:num>
  <w:num w:numId="45">
    <w:abstractNumId w:val="15"/>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3F"/>
    <w:rsid w:val="00000120"/>
    <w:rsid w:val="00001E17"/>
    <w:rsid w:val="00002DED"/>
    <w:rsid w:val="0000549F"/>
    <w:rsid w:val="00006816"/>
    <w:rsid w:val="00012B86"/>
    <w:rsid w:val="00012C25"/>
    <w:rsid w:val="00012C3C"/>
    <w:rsid w:val="00016529"/>
    <w:rsid w:val="00023E07"/>
    <w:rsid w:val="00025266"/>
    <w:rsid w:val="00025C3D"/>
    <w:rsid w:val="000263F2"/>
    <w:rsid w:val="00034DB4"/>
    <w:rsid w:val="00035F40"/>
    <w:rsid w:val="00036D7E"/>
    <w:rsid w:val="00040B06"/>
    <w:rsid w:val="00041754"/>
    <w:rsid w:val="00042D29"/>
    <w:rsid w:val="00046914"/>
    <w:rsid w:val="00047382"/>
    <w:rsid w:val="00051CCD"/>
    <w:rsid w:val="00052B58"/>
    <w:rsid w:val="000542B7"/>
    <w:rsid w:val="00055DA4"/>
    <w:rsid w:val="000670AE"/>
    <w:rsid w:val="000675B8"/>
    <w:rsid w:val="00071127"/>
    <w:rsid w:val="00086906"/>
    <w:rsid w:val="000911A1"/>
    <w:rsid w:val="0009126C"/>
    <w:rsid w:val="00091E40"/>
    <w:rsid w:val="000938F3"/>
    <w:rsid w:val="00096135"/>
    <w:rsid w:val="00096F56"/>
    <w:rsid w:val="00097BE3"/>
    <w:rsid w:val="000B4692"/>
    <w:rsid w:val="000B4EEA"/>
    <w:rsid w:val="000C0F60"/>
    <w:rsid w:val="000C45F8"/>
    <w:rsid w:val="000C75EE"/>
    <w:rsid w:val="000C7870"/>
    <w:rsid w:val="000D1659"/>
    <w:rsid w:val="000D2A17"/>
    <w:rsid w:val="000D4756"/>
    <w:rsid w:val="000E01EE"/>
    <w:rsid w:val="000E574F"/>
    <w:rsid w:val="000E66D7"/>
    <w:rsid w:val="000E694A"/>
    <w:rsid w:val="000F1524"/>
    <w:rsid w:val="000F5056"/>
    <w:rsid w:val="0010582A"/>
    <w:rsid w:val="0010755A"/>
    <w:rsid w:val="00107640"/>
    <w:rsid w:val="0011161A"/>
    <w:rsid w:val="00112329"/>
    <w:rsid w:val="00120417"/>
    <w:rsid w:val="00126DA9"/>
    <w:rsid w:val="0013036C"/>
    <w:rsid w:val="00136AD7"/>
    <w:rsid w:val="001408CA"/>
    <w:rsid w:val="001414CA"/>
    <w:rsid w:val="00143050"/>
    <w:rsid w:val="00143627"/>
    <w:rsid w:val="0014690C"/>
    <w:rsid w:val="00152526"/>
    <w:rsid w:val="001557FD"/>
    <w:rsid w:val="00156855"/>
    <w:rsid w:val="001573C4"/>
    <w:rsid w:val="00160369"/>
    <w:rsid w:val="0016283C"/>
    <w:rsid w:val="00164DBB"/>
    <w:rsid w:val="00170CC4"/>
    <w:rsid w:val="001734B5"/>
    <w:rsid w:val="0018060B"/>
    <w:rsid w:val="001837FE"/>
    <w:rsid w:val="001840BC"/>
    <w:rsid w:val="00184BC0"/>
    <w:rsid w:val="00192137"/>
    <w:rsid w:val="001A0716"/>
    <w:rsid w:val="001A1447"/>
    <w:rsid w:val="001A16F9"/>
    <w:rsid w:val="001A1A22"/>
    <w:rsid w:val="001A2531"/>
    <w:rsid w:val="001A298F"/>
    <w:rsid w:val="001A299F"/>
    <w:rsid w:val="001A4157"/>
    <w:rsid w:val="001A4F3B"/>
    <w:rsid w:val="001B3FC8"/>
    <w:rsid w:val="001B5FEB"/>
    <w:rsid w:val="001B7062"/>
    <w:rsid w:val="001C1D5C"/>
    <w:rsid w:val="001C2A59"/>
    <w:rsid w:val="001C327E"/>
    <w:rsid w:val="001C3DA1"/>
    <w:rsid w:val="001C3DEE"/>
    <w:rsid w:val="001C6A67"/>
    <w:rsid w:val="001D0C6D"/>
    <w:rsid w:val="001D26FE"/>
    <w:rsid w:val="001E0494"/>
    <w:rsid w:val="001E4FA8"/>
    <w:rsid w:val="001E7CB9"/>
    <w:rsid w:val="001F1C5F"/>
    <w:rsid w:val="001F35B5"/>
    <w:rsid w:val="001F472C"/>
    <w:rsid w:val="001F70B3"/>
    <w:rsid w:val="0020154F"/>
    <w:rsid w:val="00202205"/>
    <w:rsid w:val="00202D7E"/>
    <w:rsid w:val="00203245"/>
    <w:rsid w:val="00205247"/>
    <w:rsid w:val="002056F5"/>
    <w:rsid w:val="002060AE"/>
    <w:rsid w:val="0021017C"/>
    <w:rsid w:val="002108DE"/>
    <w:rsid w:val="00215BAB"/>
    <w:rsid w:val="00220C0C"/>
    <w:rsid w:val="00221508"/>
    <w:rsid w:val="00222CF8"/>
    <w:rsid w:val="0022323D"/>
    <w:rsid w:val="00224943"/>
    <w:rsid w:val="00226420"/>
    <w:rsid w:val="00227CC6"/>
    <w:rsid w:val="00235F5B"/>
    <w:rsid w:val="00241483"/>
    <w:rsid w:val="00243336"/>
    <w:rsid w:val="0024653B"/>
    <w:rsid w:val="002472A5"/>
    <w:rsid w:val="00251AA2"/>
    <w:rsid w:val="0025602A"/>
    <w:rsid w:val="00256048"/>
    <w:rsid w:val="00256172"/>
    <w:rsid w:val="00263C56"/>
    <w:rsid w:val="00264BFF"/>
    <w:rsid w:val="00270CD7"/>
    <w:rsid w:val="002717FA"/>
    <w:rsid w:val="00274782"/>
    <w:rsid w:val="00274DBD"/>
    <w:rsid w:val="00281C75"/>
    <w:rsid w:val="002820E9"/>
    <w:rsid w:val="00282DF9"/>
    <w:rsid w:val="00285DCB"/>
    <w:rsid w:val="0029038A"/>
    <w:rsid w:val="002A001B"/>
    <w:rsid w:val="002A188A"/>
    <w:rsid w:val="002A2661"/>
    <w:rsid w:val="002A2787"/>
    <w:rsid w:val="002A52C7"/>
    <w:rsid w:val="002A7430"/>
    <w:rsid w:val="002A7E86"/>
    <w:rsid w:val="002B0E27"/>
    <w:rsid w:val="002B496A"/>
    <w:rsid w:val="002B5D0D"/>
    <w:rsid w:val="002C474A"/>
    <w:rsid w:val="002C5561"/>
    <w:rsid w:val="002C57D4"/>
    <w:rsid w:val="002C7336"/>
    <w:rsid w:val="002E0D39"/>
    <w:rsid w:val="002F3343"/>
    <w:rsid w:val="00302B16"/>
    <w:rsid w:val="00306089"/>
    <w:rsid w:val="00306B67"/>
    <w:rsid w:val="00306FCE"/>
    <w:rsid w:val="003074A4"/>
    <w:rsid w:val="00307C3C"/>
    <w:rsid w:val="00311930"/>
    <w:rsid w:val="00311982"/>
    <w:rsid w:val="00313D3F"/>
    <w:rsid w:val="003200F2"/>
    <w:rsid w:val="00321328"/>
    <w:rsid w:val="00325036"/>
    <w:rsid w:val="00327600"/>
    <w:rsid w:val="00330268"/>
    <w:rsid w:val="0033325A"/>
    <w:rsid w:val="0033533A"/>
    <w:rsid w:val="003358C1"/>
    <w:rsid w:val="00335AEF"/>
    <w:rsid w:val="003373A7"/>
    <w:rsid w:val="00341B96"/>
    <w:rsid w:val="00352763"/>
    <w:rsid w:val="00364A5D"/>
    <w:rsid w:val="00365C37"/>
    <w:rsid w:val="003728C9"/>
    <w:rsid w:val="00375D55"/>
    <w:rsid w:val="003763BD"/>
    <w:rsid w:val="003805E5"/>
    <w:rsid w:val="00383CBB"/>
    <w:rsid w:val="0039420F"/>
    <w:rsid w:val="00396735"/>
    <w:rsid w:val="00396CEE"/>
    <w:rsid w:val="00396D78"/>
    <w:rsid w:val="003A15BE"/>
    <w:rsid w:val="003B0EF1"/>
    <w:rsid w:val="003B42A5"/>
    <w:rsid w:val="003C1E83"/>
    <w:rsid w:val="003D0938"/>
    <w:rsid w:val="003D5777"/>
    <w:rsid w:val="003E0E09"/>
    <w:rsid w:val="003E0E3E"/>
    <w:rsid w:val="003E1B5A"/>
    <w:rsid w:val="003E5087"/>
    <w:rsid w:val="003E7FCC"/>
    <w:rsid w:val="003F55EE"/>
    <w:rsid w:val="0040159D"/>
    <w:rsid w:val="00401B93"/>
    <w:rsid w:val="00405D65"/>
    <w:rsid w:val="00407FBE"/>
    <w:rsid w:val="004108D4"/>
    <w:rsid w:val="00411C56"/>
    <w:rsid w:val="00415A49"/>
    <w:rsid w:val="00416719"/>
    <w:rsid w:val="00420723"/>
    <w:rsid w:val="00420C4E"/>
    <w:rsid w:val="00424E6C"/>
    <w:rsid w:val="00424F9D"/>
    <w:rsid w:val="004263D5"/>
    <w:rsid w:val="004334D5"/>
    <w:rsid w:val="004363BD"/>
    <w:rsid w:val="00441D48"/>
    <w:rsid w:val="00446708"/>
    <w:rsid w:val="00457E69"/>
    <w:rsid w:val="00462058"/>
    <w:rsid w:val="00462985"/>
    <w:rsid w:val="00464168"/>
    <w:rsid w:val="0046709F"/>
    <w:rsid w:val="00477E12"/>
    <w:rsid w:val="00484704"/>
    <w:rsid w:val="00495303"/>
    <w:rsid w:val="004960EF"/>
    <w:rsid w:val="004A0E6F"/>
    <w:rsid w:val="004A2ABD"/>
    <w:rsid w:val="004A5060"/>
    <w:rsid w:val="004B1480"/>
    <w:rsid w:val="004B5342"/>
    <w:rsid w:val="004B6BF7"/>
    <w:rsid w:val="004C1557"/>
    <w:rsid w:val="004C228A"/>
    <w:rsid w:val="004C322A"/>
    <w:rsid w:val="004D2DE9"/>
    <w:rsid w:val="004D46C6"/>
    <w:rsid w:val="004E285C"/>
    <w:rsid w:val="004E2B06"/>
    <w:rsid w:val="004E3842"/>
    <w:rsid w:val="004F28D5"/>
    <w:rsid w:val="004F4EC3"/>
    <w:rsid w:val="004F77E7"/>
    <w:rsid w:val="005011C6"/>
    <w:rsid w:val="00502704"/>
    <w:rsid w:val="005112B7"/>
    <w:rsid w:val="0051723D"/>
    <w:rsid w:val="00517AB4"/>
    <w:rsid w:val="00520125"/>
    <w:rsid w:val="00522068"/>
    <w:rsid w:val="005256FD"/>
    <w:rsid w:val="00530C30"/>
    <w:rsid w:val="00531DC4"/>
    <w:rsid w:val="0053766C"/>
    <w:rsid w:val="00541B26"/>
    <w:rsid w:val="005444E7"/>
    <w:rsid w:val="00551598"/>
    <w:rsid w:val="00552846"/>
    <w:rsid w:val="00556635"/>
    <w:rsid w:val="00560208"/>
    <w:rsid w:val="005615C6"/>
    <w:rsid w:val="00567204"/>
    <w:rsid w:val="005728B5"/>
    <w:rsid w:val="00577CD1"/>
    <w:rsid w:val="00580719"/>
    <w:rsid w:val="005857E0"/>
    <w:rsid w:val="00586785"/>
    <w:rsid w:val="00587CE3"/>
    <w:rsid w:val="00591E03"/>
    <w:rsid w:val="00592C18"/>
    <w:rsid w:val="005954D1"/>
    <w:rsid w:val="005972FD"/>
    <w:rsid w:val="005A686D"/>
    <w:rsid w:val="005B013E"/>
    <w:rsid w:val="005B0191"/>
    <w:rsid w:val="005B0A0F"/>
    <w:rsid w:val="005B0D5C"/>
    <w:rsid w:val="005B4264"/>
    <w:rsid w:val="005B48D7"/>
    <w:rsid w:val="005D2333"/>
    <w:rsid w:val="005E0C13"/>
    <w:rsid w:val="005E47D7"/>
    <w:rsid w:val="005E7033"/>
    <w:rsid w:val="005F0142"/>
    <w:rsid w:val="005F3A11"/>
    <w:rsid w:val="00601BD5"/>
    <w:rsid w:val="00605A13"/>
    <w:rsid w:val="0060673F"/>
    <w:rsid w:val="00611B78"/>
    <w:rsid w:val="00614C10"/>
    <w:rsid w:val="00626A9E"/>
    <w:rsid w:val="00626D16"/>
    <w:rsid w:val="00631396"/>
    <w:rsid w:val="006421E2"/>
    <w:rsid w:val="00646FC2"/>
    <w:rsid w:val="006502BA"/>
    <w:rsid w:val="00651A2E"/>
    <w:rsid w:val="00652F48"/>
    <w:rsid w:val="006622A1"/>
    <w:rsid w:val="00666091"/>
    <w:rsid w:val="006674EB"/>
    <w:rsid w:val="00672F4D"/>
    <w:rsid w:val="00675C9C"/>
    <w:rsid w:val="006823D0"/>
    <w:rsid w:val="00687C09"/>
    <w:rsid w:val="006920AD"/>
    <w:rsid w:val="00693049"/>
    <w:rsid w:val="0069387B"/>
    <w:rsid w:val="006972B9"/>
    <w:rsid w:val="006A04BB"/>
    <w:rsid w:val="006A724A"/>
    <w:rsid w:val="006B57D3"/>
    <w:rsid w:val="006B6190"/>
    <w:rsid w:val="006B7B79"/>
    <w:rsid w:val="006D653D"/>
    <w:rsid w:val="006D7885"/>
    <w:rsid w:val="006E0864"/>
    <w:rsid w:val="006F08CD"/>
    <w:rsid w:val="006F3E9C"/>
    <w:rsid w:val="006F3ED4"/>
    <w:rsid w:val="006F620B"/>
    <w:rsid w:val="006F7CB4"/>
    <w:rsid w:val="00700D87"/>
    <w:rsid w:val="007033E6"/>
    <w:rsid w:val="00704A06"/>
    <w:rsid w:val="00712985"/>
    <w:rsid w:val="007129AC"/>
    <w:rsid w:val="0072275D"/>
    <w:rsid w:val="00727A31"/>
    <w:rsid w:val="0073338B"/>
    <w:rsid w:val="00733C63"/>
    <w:rsid w:val="007451C5"/>
    <w:rsid w:val="0074635D"/>
    <w:rsid w:val="00747479"/>
    <w:rsid w:val="00753E10"/>
    <w:rsid w:val="00755918"/>
    <w:rsid w:val="007605FD"/>
    <w:rsid w:val="007709CB"/>
    <w:rsid w:val="0077132A"/>
    <w:rsid w:val="00772029"/>
    <w:rsid w:val="00777938"/>
    <w:rsid w:val="00783432"/>
    <w:rsid w:val="00784853"/>
    <w:rsid w:val="0078549E"/>
    <w:rsid w:val="007963CF"/>
    <w:rsid w:val="007A2387"/>
    <w:rsid w:val="007A6B4A"/>
    <w:rsid w:val="007B236A"/>
    <w:rsid w:val="007B27E1"/>
    <w:rsid w:val="007B3E3D"/>
    <w:rsid w:val="007C1BBB"/>
    <w:rsid w:val="007C7B31"/>
    <w:rsid w:val="007D2340"/>
    <w:rsid w:val="007E0F3E"/>
    <w:rsid w:val="007E4488"/>
    <w:rsid w:val="007F07E4"/>
    <w:rsid w:val="007F1554"/>
    <w:rsid w:val="007F1AF2"/>
    <w:rsid w:val="007F43A5"/>
    <w:rsid w:val="00800D6B"/>
    <w:rsid w:val="00812E43"/>
    <w:rsid w:val="00814236"/>
    <w:rsid w:val="00817389"/>
    <w:rsid w:val="00820F9D"/>
    <w:rsid w:val="0083123E"/>
    <w:rsid w:val="008326C4"/>
    <w:rsid w:val="00836865"/>
    <w:rsid w:val="0084482F"/>
    <w:rsid w:val="00844979"/>
    <w:rsid w:val="00845D70"/>
    <w:rsid w:val="008476AF"/>
    <w:rsid w:val="00853249"/>
    <w:rsid w:val="0085419D"/>
    <w:rsid w:val="0085793B"/>
    <w:rsid w:val="00863530"/>
    <w:rsid w:val="0087464E"/>
    <w:rsid w:val="00874C2D"/>
    <w:rsid w:val="008838FF"/>
    <w:rsid w:val="00885827"/>
    <w:rsid w:val="00885DAC"/>
    <w:rsid w:val="00891769"/>
    <w:rsid w:val="00893A33"/>
    <w:rsid w:val="008A030A"/>
    <w:rsid w:val="008A0CFE"/>
    <w:rsid w:val="008A0DA0"/>
    <w:rsid w:val="008A251A"/>
    <w:rsid w:val="008B0BA4"/>
    <w:rsid w:val="008B3789"/>
    <w:rsid w:val="008C1951"/>
    <w:rsid w:val="008C38C7"/>
    <w:rsid w:val="008C4AF2"/>
    <w:rsid w:val="008C4C62"/>
    <w:rsid w:val="008C4D12"/>
    <w:rsid w:val="008C6876"/>
    <w:rsid w:val="008C6B4C"/>
    <w:rsid w:val="008D0358"/>
    <w:rsid w:val="008D149A"/>
    <w:rsid w:val="008D3228"/>
    <w:rsid w:val="008D430E"/>
    <w:rsid w:val="008E4958"/>
    <w:rsid w:val="008E66EC"/>
    <w:rsid w:val="008F22FC"/>
    <w:rsid w:val="008F2C18"/>
    <w:rsid w:val="008F332C"/>
    <w:rsid w:val="008F689F"/>
    <w:rsid w:val="0090314D"/>
    <w:rsid w:val="0090640E"/>
    <w:rsid w:val="00906617"/>
    <w:rsid w:val="00906E38"/>
    <w:rsid w:val="00915D79"/>
    <w:rsid w:val="009165AA"/>
    <w:rsid w:val="00921910"/>
    <w:rsid w:val="00922708"/>
    <w:rsid w:val="009244A4"/>
    <w:rsid w:val="00926283"/>
    <w:rsid w:val="00927B93"/>
    <w:rsid w:val="00931777"/>
    <w:rsid w:val="00932E0D"/>
    <w:rsid w:val="00934841"/>
    <w:rsid w:val="00937BFD"/>
    <w:rsid w:val="00942314"/>
    <w:rsid w:val="009462C7"/>
    <w:rsid w:val="00950A56"/>
    <w:rsid w:val="00956106"/>
    <w:rsid w:val="00960C1A"/>
    <w:rsid w:val="0096202B"/>
    <w:rsid w:val="0096279E"/>
    <w:rsid w:val="00966B78"/>
    <w:rsid w:val="00967DB2"/>
    <w:rsid w:val="009700BC"/>
    <w:rsid w:val="00971A16"/>
    <w:rsid w:val="00971E81"/>
    <w:rsid w:val="0097301A"/>
    <w:rsid w:val="00982D06"/>
    <w:rsid w:val="00985A38"/>
    <w:rsid w:val="00987E40"/>
    <w:rsid w:val="00990852"/>
    <w:rsid w:val="00992E7A"/>
    <w:rsid w:val="00997297"/>
    <w:rsid w:val="00997AB8"/>
    <w:rsid w:val="009A05E1"/>
    <w:rsid w:val="009A0E6D"/>
    <w:rsid w:val="009A1608"/>
    <w:rsid w:val="009A6423"/>
    <w:rsid w:val="009A692E"/>
    <w:rsid w:val="009B02E7"/>
    <w:rsid w:val="009B206E"/>
    <w:rsid w:val="009B352E"/>
    <w:rsid w:val="009B500B"/>
    <w:rsid w:val="009B7BAE"/>
    <w:rsid w:val="009C199F"/>
    <w:rsid w:val="009C54B2"/>
    <w:rsid w:val="009D2CF9"/>
    <w:rsid w:val="009D49A5"/>
    <w:rsid w:val="009D59F7"/>
    <w:rsid w:val="009D6175"/>
    <w:rsid w:val="009D6E50"/>
    <w:rsid w:val="009E3A7C"/>
    <w:rsid w:val="009E645A"/>
    <w:rsid w:val="009E6D25"/>
    <w:rsid w:val="009F0F00"/>
    <w:rsid w:val="009F52D8"/>
    <w:rsid w:val="009F52EA"/>
    <w:rsid w:val="00A01A38"/>
    <w:rsid w:val="00A022DB"/>
    <w:rsid w:val="00A06775"/>
    <w:rsid w:val="00A0773A"/>
    <w:rsid w:val="00A21CFE"/>
    <w:rsid w:val="00A2533C"/>
    <w:rsid w:val="00A26E5A"/>
    <w:rsid w:val="00A37EE0"/>
    <w:rsid w:val="00A40CC9"/>
    <w:rsid w:val="00A42DB0"/>
    <w:rsid w:val="00A46D3B"/>
    <w:rsid w:val="00A472A3"/>
    <w:rsid w:val="00A5529D"/>
    <w:rsid w:val="00A56E07"/>
    <w:rsid w:val="00A57FE1"/>
    <w:rsid w:val="00A62AA3"/>
    <w:rsid w:val="00A62D40"/>
    <w:rsid w:val="00A62EC6"/>
    <w:rsid w:val="00A64F87"/>
    <w:rsid w:val="00A65A02"/>
    <w:rsid w:val="00A72A4A"/>
    <w:rsid w:val="00A75FEF"/>
    <w:rsid w:val="00A8148B"/>
    <w:rsid w:val="00A85DEB"/>
    <w:rsid w:val="00A86458"/>
    <w:rsid w:val="00A91755"/>
    <w:rsid w:val="00A97C24"/>
    <w:rsid w:val="00AA3CFC"/>
    <w:rsid w:val="00AA612D"/>
    <w:rsid w:val="00AA672D"/>
    <w:rsid w:val="00AB0B2D"/>
    <w:rsid w:val="00AD0E51"/>
    <w:rsid w:val="00AD219D"/>
    <w:rsid w:val="00AD2D7C"/>
    <w:rsid w:val="00AD30C3"/>
    <w:rsid w:val="00AD36AE"/>
    <w:rsid w:val="00AD4D54"/>
    <w:rsid w:val="00AD63DB"/>
    <w:rsid w:val="00AD68F3"/>
    <w:rsid w:val="00AE25F1"/>
    <w:rsid w:val="00AE43BF"/>
    <w:rsid w:val="00AF2598"/>
    <w:rsid w:val="00AF2A9E"/>
    <w:rsid w:val="00B00992"/>
    <w:rsid w:val="00B05B95"/>
    <w:rsid w:val="00B05D33"/>
    <w:rsid w:val="00B071BD"/>
    <w:rsid w:val="00B234B5"/>
    <w:rsid w:val="00B31EFD"/>
    <w:rsid w:val="00B33480"/>
    <w:rsid w:val="00B374DC"/>
    <w:rsid w:val="00B42B9B"/>
    <w:rsid w:val="00B4652C"/>
    <w:rsid w:val="00B47A1F"/>
    <w:rsid w:val="00B5004B"/>
    <w:rsid w:val="00B55367"/>
    <w:rsid w:val="00B55FEE"/>
    <w:rsid w:val="00B60239"/>
    <w:rsid w:val="00B629CF"/>
    <w:rsid w:val="00B66503"/>
    <w:rsid w:val="00B67A50"/>
    <w:rsid w:val="00B81EDA"/>
    <w:rsid w:val="00B84554"/>
    <w:rsid w:val="00B87CA8"/>
    <w:rsid w:val="00B9110A"/>
    <w:rsid w:val="00B931FF"/>
    <w:rsid w:val="00B94F38"/>
    <w:rsid w:val="00B95D78"/>
    <w:rsid w:val="00BA1D1B"/>
    <w:rsid w:val="00BA7418"/>
    <w:rsid w:val="00BA7A3B"/>
    <w:rsid w:val="00BB0F5F"/>
    <w:rsid w:val="00BB170F"/>
    <w:rsid w:val="00BB20B1"/>
    <w:rsid w:val="00BB6575"/>
    <w:rsid w:val="00BC0213"/>
    <w:rsid w:val="00BC08A6"/>
    <w:rsid w:val="00BD0CC2"/>
    <w:rsid w:val="00BD172C"/>
    <w:rsid w:val="00BD32B9"/>
    <w:rsid w:val="00BD37C5"/>
    <w:rsid w:val="00BD387F"/>
    <w:rsid w:val="00BD4B95"/>
    <w:rsid w:val="00BD520E"/>
    <w:rsid w:val="00BD5D4A"/>
    <w:rsid w:val="00BE06DE"/>
    <w:rsid w:val="00BE4E86"/>
    <w:rsid w:val="00BE5528"/>
    <w:rsid w:val="00BF1A71"/>
    <w:rsid w:val="00BF2421"/>
    <w:rsid w:val="00BF5AA9"/>
    <w:rsid w:val="00C00332"/>
    <w:rsid w:val="00C02CBC"/>
    <w:rsid w:val="00C0341D"/>
    <w:rsid w:val="00C04493"/>
    <w:rsid w:val="00C044BF"/>
    <w:rsid w:val="00C04DBC"/>
    <w:rsid w:val="00C05434"/>
    <w:rsid w:val="00C125F5"/>
    <w:rsid w:val="00C13BEE"/>
    <w:rsid w:val="00C20F28"/>
    <w:rsid w:val="00C224B3"/>
    <w:rsid w:val="00C22E30"/>
    <w:rsid w:val="00C256B3"/>
    <w:rsid w:val="00C338F4"/>
    <w:rsid w:val="00C34CF8"/>
    <w:rsid w:val="00C3715F"/>
    <w:rsid w:val="00C37C3B"/>
    <w:rsid w:val="00C42190"/>
    <w:rsid w:val="00C4613D"/>
    <w:rsid w:val="00C5159D"/>
    <w:rsid w:val="00C536A9"/>
    <w:rsid w:val="00C576BA"/>
    <w:rsid w:val="00C61E54"/>
    <w:rsid w:val="00C65028"/>
    <w:rsid w:val="00C70BB5"/>
    <w:rsid w:val="00C73DBC"/>
    <w:rsid w:val="00C74121"/>
    <w:rsid w:val="00C813D5"/>
    <w:rsid w:val="00C84029"/>
    <w:rsid w:val="00C84517"/>
    <w:rsid w:val="00C872D9"/>
    <w:rsid w:val="00C9757A"/>
    <w:rsid w:val="00CA2FC6"/>
    <w:rsid w:val="00CA3F82"/>
    <w:rsid w:val="00CA5C58"/>
    <w:rsid w:val="00CB0B1A"/>
    <w:rsid w:val="00CB3308"/>
    <w:rsid w:val="00CB749B"/>
    <w:rsid w:val="00CC434B"/>
    <w:rsid w:val="00CC6242"/>
    <w:rsid w:val="00CC7C7B"/>
    <w:rsid w:val="00CD5F22"/>
    <w:rsid w:val="00CD5F37"/>
    <w:rsid w:val="00CD6BA4"/>
    <w:rsid w:val="00CE0D71"/>
    <w:rsid w:val="00CE15BA"/>
    <w:rsid w:val="00CE336B"/>
    <w:rsid w:val="00CE45A7"/>
    <w:rsid w:val="00CE4C92"/>
    <w:rsid w:val="00CE59DD"/>
    <w:rsid w:val="00CE7CC4"/>
    <w:rsid w:val="00D01408"/>
    <w:rsid w:val="00D03FF7"/>
    <w:rsid w:val="00D05CB2"/>
    <w:rsid w:val="00D06435"/>
    <w:rsid w:val="00D13E8E"/>
    <w:rsid w:val="00D15486"/>
    <w:rsid w:val="00D15B3F"/>
    <w:rsid w:val="00D17886"/>
    <w:rsid w:val="00D21DB6"/>
    <w:rsid w:val="00D23F93"/>
    <w:rsid w:val="00D30293"/>
    <w:rsid w:val="00D302ED"/>
    <w:rsid w:val="00D3325F"/>
    <w:rsid w:val="00D34A71"/>
    <w:rsid w:val="00D36F69"/>
    <w:rsid w:val="00D564F8"/>
    <w:rsid w:val="00D62A85"/>
    <w:rsid w:val="00D63065"/>
    <w:rsid w:val="00D640BB"/>
    <w:rsid w:val="00D65912"/>
    <w:rsid w:val="00D65AD4"/>
    <w:rsid w:val="00D7289D"/>
    <w:rsid w:val="00D7638B"/>
    <w:rsid w:val="00D775BF"/>
    <w:rsid w:val="00D82F84"/>
    <w:rsid w:val="00D83757"/>
    <w:rsid w:val="00D843F9"/>
    <w:rsid w:val="00D85EA8"/>
    <w:rsid w:val="00DA454D"/>
    <w:rsid w:val="00DA7F91"/>
    <w:rsid w:val="00DB046D"/>
    <w:rsid w:val="00DB5518"/>
    <w:rsid w:val="00DC126C"/>
    <w:rsid w:val="00DC48C0"/>
    <w:rsid w:val="00DC4EE9"/>
    <w:rsid w:val="00DD21D3"/>
    <w:rsid w:val="00DD65A1"/>
    <w:rsid w:val="00DD7F58"/>
    <w:rsid w:val="00DE72B1"/>
    <w:rsid w:val="00DF0993"/>
    <w:rsid w:val="00E02268"/>
    <w:rsid w:val="00E0274D"/>
    <w:rsid w:val="00E06D12"/>
    <w:rsid w:val="00E07930"/>
    <w:rsid w:val="00E14F82"/>
    <w:rsid w:val="00E264A6"/>
    <w:rsid w:val="00E27DB3"/>
    <w:rsid w:val="00E3035D"/>
    <w:rsid w:val="00E32E88"/>
    <w:rsid w:val="00E368BB"/>
    <w:rsid w:val="00E37937"/>
    <w:rsid w:val="00E437E6"/>
    <w:rsid w:val="00E52A0E"/>
    <w:rsid w:val="00E52C13"/>
    <w:rsid w:val="00E6476E"/>
    <w:rsid w:val="00E65FE4"/>
    <w:rsid w:val="00E717F7"/>
    <w:rsid w:val="00E720A3"/>
    <w:rsid w:val="00E72811"/>
    <w:rsid w:val="00E73513"/>
    <w:rsid w:val="00E752A5"/>
    <w:rsid w:val="00E763C2"/>
    <w:rsid w:val="00E81A6A"/>
    <w:rsid w:val="00E870E5"/>
    <w:rsid w:val="00E93B4F"/>
    <w:rsid w:val="00E94FBA"/>
    <w:rsid w:val="00EA09E6"/>
    <w:rsid w:val="00EB0910"/>
    <w:rsid w:val="00EB28DF"/>
    <w:rsid w:val="00EB28EA"/>
    <w:rsid w:val="00EB388E"/>
    <w:rsid w:val="00EB4E0B"/>
    <w:rsid w:val="00EB68B4"/>
    <w:rsid w:val="00EC03C4"/>
    <w:rsid w:val="00EC2982"/>
    <w:rsid w:val="00EC47E5"/>
    <w:rsid w:val="00ED0076"/>
    <w:rsid w:val="00ED1FE3"/>
    <w:rsid w:val="00ED5313"/>
    <w:rsid w:val="00EE076D"/>
    <w:rsid w:val="00EE2055"/>
    <w:rsid w:val="00EE3744"/>
    <w:rsid w:val="00EE7104"/>
    <w:rsid w:val="00EE7D69"/>
    <w:rsid w:val="00EF451F"/>
    <w:rsid w:val="00EF4CEF"/>
    <w:rsid w:val="00EF6206"/>
    <w:rsid w:val="00EF6BA1"/>
    <w:rsid w:val="00EF7FCA"/>
    <w:rsid w:val="00F0181E"/>
    <w:rsid w:val="00F07011"/>
    <w:rsid w:val="00F0759D"/>
    <w:rsid w:val="00F10188"/>
    <w:rsid w:val="00F115D4"/>
    <w:rsid w:val="00F128B0"/>
    <w:rsid w:val="00F1523D"/>
    <w:rsid w:val="00F174BC"/>
    <w:rsid w:val="00F22B0B"/>
    <w:rsid w:val="00F24E67"/>
    <w:rsid w:val="00F343EF"/>
    <w:rsid w:val="00F4063C"/>
    <w:rsid w:val="00F43492"/>
    <w:rsid w:val="00F5015C"/>
    <w:rsid w:val="00F60552"/>
    <w:rsid w:val="00F644A3"/>
    <w:rsid w:val="00F72393"/>
    <w:rsid w:val="00F73FAA"/>
    <w:rsid w:val="00F74DD2"/>
    <w:rsid w:val="00F84BBC"/>
    <w:rsid w:val="00F86185"/>
    <w:rsid w:val="00F86946"/>
    <w:rsid w:val="00F9510A"/>
    <w:rsid w:val="00F95416"/>
    <w:rsid w:val="00FA06E1"/>
    <w:rsid w:val="00FA4E3B"/>
    <w:rsid w:val="00FB2899"/>
    <w:rsid w:val="00FB530B"/>
    <w:rsid w:val="00FB72B4"/>
    <w:rsid w:val="00FB75EF"/>
    <w:rsid w:val="00FB7950"/>
    <w:rsid w:val="00FC22A8"/>
    <w:rsid w:val="00FC4664"/>
    <w:rsid w:val="00FC49F7"/>
    <w:rsid w:val="00FC4B58"/>
    <w:rsid w:val="00FC5321"/>
    <w:rsid w:val="00FC778C"/>
    <w:rsid w:val="00FD08B1"/>
    <w:rsid w:val="00FD3D3A"/>
    <w:rsid w:val="00FD4A07"/>
    <w:rsid w:val="00FD5D14"/>
    <w:rsid w:val="00FD729F"/>
    <w:rsid w:val="00FD7F92"/>
    <w:rsid w:val="00FE19A0"/>
    <w:rsid w:val="00FE5359"/>
    <w:rsid w:val="00FE67DD"/>
    <w:rsid w:val="00FE67DE"/>
    <w:rsid w:val="00FF3933"/>
    <w:rsid w:val="00FF71C1"/>
    <w:rsid w:val="00FF7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20AD"/>
    <w:pPr>
      <w:keepNext/>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6920A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920AD"/>
    <w:pPr>
      <w:keepNext/>
      <w:spacing w:before="240" w:after="60" w:line="240" w:lineRule="auto"/>
      <w:outlineLvl w:val="2"/>
    </w:pPr>
    <w:rPr>
      <w:rFonts w:ascii="Arial" w:eastAsia="Arial Unicode MS" w:hAnsi="Arial" w:cs="Arial"/>
      <w:b/>
      <w:bCs/>
      <w:sz w:val="26"/>
      <w:szCs w:val="26"/>
      <w:lang w:eastAsia="ru-RU"/>
    </w:rPr>
  </w:style>
  <w:style w:type="paragraph" w:styleId="5">
    <w:name w:val="heading 5"/>
    <w:basedOn w:val="a"/>
    <w:next w:val="a"/>
    <w:link w:val="50"/>
    <w:qFormat/>
    <w:rsid w:val="006920A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6920AD"/>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4"/>
    <w:unhideWhenUsed/>
    <w:rsid w:val="00C84029"/>
    <w:pPr>
      <w:spacing w:after="0" w:line="240" w:lineRule="auto"/>
    </w:pPr>
    <w:rPr>
      <w:sz w:val="20"/>
      <w:szCs w:val="20"/>
    </w:rPr>
  </w:style>
  <w:style w:type="character" w:customStyle="1" w:styleId="a4">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link w:val="a3"/>
    <w:rsid w:val="00C84029"/>
    <w:rPr>
      <w:sz w:val="20"/>
      <w:szCs w:val="20"/>
    </w:rPr>
  </w:style>
  <w:style w:type="character" w:styleId="a5">
    <w:name w:val="footnote reference"/>
    <w:basedOn w:val="a0"/>
    <w:semiHidden/>
    <w:rsid w:val="00C84029"/>
    <w:rPr>
      <w:vertAlign w:val="superscript"/>
    </w:rPr>
  </w:style>
  <w:style w:type="table" w:styleId="a6">
    <w:name w:val="Table Grid"/>
    <w:basedOn w:val="a1"/>
    <w:uiPriority w:val="59"/>
    <w:rsid w:val="00C840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C84029"/>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C84029"/>
    <w:rPr>
      <w:rFonts w:ascii="Tahoma" w:hAnsi="Tahoma" w:cs="Tahoma"/>
      <w:sz w:val="16"/>
      <w:szCs w:val="16"/>
    </w:rPr>
  </w:style>
  <w:style w:type="character" w:customStyle="1" w:styleId="10">
    <w:name w:val="Заголовок 1 Знак"/>
    <w:basedOn w:val="a0"/>
    <w:link w:val="1"/>
    <w:rsid w:val="006920A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920AD"/>
    <w:rPr>
      <w:rFonts w:ascii="Arial" w:eastAsia="Times New Roman" w:hAnsi="Arial" w:cs="Arial"/>
      <w:b/>
      <w:bCs/>
      <w:i/>
      <w:iCs/>
      <w:sz w:val="28"/>
      <w:szCs w:val="28"/>
      <w:lang w:eastAsia="ru-RU"/>
    </w:rPr>
  </w:style>
  <w:style w:type="character" w:customStyle="1" w:styleId="30">
    <w:name w:val="Заголовок 3 Знак"/>
    <w:basedOn w:val="a0"/>
    <w:link w:val="3"/>
    <w:rsid w:val="006920AD"/>
    <w:rPr>
      <w:rFonts w:ascii="Arial" w:eastAsia="Arial Unicode MS" w:hAnsi="Arial" w:cs="Arial"/>
      <w:b/>
      <w:bCs/>
      <w:sz w:val="26"/>
      <w:szCs w:val="26"/>
      <w:lang w:eastAsia="ru-RU"/>
    </w:rPr>
  </w:style>
  <w:style w:type="character" w:customStyle="1" w:styleId="50">
    <w:name w:val="Заголовок 5 Знак"/>
    <w:basedOn w:val="a0"/>
    <w:link w:val="5"/>
    <w:rsid w:val="006920A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6920A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6920AD"/>
  </w:style>
  <w:style w:type="paragraph" w:styleId="a9">
    <w:name w:val="footer"/>
    <w:basedOn w:val="a"/>
    <w:link w:val="aa"/>
    <w:uiPriority w:val="99"/>
    <w:rsid w:val="006920A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6920AD"/>
    <w:rPr>
      <w:rFonts w:ascii="Times New Roman" w:eastAsia="Times New Roman" w:hAnsi="Times New Roman" w:cs="Times New Roman"/>
      <w:sz w:val="20"/>
      <w:szCs w:val="20"/>
      <w:lang w:eastAsia="ru-RU"/>
    </w:rPr>
  </w:style>
  <w:style w:type="character" w:styleId="ab">
    <w:name w:val="page number"/>
    <w:basedOn w:val="a0"/>
    <w:rsid w:val="006920AD"/>
  </w:style>
  <w:style w:type="character" w:styleId="ac">
    <w:name w:val="Hyperlink"/>
    <w:basedOn w:val="a0"/>
    <w:rsid w:val="006920AD"/>
    <w:rPr>
      <w:color w:val="0000FF"/>
      <w:sz w:val="20"/>
      <w:szCs w:val="20"/>
      <w:u w:val="single"/>
    </w:rPr>
  </w:style>
  <w:style w:type="paragraph" w:styleId="ad">
    <w:name w:val="Body Text"/>
    <w:aliases w:val="Основной текст1,Основной текст Знак Знак,bt"/>
    <w:basedOn w:val="a"/>
    <w:link w:val="12"/>
    <w:rsid w:val="006920AD"/>
    <w:pPr>
      <w:spacing w:after="0" w:line="240" w:lineRule="auto"/>
      <w:jc w:val="both"/>
    </w:pPr>
    <w:rPr>
      <w:rFonts w:ascii="Times New Roman" w:eastAsia="Times New Roman" w:hAnsi="Times New Roman" w:cs="Times New Roman"/>
      <w:b/>
      <w:sz w:val="24"/>
      <w:szCs w:val="20"/>
      <w:lang w:eastAsia="ru-RU"/>
    </w:rPr>
  </w:style>
  <w:style w:type="character" w:customStyle="1" w:styleId="ae">
    <w:name w:val="Основной текст Знак"/>
    <w:basedOn w:val="a0"/>
    <w:uiPriority w:val="99"/>
    <w:rsid w:val="006920AD"/>
  </w:style>
  <w:style w:type="character" w:customStyle="1" w:styleId="12">
    <w:name w:val="Основной текст Знак1"/>
    <w:aliases w:val="Основной текст1 Знак,Основной текст Знак Знак Знак,bt Знак"/>
    <w:basedOn w:val="a0"/>
    <w:link w:val="ad"/>
    <w:rsid w:val="006920AD"/>
    <w:rPr>
      <w:rFonts w:ascii="Times New Roman" w:eastAsia="Times New Roman" w:hAnsi="Times New Roman" w:cs="Times New Roman"/>
      <w:b/>
      <w:sz w:val="24"/>
      <w:szCs w:val="20"/>
      <w:lang w:eastAsia="ru-RU"/>
    </w:rPr>
  </w:style>
  <w:style w:type="paragraph" w:styleId="af">
    <w:name w:val="Body Text Indent"/>
    <w:basedOn w:val="a"/>
    <w:link w:val="af0"/>
    <w:uiPriority w:val="99"/>
    <w:rsid w:val="006920AD"/>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6920AD"/>
    <w:rPr>
      <w:rFonts w:ascii="Times New Roman" w:eastAsia="Times New Roman" w:hAnsi="Times New Roman" w:cs="Times New Roman"/>
      <w:sz w:val="20"/>
      <w:szCs w:val="20"/>
      <w:lang w:eastAsia="ru-RU"/>
    </w:rPr>
  </w:style>
  <w:style w:type="paragraph" w:styleId="af1">
    <w:name w:val="header"/>
    <w:basedOn w:val="a"/>
    <w:link w:val="af2"/>
    <w:uiPriority w:val="99"/>
    <w:rsid w:val="006920A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920AD"/>
    <w:rPr>
      <w:rFonts w:ascii="Times New Roman" w:eastAsia="Times New Roman" w:hAnsi="Times New Roman" w:cs="Times New Roman"/>
      <w:sz w:val="20"/>
      <w:szCs w:val="20"/>
      <w:lang w:eastAsia="ru-RU"/>
    </w:rPr>
  </w:style>
  <w:style w:type="paragraph" w:styleId="31">
    <w:name w:val="Body Text 3"/>
    <w:basedOn w:val="a"/>
    <w:link w:val="32"/>
    <w:rsid w:val="006920AD"/>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920AD"/>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6920A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3">
    <w:name w:val="Название таблиц"/>
    <w:basedOn w:val="a"/>
    <w:rsid w:val="006920AD"/>
    <w:pPr>
      <w:spacing w:after="0" w:line="240" w:lineRule="auto"/>
      <w:jc w:val="center"/>
    </w:pPr>
    <w:rPr>
      <w:rFonts w:ascii="Times New Roman" w:eastAsia="Times New Roman" w:hAnsi="Times New Roman" w:cs="Times New Roman"/>
      <w:b/>
      <w:szCs w:val="24"/>
      <w:lang w:eastAsia="ru-RU"/>
    </w:rPr>
  </w:style>
  <w:style w:type="paragraph" w:customStyle="1" w:styleId="af4">
    <w:name w:val="обычный ежегодник"/>
    <w:basedOn w:val="a"/>
    <w:link w:val="af5"/>
    <w:rsid w:val="006920AD"/>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5">
    <w:name w:val="обычный ежегодник Знак"/>
    <w:basedOn w:val="a0"/>
    <w:link w:val="af4"/>
    <w:rsid w:val="006920AD"/>
    <w:rPr>
      <w:rFonts w:ascii="Times New Roman" w:eastAsia="Times New Roman" w:hAnsi="Times New Roman" w:cs="Times New Roman"/>
      <w:sz w:val="16"/>
      <w:szCs w:val="24"/>
      <w:lang w:eastAsia="ru-RU"/>
    </w:rPr>
  </w:style>
  <w:style w:type="paragraph" w:styleId="af6">
    <w:name w:val="caption"/>
    <w:basedOn w:val="a"/>
    <w:next w:val="a"/>
    <w:qFormat/>
    <w:rsid w:val="006920AD"/>
    <w:pPr>
      <w:widowControl w:val="0"/>
      <w:autoSpaceDE w:val="0"/>
      <w:autoSpaceDN w:val="0"/>
      <w:adjustRightInd w:val="0"/>
      <w:spacing w:line="240" w:lineRule="auto"/>
    </w:pPr>
    <w:rPr>
      <w:rFonts w:ascii="Times New Roman" w:eastAsia="Times New Roman" w:hAnsi="Times New Roman" w:cs="Times New Roman"/>
      <w:b/>
      <w:bCs/>
      <w:color w:val="4F81BD"/>
      <w:sz w:val="18"/>
      <w:szCs w:val="18"/>
      <w:lang w:eastAsia="ru-RU"/>
    </w:rPr>
  </w:style>
  <w:style w:type="paragraph" w:customStyle="1" w:styleId="22">
    <w:name w:val="2"/>
    <w:basedOn w:val="a"/>
    <w:next w:val="2"/>
    <w:autoRedefine/>
    <w:rsid w:val="006920AD"/>
    <w:pPr>
      <w:spacing w:after="0" w:line="240" w:lineRule="auto"/>
      <w:ind w:firstLine="709"/>
      <w:jc w:val="both"/>
    </w:pPr>
    <w:rPr>
      <w:rFonts w:ascii="Times New Roman" w:eastAsia="Times New Roman" w:hAnsi="Times New Roman" w:cs="Times New Roman"/>
      <w:sz w:val="24"/>
      <w:szCs w:val="20"/>
    </w:rPr>
  </w:style>
  <w:style w:type="paragraph" w:customStyle="1" w:styleId="13">
    <w:name w:val="Знак1"/>
    <w:basedOn w:val="a"/>
    <w:link w:val="14"/>
    <w:rsid w:val="006920AD"/>
    <w:pPr>
      <w:spacing w:after="0" w:line="240" w:lineRule="auto"/>
    </w:pPr>
    <w:rPr>
      <w:rFonts w:ascii="Verdana" w:eastAsia="Times New Roman" w:hAnsi="Verdana" w:cs="Verdana"/>
      <w:sz w:val="20"/>
      <w:szCs w:val="20"/>
      <w:lang w:val="en-US"/>
    </w:rPr>
  </w:style>
  <w:style w:type="paragraph" w:customStyle="1" w:styleId="220">
    <w:name w:val="Основной текст с отступом 22"/>
    <w:basedOn w:val="a"/>
    <w:rsid w:val="006920A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7">
    <w:name w:val="Документ"/>
    <w:basedOn w:val="a"/>
    <w:rsid w:val="006920AD"/>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6920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6920AD"/>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920AD"/>
    <w:rPr>
      <w:rFonts w:ascii="Times New Roman" w:eastAsia="Times New Roman" w:hAnsi="Times New Roman" w:cs="Times New Roman"/>
      <w:sz w:val="20"/>
      <w:szCs w:val="20"/>
      <w:lang w:eastAsia="ru-RU"/>
    </w:rPr>
  </w:style>
  <w:style w:type="paragraph" w:styleId="33">
    <w:name w:val="Body Text Indent 3"/>
    <w:basedOn w:val="a"/>
    <w:link w:val="34"/>
    <w:rsid w:val="006920AD"/>
    <w:pPr>
      <w:spacing w:after="0" w:line="252" w:lineRule="auto"/>
      <w:ind w:firstLine="708"/>
      <w:jc w:val="both"/>
    </w:pPr>
    <w:rPr>
      <w:rFonts w:ascii="Times New Roman" w:eastAsia="Times New Roman" w:hAnsi="Times New Roman" w:cs="Times New Roman"/>
      <w:b/>
      <w:i/>
      <w:iCs/>
      <w:sz w:val="24"/>
      <w:szCs w:val="24"/>
      <w:lang w:eastAsia="ru-RU"/>
    </w:rPr>
  </w:style>
  <w:style w:type="character" w:customStyle="1" w:styleId="34">
    <w:name w:val="Основной текст с отступом 3 Знак"/>
    <w:basedOn w:val="a0"/>
    <w:link w:val="33"/>
    <w:rsid w:val="006920AD"/>
    <w:rPr>
      <w:rFonts w:ascii="Times New Roman" w:eastAsia="Times New Roman" w:hAnsi="Times New Roman" w:cs="Times New Roman"/>
      <w:b/>
      <w:i/>
      <w:iCs/>
      <w:sz w:val="24"/>
      <w:szCs w:val="24"/>
      <w:lang w:eastAsia="ru-RU"/>
    </w:rPr>
  </w:style>
  <w:style w:type="paragraph" w:customStyle="1" w:styleId="ConsNormal">
    <w:name w:val="ConsNormal"/>
    <w:rsid w:val="006920AD"/>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920A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6920AD"/>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692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6920A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6920AD"/>
    <w:rPr>
      <w:rFonts w:ascii="Times New Roman" w:eastAsia="Times New Roman" w:hAnsi="Times New Roman" w:cs="Times New Roman"/>
      <w:sz w:val="24"/>
      <w:szCs w:val="24"/>
      <w:lang w:eastAsia="ru-RU"/>
    </w:rPr>
  </w:style>
  <w:style w:type="paragraph" w:customStyle="1" w:styleId="ConsPlusTitle">
    <w:name w:val="ConsPlusTitle"/>
    <w:uiPriority w:val="99"/>
    <w:rsid w:val="006920A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8">
    <w:name w:val="Основной текст.Основной текст Знак"/>
    <w:rsid w:val="006920AD"/>
    <w:pPr>
      <w:spacing w:after="0" w:line="240" w:lineRule="auto"/>
      <w:jc w:val="both"/>
    </w:pPr>
    <w:rPr>
      <w:rFonts w:ascii="Times New Roman" w:eastAsia="Times New Roman" w:hAnsi="Times New Roman" w:cs="Times New Roman"/>
      <w:sz w:val="28"/>
      <w:szCs w:val="20"/>
      <w:lang w:eastAsia="ru-RU"/>
    </w:rPr>
  </w:style>
  <w:style w:type="paragraph" w:customStyle="1" w:styleId="af9">
    <w:name w:val="Знак"/>
    <w:basedOn w:val="a"/>
    <w:rsid w:val="006920A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1"/>
    <w:basedOn w:val="a"/>
    <w:rsid w:val="006920AD"/>
    <w:pPr>
      <w:spacing w:after="0" w:line="240" w:lineRule="auto"/>
    </w:pPr>
    <w:rPr>
      <w:rFonts w:ascii="Verdana" w:eastAsia="Times New Roman" w:hAnsi="Verdana" w:cs="Verdana"/>
      <w:sz w:val="20"/>
      <w:szCs w:val="20"/>
      <w:lang w:val="en-US"/>
    </w:rPr>
  </w:style>
  <w:style w:type="paragraph" w:customStyle="1" w:styleId="ConsCell">
    <w:name w:val="ConsCell"/>
    <w:rsid w:val="006920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6920AD"/>
    <w:pPr>
      <w:spacing w:after="0" w:line="240" w:lineRule="auto"/>
      <w:ind w:left="-108"/>
    </w:pPr>
    <w:rPr>
      <w:rFonts w:ascii="Times New Roman" w:eastAsia="Times New Roman" w:hAnsi="Times New Roman" w:cs="Times New Roman"/>
      <w:sz w:val="24"/>
      <w:szCs w:val="20"/>
      <w:lang w:eastAsia="ru-RU"/>
    </w:rPr>
  </w:style>
  <w:style w:type="paragraph" w:customStyle="1" w:styleId="ConsPlusCell">
    <w:name w:val="ConsPlusCell"/>
    <w:uiPriority w:val="99"/>
    <w:rsid w:val="006920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7">
    <w:name w:val="Знак2"/>
    <w:basedOn w:val="a"/>
    <w:rsid w:val="006920A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5">
    <w:name w:val="Знак1 Знак Знак Знак"/>
    <w:basedOn w:val="a"/>
    <w:rsid w:val="006920AD"/>
    <w:pPr>
      <w:spacing w:after="160" w:line="240" w:lineRule="exact"/>
    </w:pPr>
    <w:rPr>
      <w:rFonts w:ascii="Times New Roman" w:eastAsia="Times New Roman" w:hAnsi="Times New Roman" w:cs="Times New Roman"/>
      <w:sz w:val="20"/>
      <w:szCs w:val="20"/>
      <w:lang w:eastAsia="zh-CN"/>
    </w:rPr>
  </w:style>
  <w:style w:type="paragraph" w:customStyle="1" w:styleId="28">
    <w:name w:val="Знак2 Знак Знак Знак Знак Знак Знак Знак Знак Знак"/>
    <w:basedOn w:val="a"/>
    <w:rsid w:val="006920AD"/>
    <w:pPr>
      <w:spacing w:after="0" w:line="240" w:lineRule="auto"/>
    </w:pPr>
    <w:rPr>
      <w:rFonts w:ascii="Verdana" w:eastAsia="Times New Roman" w:hAnsi="Verdana" w:cs="Verdana"/>
      <w:sz w:val="20"/>
      <w:szCs w:val="20"/>
      <w:lang w:val="en-US"/>
    </w:rPr>
  </w:style>
  <w:style w:type="paragraph" w:customStyle="1" w:styleId="4">
    <w:name w:val="Знак4"/>
    <w:basedOn w:val="a"/>
    <w:rsid w:val="006920AD"/>
    <w:pPr>
      <w:widowControl w:val="0"/>
      <w:adjustRightInd w:val="0"/>
      <w:spacing w:after="160" w:line="240" w:lineRule="exact"/>
      <w:jc w:val="right"/>
    </w:pPr>
    <w:rPr>
      <w:rFonts w:ascii="Times New Roman" w:eastAsia="Times New Roman" w:hAnsi="Times New Roman" w:cs="Arial"/>
      <w:sz w:val="20"/>
      <w:szCs w:val="20"/>
      <w:lang w:val="en-GB"/>
    </w:rPr>
  </w:style>
  <w:style w:type="character" w:customStyle="1" w:styleId="51">
    <w:name w:val="Знак Знак5"/>
    <w:basedOn w:val="a0"/>
    <w:locked/>
    <w:rsid w:val="006920AD"/>
    <w:rPr>
      <w:b/>
      <w:sz w:val="24"/>
      <w:lang w:val="ru-RU" w:eastAsia="ru-RU" w:bidi="ar-SA"/>
    </w:rPr>
  </w:style>
  <w:style w:type="paragraph" w:customStyle="1" w:styleId="align-justify">
    <w:name w:val="align-justify"/>
    <w:basedOn w:val="a"/>
    <w:rsid w:val="00692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bad">
    <w:name w:val="comments_bad"/>
    <w:basedOn w:val="a"/>
    <w:rsid w:val="00692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Знак Знак8"/>
    <w:basedOn w:val="a0"/>
    <w:rsid w:val="006920AD"/>
    <w:rPr>
      <w:sz w:val="24"/>
      <w:szCs w:val="24"/>
      <w:lang w:val="ru-RU" w:eastAsia="ru-RU" w:bidi="ar-SA"/>
    </w:rPr>
  </w:style>
  <w:style w:type="paragraph" w:styleId="afa">
    <w:name w:val="List Paragraph"/>
    <w:basedOn w:val="a"/>
    <w:qFormat/>
    <w:rsid w:val="006920A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ocked/>
    <w:rsid w:val="006920AD"/>
  </w:style>
  <w:style w:type="paragraph" w:customStyle="1" w:styleId="xl74">
    <w:name w:val="xl74"/>
    <w:basedOn w:val="a"/>
    <w:rsid w:val="006920AD"/>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styleId="afb">
    <w:name w:val="endnote text"/>
    <w:basedOn w:val="a"/>
    <w:link w:val="afc"/>
    <w:uiPriority w:val="99"/>
    <w:semiHidden/>
    <w:unhideWhenUsed/>
    <w:rsid w:val="006920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6920AD"/>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6920AD"/>
    <w:rPr>
      <w:vertAlign w:val="superscript"/>
    </w:rPr>
  </w:style>
  <w:style w:type="paragraph" w:customStyle="1" w:styleId="afe">
    <w:name w:val="Основной текст с отступом.Надин стиль"/>
    <w:basedOn w:val="a"/>
    <w:rsid w:val="006920AD"/>
    <w:pPr>
      <w:spacing w:after="0" w:line="240" w:lineRule="auto"/>
      <w:ind w:right="-766" w:firstLine="720"/>
      <w:jc w:val="both"/>
    </w:pPr>
    <w:rPr>
      <w:rFonts w:ascii="Times New Roman" w:eastAsia="Times New Roman" w:hAnsi="Times New Roman" w:cs="Times New Roman"/>
      <w:sz w:val="28"/>
      <w:szCs w:val="20"/>
      <w:lang w:eastAsia="ru-RU"/>
    </w:rPr>
  </w:style>
  <w:style w:type="numbering" w:customStyle="1" w:styleId="111">
    <w:name w:val="Нет списка11"/>
    <w:next w:val="a2"/>
    <w:semiHidden/>
    <w:unhideWhenUsed/>
    <w:rsid w:val="006920AD"/>
  </w:style>
  <w:style w:type="character" w:customStyle="1" w:styleId="14">
    <w:name w:val="Знак1 Знак"/>
    <w:basedOn w:val="a0"/>
    <w:link w:val="13"/>
    <w:locked/>
    <w:rsid w:val="006920AD"/>
    <w:rPr>
      <w:rFonts w:ascii="Verdana" w:eastAsia="Times New Roman" w:hAnsi="Verdana" w:cs="Verdana"/>
      <w:sz w:val="20"/>
      <w:szCs w:val="20"/>
      <w:lang w:val="en-US"/>
    </w:rPr>
  </w:style>
  <w:style w:type="paragraph" w:styleId="aff">
    <w:name w:val="Normal (Web)"/>
    <w:basedOn w:val="a"/>
    <w:uiPriority w:val="99"/>
    <w:unhideWhenUsed/>
    <w:rsid w:val="00692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920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9">
    <w:name w:val="Нет списка2"/>
    <w:next w:val="a2"/>
    <w:semiHidden/>
    <w:unhideWhenUsed/>
    <w:rsid w:val="00097BE3"/>
  </w:style>
  <w:style w:type="table" w:customStyle="1" w:styleId="17">
    <w:name w:val="Сетка таблицы1"/>
    <w:basedOn w:val="a1"/>
    <w:next w:val="a6"/>
    <w:rsid w:val="00097B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Знак Знак Знак"/>
    <w:basedOn w:val="a"/>
    <w:rsid w:val="00097BE3"/>
    <w:pPr>
      <w:spacing w:after="160" w:line="240" w:lineRule="exact"/>
    </w:pPr>
    <w:rPr>
      <w:rFonts w:ascii="Times New Roman" w:eastAsia="Times New Roman" w:hAnsi="Times New Roman" w:cs="Times New Roman"/>
      <w:sz w:val="20"/>
      <w:szCs w:val="20"/>
      <w:lang w:eastAsia="zh-CN"/>
    </w:rPr>
  </w:style>
  <w:style w:type="paragraph" w:customStyle="1" w:styleId="112">
    <w:name w:val="Знак1 Знак Знак1 Знак Знак Знак Знак"/>
    <w:basedOn w:val="a"/>
    <w:rsid w:val="00AE25F1"/>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2"/>
    <w:uiPriority w:val="99"/>
    <w:semiHidden/>
    <w:unhideWhenUsed/>
    <w:rsid w:val="00EB28EA"/>
  </w:style>
  <w:style w:type="numbering" w:customStyle="1" w:styleId="120">
    <w:name w:val="Нет списка12"/>
    <w:next w:val="a2"/>
    <w:semiHidden/>
    <w:unhideWhenUsed/>
    <w:rsid w:val="00EB28EA"/>
  </w:style>
  <w:style w:type="table" w:customStyle="1" w:styleId="36">
    <w:name w:val="Сетка таблицы3"/>
    <w:basedOn w:val="a1"/>
    <w:next w:val="a6"/>
    <w:uiPriority w:val="59"/>
    <w:rsid w:val="001A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1"/>
    <w:qFormat/>
    <w:rsid w:val="001A299F"/>
    <w:pPr>
      <w:spacing w:after="0" w:line="240" w:lineRule="auto"/>
    </w:pPr>
    <w:rPr>
      <w:rFonts w:ascii="Times New Roman" w:eastAsia="Times New Roman" w:hAnsi="Times New Roman" w:cs="Times New Roman"/>
      <w:sz w:val="24"/>
      <w:szCs w:val="24"/>
      <w:lang w:eastAsia="ru-RU"/>
    </w:rPr>
  </w:style>
  <w:style w:type="paragraph" w:customStyle="1" w:styleId="aff2">
    <w:name w:val="Базовый"/>
    <w:rsid w:val="001A299F"/>
    <w:pPr>
      <w:tabs>
        <w:tab w:val="left" w:pos="709"/>
      </w:tabs>
      <w:suppressAutoHyphens/>
      <w:spacing w:line="276" w:lineRule="atLeast"/>
    </w:pPr>
    <w:rPr>
      <w:rFonts w:ascii="Calibri" w:eastAsia="Lucida Sans Unicode" w:hAnsi="Calibri"/>
    </w:rPr>
  </w:style>
  <w:style w:type="table" w:customStyle="1" w:styleId="2a">
    <w:name w:val="Сетка таблицы2"/>
    <w:basedOn w:val="a1"/>
    <w:next w:val="a6"/>
    <w:uiPriority w:val="59"/>
    <w:rsid w:val="001A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6"/>
    <w:uiPriority w:val="59"/>
    <w:rsid w:val="00FB2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20AD"/>
    <w:pPr>
      <w:keepNext/>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6920A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920AD"/>
    <w:pPr>
      <w:keepNext/>
      <w:spacing w:before="240" w:after="60" w:line="240" w:lineRule="auto"/>
      <w:outlineLvl w:val="2"/>
    </w:pPr>
    <w:rPr>
      <w:rFonts w:ascii="Arial" w:eastAsia="Arial Unicode MS" w:hAnsi="Arial" w:cs="Arial"/>
      <w:b/>
      <w:bCs/>
      <w:sz w:val="26"/>
      <w:szCs w:val="26"/>
      <w:lang w:eastAsia="ru-RU"/>
    </w:rPr>
  </w:style>
  <w:style w:type="paragraph" w:styleId="5">
    <w:name w:val="heading 5"/>
    <w:basedOn w:val="a"/>
    <w:next w:val="a"/>
    <w:link w:val="50"/>
    <w:qFormat/>
    <w:rsid w:val="006920A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6920AD"/>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4"/>
    <w:unhideWhenUsed/>
    <w:rsid w:val="00C84029"/>
    <w:pPr>
      <w:spacing w:after="0" w:line="240" w:lineRule="auto"/>
    </w:pPr>
    <w:rPr>
      <w:sz w:val="20"/>
      <w:szCs w:val="20"/>
    </w:rPr>
  </w:style>
  <w:style w:type="character" w:customStyle="1" w:styleId="a4">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link w:val="a3"/>
    <w:rsid w:val="00C84029"/>
    <w:rPr>
      <w:sz w:val="20"/>
      <w:szCs w:val="20"/>
    </w:rPr>
  </w:style>
  <w:style w:type="character" w:styleId="a5">
    <w:name w:val="footnote reference"/>
    <w:basedOn w:val="a0"/>
    <w:semiHidden/>
    <w:rsid w:val="00C84029"/>
    <w:rPr>
      <w:vertAlign w:val="superscript"/>
    </w:rPr>
  </w:style>
  <w:style w:type="table" w:styleId="a6">
    <w:name w:val="Table Grid"/>
    <w:basedOn w:val="a1"/>
    <w:uiPriority w:val="59"/>
    <w:rsid w:val="00C840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C84029"/>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C84029"/>
    <w:rPr>
      <w:rFonts w:ascii="Tahoma" w:hAnsi="Tahoma" w:cs="Tahoma"/>
      <w:sz w:val="16"/>
      <w:szCs w:val="16"/>
    </w:rPr>
  </w:style>
  <w:style w:type="character" w:customStyle="1" w:styleId="10">
    <w:name w:val="Заголовок 1 Знак"/>
    <w:basedOn w:val="a0"/>
    <w:link w:val="1"/>
    <w:rsid w:val="006920A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920AD"/>
    <w:rPr>
      <w:rFonts w:ascii="Arial" w:eastAsia="Times New Roman" w:hAnsi="Arial" w:cs="Arial"/>
      <w:b/>
      <w:bCs/>
      <w:i/>
      <w:iCs/>
      <w:sz w:val="28"/>
      <w:szCs w:val="28"/>
      <w:lang w:eastAsia="ru-RU"/>
    </w:rPr>
  </w:style>
  <w:style w:type="character" w:customStyle="1" w:styleId="30">
    <w:name w:val="Заголовок 3 Знак"/>
    <w:basedOn w:val="a0"/>
    <w:link w:val="3"/>
    <w:rsid w:val="006920AD"/>
    <w:rPr>
      <w:rFonts w:ascii="Arial" w:eastAsia="Arial Unicode MS" w:hAnsi="Arial" w:cs="Arial"/>
      <w:b/>
      <w:bCs/>
      <w:sz w:val="26"/>
      <w:szCs w:val="26"/>
      <w:lang w:eastAsia="ru-RU"/>
    </w:rPr>
  </w:style>
  <w:style w:type="character" w:customStyle="1" w:styleId="50">
    <w:name w:val="Заголовок 5 Знак"/>
    <w:basedOn w:val="a0"/>
    <w:link w:val="5"/>
    <w:rsid w:val="006920A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6920A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6920AD"/>
  </w:style>
  <w:style w:type="paragraph" w:styleId="a9">
    <w:name w:val="footer"/>
    <w:basedOn w:val="a"/>
    <w:link w:val="aa"/>
    <w:uiPriority w:val="99"/>
    <w:rsid w:val="006920A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6920AD"/>
    <w:rPr>
      <w:rFonts w:ascii="Times New Roman" w:eastAsia="Times New Roman" w:hAnsi="Times New Roman" w:cs="Times New Roman"/>
      <w:sz w:val="20"/>
      <w:szCs w:val="20"/>
      <w:lang w:eastAsia="ru-RU"/>
    </w:rPr>
  </w:style>
  <w:style w:type="character" w:styleId="ab">
    <w:name w:val="page number"/>
    <w:basedOn w:val="a0"/>
    <w:rsid w:val="006920AD"/>
  </w:style>
  <w:style w:type="character" w:styleId="ac">
    <w:name w:val="Hyperlink"/>
    <w:basedOn w:val="a0"/>
    <w:rsid w:val="006920AD"/>
    <w:rPr>
      <w:color w:val="0000FF"/>
      <w:sz w:val="20"/>
      <w:szCs w:val="20"/>
      <w:u w:val="single"/>
    </w:rPr>
  </w:style>
  <w:style w:type="paragraph" w:styleId="ad">
    <w:name w:val="Body Text"/>
    <w:aliases w:val="Основной текст1,Основной текст Знак Знак,bt"/>
    <w:basedOn w:val="a"/>
    <w:link w:val="12"/>
    <w:rsid w:val="006920AD"/>
    <w:pPr>
      <w:spacing w:after="0" w:line="240" w:lineRule="auto"/>
      <w:jc w:val="both"/>
    </w:pPr>
    <w:rPr>
      <w:rFonts w:ascii="Times New Roman" w:eastAsia="Times New Roman" w:hAnsi="Times New Roman" w:cs="Times New Roman"/>
      <w:b/>
      <w:sz w:val="24"/>
      <w:szCs w:val="20"/>
      <w:lang w:eastAsia="ru-RU"/>
    </w:rPr>
  </w:style>
  <w:style w:type="character" w:customStyle="1" w:styleId="ae">
    <w:name w:val="Основной текст Знак"/>
    <w:basedOn w:val="a0"/>
    <w:uiPriority w:val="99"/>
    <w:rsid w:val="006920AD"/>
  </w:style>
  <w:style w:type="character" w:customStyle="1" w:styleId="12">
    <w:name w:val="Основной текст Знак1"/>
    <w:aliases w:val="Основной текст1 Знак,Основной текст Знак Знак Знак,bt Знак"/>
    <w:basedOn w:val="a0"/>
    <w:link w:val="ad"/>
    <w:rsid w:val="006920AD"/>
    <w:rPr>
      <w:rFonts w:ascii="Times New Roman" w:eastAsia="Times New Roman" w:hAnsi="Times New Roman" w:cs="Times New Roman"/>
      <w:b/>
      <w:sz w:val="24"/>
      <w:szCs w:val="20"/>
      <w:lang w:eastAsia="ru-RU"/>
    </w:rPr>
  </w:style>
  <w:style w:type="paragraph" w:styleId="af">
    <w:name w:val="Body Text Indent"/>
    <w:basedOn w:val="a"/>
    <w:link w:val="af0"/>
    <w:uiPriority w:val="99"/>
    <w:rsid w:val="006920AD"/>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6920AD"/>
    <w:rPr>
      <w:rFonts w:ascii="Times New Roman" w:eastAsia="Times New Roman" w:hAnsi="Times New Roman" w:cs="Times New Roman"/>
      <w:sz w:val="20"/>
      <w:szCs w:val="20"/>
      <w:lang w:eastAsia="ru-RU"/>
    </w:rPr>
  </w:style>
  <w:style w:type="paragraph" w:styleId="af1">
    <w:name w:val="header"/>
    <w:basedOn w:val="a"/>
    <w:link w:val="af2"/>
    <w:uiPriority w:val="99"/>
    <w:rsid w:val="006920A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920AD"/>
    <w:rPr>
      <w:rFonts w:ascii="Times New Roman" w:eastAsia="Times New Roman" w:hAnsi="Times New Roman" w:cs="Times New Roman"/>
      <w:sz w:val="20"/>
      <w:szCs w:val="20"/>
      <w:lang w:eastAsia="ru-RU"/>
    </w:rPr>
  </w:style>
  <w:style w:type="paragraph" w:styleId="31">
    <w:name w:val="Body Text 3"/>
    <w:basedOn w:val="a"/>
    <w:link w:val="32"/>
    <w:rsid w:val="006920AD"/>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920AD"/>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6920A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3">
    <w:name w:val="Название таблиц"/>
    <w:basedOn w:val="a"/>
    <w:rsid w:val="006920AD"/>
    <w:pPr>
      <w:spacing w:after="0" w:line="240" w:lineRule="auto"/>
      <w:jc w:val="center"/>
    </w:pPr>
    <w:rPr>
      <w:rFonts w:ascii="Times New Roman" w:eastAsia="Times New Roman" w:hAnsi="Times New Roman" w:cs="Times New Roman"/>
      <w:b/>
      <w:szCs w:val="24"/>
      <w:lang w:eastAsia="ru-RU"/>
    </w:rPr>
  </w:style>
  <w:style w:type="paragraph" w:customStyle="1" w:styleId="af4">
    <w:name w:val="обычный ежегодник"/>
    <w:basedOn w:val="a"/>
    <w:link w:val="af5"/>
    <w:rsid w:val="006920AD"/>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5">
    <w:name w:val="обычный ежегодник Знак"/>
    <w:basedOn w:val="a0"/>
    <w:link w:val="af4"/>
    <w:rsid w:val="006920AD"/>
    <w:rPr>
      <w:rFonts w:ascii="Times New Roman" w:eastAsia="Times New Roman" w:hAnsi="Times New Roman" w:cs="Times New Roman"/>
      <w:sz w:val="16"/>
      <w:szCs w:val="24"/>
      <w:lang w:eastAsia="ru-RU"/>
    </w:rPr>
  </w:style>
  <w:style w:type="paragraph" w:styleId="af6">
    <w:name w:val="caption"/>
    <w:basedOn w:val="a"/>
    <w:next w:val="a"/>
    <w:qFormat/>
    <w:rsid w:val="006920AD"/>
    <w:pPr>
      <w:widowControl w:val="0"/>
      <w:autoSpaceDE w:val="0"/>
      <w:autoSpaceDN w:val="0"/>
      <w:adjustRightInd w:val="0"/>
      <w:spacing w:line="240" w:lineRule="auto"/>
    </w:pPr>
    <w:rPr>
      <w:rFonts w:ascii="Times New Roman" w:eastAsia="Times New Roman" w:hAnsi="Times New Roman" w:cs="Times New Roman"/>
      <w:b/>
      <w:bCs/>
      <w:color w:val="4F81BD"/>
      <w:sz w:val="18"/>
      <w:szCs w:val="18"/>
      <w:lang w:eastAsia="ru-RU"/>
    </w:rPr>
  </w:style>
  <w:style w:type="paragraph" w:customStyle="1" w:styleId="22">
    <w:name w:val="2"/>
    <w:basedOn w:val="a"/>
    <w:next w:val="2"/>
    <w:autoRedefine/>
    <w:rsid w:val="006920AD"/>
    <w:pPr>
      <w:spacing w:after="0" w:line="240" w:lineRule="auto"/>
      <w:ind w:firstLine="709"/>
      <w:jc w:val="both"/>
    </w:pPr>
    <w:rPr>
      <w:rFonts w:ascii="Times New Roman" w:eastAsia="Times New Roman" w:hAnsi="Times New Roman" w:cs="Times New Roman"/>
      <w:sz w:val="24"/>
      <w:szCs w:val="20"/>
    </w:rPr>
  </w:style>
  <w:style w:type="paragraph" w:customStyle="1" w:styleId="13">
    <w:name w:val="Знак1"/>
    <w:basedOn w:val="a"/>
    <w:link w:val="14"/>
    <w:rsid w:val="006920AD"/>
    <w:pPr>
      <w:spacing w:after="0" w:line="240" w:lineRule="auto"/>
    </w:pPr>
    <w:rPr>
      <w:rFonts w:ascii="Verdana" w:eastAsia="Times New Roman" w:hAnsi="Verdana" w:cs="Verdana"/>
      <w:sz w:val="20"/>
      <w:szCs w:val="20"/>
      <w:lang w:val="en-US"/>
    </w:rPr>
  </w:style>
  <w:style w:type="paragraph" w:customStyle="1" w:styleId="220">
    <w:name w:val="Основной текст с отступом 22"/>
    <w:basedOn w:val="a"/>
    <w:rsid w:val="006920A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7">
    <w:name w:val="Документ"/>
    <w:basedOn w:val="a"/>
    <w:rsid w:val="006920AD"/>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6920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6920AD"/>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920AD"/>
    <w:rPr>
      <w:rFonts w:ascii="Times New Roman" w:eastAsia="Times New Roman" w:hAnsi="Times New Roman" w:cs="Times New Roman"/>
      <w:sz w:val="20"/>
      <w:szCs w:val="20"/>
      <w:lang w:eastAsia="ru-RU"/>
    </w:rPr>
  </w:style>
  <w:style w:type="paragraph" w:styleId="33">
    <w:name w:val="Body Text Indent 3"/>
    <w:basedOn w:val="a"/>
    <w:link w:val="34"/>
    <w:rsid w:val="006920AD"/>
    <w:pPr>
      <w:spacing w:after="0" w:line="252" w:lineRule="auto"/>
      <w:ind w:firstLine="708"/>
      <w:jc w:val="both"/>
    </w:pPr>
    <w:rPr>
      <w:rFonts w:ascii="Times New Roman" w:eastAsia="Times New Roman" w:hAnsi="Times New Roman" w:cs="Times New Roman"/>
      <w:b/>
      <w:i/>
      <w:iCs/>
      <w:sz w:val="24"/>
      <w:szCs w:val="24"/>
      <w:lang w:eastAsia="ru-RU"/>
    </w:rPr>
  </w:style>
  <w:style w:type="character" w:customStyle="1" w:styleId="34">
    <w:name w:val="Основной текст с отступом 3 Знак"/>
    <w:basedOn w:val="a0"/>
    <w:link w:val="33"/>
    <w:rsid w:val="006920AD"/>
    <w:rPr>
      <w:rFonts w:ascii="Times New Roman" w:eastAsia="Times New Roman" w:hAnsi="Times New Roman" w:cs="Times New Roman"/>
      <w:b/>
      <w:i/>
      <w:iCs/>
      <w:sz w:val="24"/>
      <w:szCs w:val="24"/>
      <w:lang w:eastAsia="ru-RU"/>
    </w:rPr>
  </w:style>
  <w:style w:type="paragraph" w:customStyle="1" w:styleId="ConsNormal">
    <w:name w:val="ConsNormal"/>
    <w:rsid w:val="006920AD"/>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920A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6920AD"/>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692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6920A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6920AD"/>
    <w:rPr>
      <w:rFonts w:ascii="Times New Roman" w:eastAsia="Times New Roman" w:hAnsi="Times New Roman" w:cs="Times New Roman"/>
      <w:sz w:val="24"/>
      <w:szCs w:val="24"/>
      <w:lang w:eastAsia="ru-RU"/>
    </w:rPr>
  </w:style>
  <w:style w:type="paragraph" w:customStyle="1" w:styleId="ConsPlusTitle">
    <w:name w:val="ConsPlusTitle"/>
    <w:uiPriority w:val="99"/>
    <w:rsid w:val="006920A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8">
    <w:name w:val="Основной текст.Основной текст Знак"/>
    <w:rsid w:val="006920AD"/>
    <w:pPr>
      <w:spacing w:after="0" w:line="240" w:lineRule="auto"/>
      <w:jc w:val="both"/>
    </w:pPr>
    <w:rPr>
      <w:rFonts w:ascii="Times New Roman" w:eastAsia="Times New Roman" w:hAnsi="Times New Roman" w:cs="Times New Roman"/>
      <w:sz w:val="28"/>
      <w:szCs w:val="20"/>
      <w:lang w:eastAsia="ru-RU"/>
    </w:rPr>
  </w:style>
  <w:style w:type="paragraph" w:customStyle="1" w:styleId="af9">
    <w:name w:val="Знак"/>
    <w:basedOn w:val="a"/>
    <w:rsid w:val="006920A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1"/>
    <w:basedOn w:val="a"/>
    <w:rsid w:val="006920AD"/>
    <w:pPr>
      <w:spacing w:after="0" w:line="240" w:lineRule="auto"/>
    </w:pPr>
    <w:rPr>
      <w:rFonts w:ascii="Verdana" w:eastAsia="Times New Roman" w:hAnsi="Verdana" w:cs="Verdana"/>
      <w:sz w:val="20"/>
      <w:szCs w:val="20"/>
      <w:lang w:val="en-US"/>
    </w:rPr>
  </w:style>
  <w:style w:type="paragraph" w:customStyle="1" w:styleId="ConsCell">
    <w:name w:val="ConsCell"/>
    <w:rsid w:val="006920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6920AD"/>
    <w:pPr>
      <w:spacing w:after="0" w:line="240" w:lineRule="auto"/>
      <w:ind w:left="-108"/>
    </w:pPr>
    <w:rPr>
      <w:rFonts w:ascii="Times New Roman" w:eastAsia="Times New Roman" w:hAnsi="Times New Roman" w:cs="Times New Roman"/>
      <w:sz w:val="24"/>
      <w:szCs w:val="20"/>
      <w:lang w:eastAsia="ru-RU"/>
    </w:rPr>
  </w:style>
  <w:style w:type="paragraph" w:customStyle="1" w:styleId="ConsPlusCell">
    <w:name w:val="ConsPlusCell"/>
    <w:uiPriority w:val="99"/>
    <w:rsid w:val="006920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7">
    <w:name w:val="Знак2"/>
    <w:basedOn w:val="a"/>
    <w:rsid w:val="006920A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5">
    <w:name w:val="Знак1 Знак Знак Знак"/>
    <w:basedOn w:val="a"/>
    <w:rsid w:val="006920AD"/>
    <w:pPr>
      <w:spacing w:after="160" w:line="240" w:lineRule="exact"/>
    </w:pPr>
    <w:rPr>
      <w:rFonts w:ascii="Times New Roman" w:eastAsia="Times New Roman" w:hAnsi="Times New Roman" w:cs="Times New Roman"/>
      <w:sz w:val="20"/>
      <w:szCs w:val="20"/>
      <w:lang w:eastAsia="zh-CN"/>
    </w:rPr>
  </w:style>
  <w:style w:type="paragraph" w:customStyle="1" w:styleId="28">
    <w:name w:val="Знак2 Знак Знак Знак Знак Знак Знак Знак Знак Знак"/>
    <w:basedOn w:val="a"/>
    <w:rsid w:val="006920AD"/>
    <w:pPr>
      <w:spacing w:after="0" w:line="240" w:lineRule="auto"/>
    </w:pPr>
    <w:rPr>
      <w:rFonts w:ascii="Verdana" w:eastAsia="Times New Roman" w:hAnsi="Verdana" w:cs="Verdana"/>
      <w:sz w:val="20"/>
      <w:szCs w:val="20"/>
      <w:lang w:val="en-US"/>
    </w:rPr>
  </w:style>
  <w:style w:type="paragraph" w:customStyle="1" w:styleId="4">
    <w:name w:val="Знак4"/>
    <w:basedOn w:val="a"/>
    <w:rsid w:val="006920AD"/>
    <w:pPr>
      <w:widowControl w:val="0"/>
      <w:adjustRightInd w:val="0"/>
      <w:spacing w:after="160" w:line="240" w:lineRule="exact"/>
      <w:jc w:val="right"/>
    </w:pPr>
    <w:rPr>
      <w:rFonts w:ascii="Times New Roman" w:eastAsia="Times New Roman" w:hAnsi="Times New Roman" w:cs="Arial"/>
      <w:sz w:val="20"/>
      <w:szCs w:val="20"/>
      <w:lang w:val="en-GB"/>
    </w:rPr>
  </w:style>
  <w:style w:type="character" w:customStyle="1" w:styleId="51">
    <w:name w:val="Знак Знак5"/>
    <w:basedOn w:val="a0"/>
    <w:locked/>
    <w:rsid w:val="006920AD"/>
    <w:rPr>
      <w:b/>
      <w:sz w:val="24"/>
      <w:lang w:val="ru-RU" w:eastAsia="ru-RU" w:bidi="ar-SA"/>
    </w:rPr>
  </w:style>
  <w:style w:type="paragraph" w:customStyle="1" w:styleId="align-justify">
    <w:name w:val="align-justify"/>
    <w:basedOn w:val="a"/>
    <w:rsid w:val="00692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bad">
    <w:name w:val="comments_bad"/>
    <w:basedOn w:val="a"/>
    <w:rsid w:val="00692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Знак Знак8"/>
    <w:basedOn w:val="a0"/>
    <w:rsid w:val="006920AD"/>
    <w:rPr>
      <w:sz w:val="24"/>
      <w:szCs w:val="24"/>
      <w:lang w:val="ru-RU" w:eastAsia="ru-RU" w:bidi="ar-SA"/>
    </w:rPr>
  </w:style>
  <w:style w:type="paragraph" w:styleId="afa">
    <w:name w:val="List Paragraph"/>
    <w:basedOn w:val="a"/>
    <w:qFormat/>
    <w:rsid w:val="006920A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ocked/>
    <w:rsid w:val="006920AD"/>
  </w:style>
  <w:style w:type="paragraph" w:customStyle="1" w:styleId="xl74">
    <w:name w:val="xl74"/>
    <w:basedOn w:val="a"/>
    <w:rsid w:val="006920AD"/>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styleId="afb">
    <w:name w:val="endnote text"/>
    <w:basedOn w:val="a"/>
    <w:link w:val="afc"/>
    <w:uiPriority w:val="99"/>
    <w:semiHidden/>
    <w:unhideWhenUsed/>
    <w:rsid w:val="006920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6920AD"/>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6920AD"/>
    <w:rPr>
      <w:vertAlign w:val="superscript"/>
    </w:rPr>
  </w:style>
  <w:style w:type="paragraph" w:customStyle="1" w:styleId="afe">
    <w:name w:val="Основной текст с отступом.Надин стиль"/>
    <w:basedOn w:val="a"/>
    <w:rsid w:val="006920AD"/>
    <w:pPr>
      <w:spacing w:after="0" w:line="240" w:lineRule="auto"/>
      <w:ind w:right="-766" w:firstLine="720"/>
      <w:jc w:val="both"/>
    </w:pPr>
    <w:rPr>
      <w:rFonts w:ascii="Times New Roman" w:eastAsia="Times New Roman" w:hAnsi="Times New Roman" w:cs="Times New Roman"/>
      <w:sz w:val="28"/>
      <w:szCs w:val="20"/>
      <w:lang w:eastAsia="ru-RU"/>
    </w:rPr>
  </w:style>
  <w:style w:type="numbering" w:customStyle="1" w:styleId="111">
    <w:name w:val="Нет списка11"/>
    <w:next w:val="a2"/>
    <w:semiHidden/>
    <w:unhideWhenUsed/>
    <w:rsid w:val="006920AD"/>
  </w:style>
  <w:style w:type="character" w:customStyle="1" w:styleId="14">
    <w:name w:val="Знак1 Знак"/>
    <w:basedOn w:val="a0"/>
    <w:link w:val="13"/>
    <w:locked/>
    <w:rsid w:val="006920AD"/>
    <w:rPr>
      <w:rFonts w:ascii="Verdana" w:eastAsia="Times New Roman" w:hAnsi="Verdana" w:cs="Verdana"/>
      <w:sz w:val="20"/>
      <w:szCs w:val="20"/>
      <w:lang w:val="en-US"/>
    </w:rPr>
  </w:style>
  <w:style w:type="paragraph" w:styleId="aff">
    <w:name w:val="Normal (Web)"/>
    <w:basedOn w:val="a"/>
    <w:uiPriority w:val="99"/>
    <w:unhideWhenUsed/>
    <w:rsid w:val="00692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920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9">
    <w:name w:val="Нет списка2"/>
    <w:next w:val="a2"/>
    <w:semiHidden/>
    <w:unhideWhenUsed/>
    <w:rsid w:val="00097BE3"/>
  </w:style>
  <w:style w:type="table" w:customStyle="1" w:styleId="17">
    <w:name w:val="Сетка таблицы1"/>
    <w:basedOn w:val="a1"/>
    <w:next w:val="a6"/>
    <w:rsid w:val="00097B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Знак Знак Знак"/>
    <w:basedOn w:val="a"/>
    <w:rsid w:val="00097BE3"/>
    <w:pPr>
      <w:spacing w:after="160" w:line="240" w:lineRule="exact"/>
    </w:pPr>
    <w:rPr>
      <w:rFonts w:ascii="Times New Roman" w:eastAsia="Times New Roman" w:hAnsi="Times New Roman" w:cs="Times New Roman"/>
      <w:sz w:val="20"/>
      <w:szCs w:val="20"/>
      <w:lang w:eastAsia="zh-CN"/>
    </w:rPr>
  </w:style>
  <w:style w:type="paragraph" w:customStyle="1" w:styleId="112">
    <w:name w:val="Знак1 Знак Знак1 Знак Знак Знак Знак"/>
    <w:basedOn w:val="a"/>
    <w:rsid w:val="00AE25F1"/>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2"/>
    <w:uiPriority w:val="99"/>
    <w:semiHidden/>
    <w:unhideWhenUsed/>
    <w:rsid w:val="00EB28EA"/>
  </w:style>
  <w:style w:type="numbering" w:customStyle="1" w:styleId="120">
    <w:name w:val="Нет списка12"/>
    <w:next w:val="a2"/>
    <w:semiHidden/>
    <w:unhideWhenUsed/>
    <w:rsid w:val="00EB28EA"/>
  </w:style>
  <w:style w:type="table" w:customStyle="1" w:styleId="36">
    <w:name w:val="Сетка таблицы3"/>
    <w:basedOn w:val="a1"/>
    <w:next w:val="a6"/>
    <w:uiPriority w:val="59"/>
    <w:rsid w:val="001A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1"/>
    <w:qFormat/>
    <w:rsid w:val="001A299F"/>
    <w:pPr>
      <w:spacing w:after="0" w:line="240" w:lineRule="auto"/>
    </w:pPr>
    <w:rPr>
      <w:rFonts w:ascii="Times New Roman" w:eastAsia="Times New Roman" w:hAnsi="Times New Roman" w:cs="Times New Roman"/>
      <w:sz w:val="24"/>
      <w:szCs w:val="24"/>
      <w:lang w:eastAsia="ru-RU"/>
    </w:rPr>
  </w:style>
  <w:style w:type="paragraph" w:customStyle="1" w:styleId="aff2">
    <w:name w:val="Базовый"/>
    <w:rsid w:val="001A299F"/>
    <w:pPr>
      <w:tabs>
        <w:tab w:val="left" w:pos="709"/>
      </w:tabs>
      <w:suppressAutoHyphens/>
      <w:spacing w:line="276" w:lineRule="atLeast"/>
    </w:pPr>
    <w:rPr>
      <w:rFonts w:ascii="Calibri" w:eastAsia="Lucida Sans Unicode" w:hAnsi="Calibri"/>
    </w:rPr>
  </w:style>
  <w:style w:type="table" w:customStyle="1" w:styleId="2a">
    <w:name w:val="Сетка таблицы2"/>
    <w:basedOn w:val="a1"/>
    <w:next w:val="a6"/>
    <w:uiPriority w:val="59"/>
    <w:rsid w:val="001A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6"/>
    <w:uiPriority w:val="59"/>
    <w:rsid w:val="00FB2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1393">
      <w:bodyDiv w:val="1"/>
      <w:marLeft w:val="0"/>
      <w:marRight w:val="0"/>
      <w:marTop w:val="0"/>
      <w:marBottom w:val="0"/>
      <w:divBdr>
        <w:top w:val="none" w:sz="0" w:space="0" w:color="auto"/>
        <w:left w:val="none" w:sz="0" w:space="0" w:color="auto"/>
        <w:bottom w:val="none" w:sz="0" w:space="0" w:color="auto"/>
        <w:right w:val="none" w:sz="0" w:space="0" w:color="auto"/>
      </w:divBdr>
    </w:div>
    <w:div w:id="528371587">
      <w:bodyDiv w:val="1"/>
      <w:marLeft w:val="0"/>
      <w:marRight w:val="0"/>
      <w:marTop w:val="0"/>
      <w:marBottom w:val="0"/>
      <w:divBdr>
        <w:top w:val="none" w:sz="0" w:space="0" w:color="auto"/>
        <w:left w:val="none" w:sz="0" w:space="0" w:color="auto"/>
        <w:bottom w:val="none" w:sz="0" w:space="0" w:color="auto"/>
        <w:right w:val="none" w:sz="0" w:space="0" w:color="auto"/>
      </w:divBdr>
    </w:div>
    <w:div w:id="701978338">
      <w:bodyDiv w:val="1"/>
      <w:marLeft w:val="0"/>
      <w:marRight w:val="0"/>
      <w:marTop w:val="0"/>
      <w:marBottom w:val="0"/>
      <w:divBdr>
        <w:top w:val="none" w:sz="0" w:space="0" w:color="auto"/>
        <w:left w:val="none" w:sz="0" w:space="0" w:color="auto"/>
        <w:bottom w:val="none" w:sz="0" w:space="0" w:color="auto"/>
        <w:right w:val="none" w:sz="0" w:space="0" w:color="auto"/>
      </w:divBdr>
    </w:div>
    <w:div w:id="829055888">
      <w:bodyDiv w:val="1"/>
      <w:marLeft w:val="0"/>
      <w:marRight w:val="0"/>
      <w:marTop w:val="0"/>
      <w:marBottom w:val="0"/>
      <w:divBdr>
        <w:top w:val="none" w:sz="0" w:space="0" w:color="auto"/>
        <w:left w:val="none" w:sz="0" w:space="0" w:color="auto"/>
        <w:bottom w:val="none" w:sz="0" w:space="0" w:color="auto"/>
        <w:right w:val="none" w:sz="0" w:space="0" w:color="auto"/>
      </w:divBdr>
    </w:div>
    <w:div w:id="879628059">
      <w:bodyDiv w:val="1"/>
      <w:marLeft w:val="0"/>
      <w:marRight w:val="0"/>
      <w:marTop w:val="0"/>
      <w:marBottom w:val="0"/>
      <w:divBdr>
        <w:top w:val="none" w:sz="0" w:space="0" w:color="auto"/>
        <w:left w:val="none" w:sz="0" w:space="0" w:color="auto"/>
        <w:bottom w:val="none" w:sz="0" w:space="0" w:color="auto"/>
        <w:right w:val="none" w:sz="0" w:space="0" w:color="auto"/>
      </w:divBdr>
    </w:div>
    <w:div w:id="938870571">
      <w:bodyDiv w:val="1"/>
      <w:marLeft w:val="0"/>
      <w:marRight w:val="0"/>
      <w:marTop w:val="0"/>
      <w:marBottom w:val="0"/>
      <w:divBdr>
        <w:top w:val="none" w:sz="0" w:space="0" w:color="auto"/>
        <w:left w:val="none" w:sz="0" w:space="0" w:color="auto"/>
        <w:bottom w:val="none" w:sz="0" w:space="0" w:color="auto"/>
        <w:right w:val="none" w:sz="0" w:space="0" w:color="auto"/>
      </w:divBdr>
    </w:div>
    <w:div w:id="1019238272">
      <w:bodyDiv w:val="1"/>
      <w:marLeft w:val="0"/>
      <w:marRight w:val="0"/>
      <w:marTop w:val="0"/>
      <w:marBottom w:val="0"/>
      <w:divBdr>
        <w:top w:val="none" w:sz="0" w:space="0" w:color="auto"/>
        <w:left w:val="none" w:sz="0" w:space="0" w:color="auto"/>
        <w:bottom w:val="none" w:sz="0" w:space="0" w:color="auto"/>
        <w:right w:val="none" w:sz="0" w:space="0" w:color="auto"/>
      </w:divBdr>
    </w:div>
    <w:div w:id="1692415365">
      <w:bodyDiv w:val="1"/>
      <w:marLeft w:val="0"/>
      <w:marRight w:val="0"/>
      <w:marTop w:val="0"/>
      <w:marBottom w:val="0"/>
      <w:divBdr>
        <w:top w:val="none" w:sz="0" w:space="0" w:color="auto"/>
        <w:left w:val="none" w:sz="0" w:space="0" w:color="auto"/>
        <w:bottom w:val="none" w:sz="0" w:space="0" w:color="auto"/>
        <w:right w:val="none" w:sz="0" w:space="0" w:color="auto"/>
      </w:divBdr>
    </w:div>
    <w:div w:id="1764910821">
      <w:bodyDiv w:val="1"/>
      <w:marLeft w:val="0"/>
      <w:marRight w:val="0"/>
      <w:marTop w:val="0"/>
      <w:marBottom w:val="0"/>
      <w:divBdr>
        <w:top w:val="none" w:sz="0" w:space="0" w:color="auto"/>
        <w:left w:val="none" w:sz="0" w:space="0" w:color="auto"/>
        <w:bottom w:val="none" w:sz="0" w:space="0" w:color="auto"/>
        <w:right w:val="none" w:sz="0" w:space="0" w:color="auto"/>
      </w:divBdr>
    </w:div>
    <w:div w:id="1929462428">
      <w:bodyDiv w:val="1"/>
      <w:marLeft w:val="0"/>
      <w:marRight w:val="0"/>
      <w:marTop w:val="0"/>
      <w:marBottom w:val="0"/>
      <w:divBdr>
        <w:top w:val="none" w:sz="0" w:space="0" w:color="auto"/>
        <w:left w:val="none" w:sz="0" w:space="0" w:color="auto"/>
        <w:bottom w:val="none" w:sz="0" w:space="0" w:color="auto"/>
        <w:right w:val="none" w:sz="0" w:space="0" w:color="auto"/>
      </w:divBdr>
    </w:div>
    <w:div w:id="1932620377">
      <w:bodyDiv w:val="1"/>
      <w:marLeft w:val="0"/>
      <w:marRight w:val="0"/>
      <w:marTop w:val="0"/>
      <w:marBottom w:val="0"/>
      <w:divBdr>
        <w:top w:val="none" w:sz="0" w:space="0" w:color="auto"/>
        <w:left w:val="none" w:sz="0" w:space="0" w:color="auto"/>
        <w:bottom w:val="none" w:sz="0" w:space="0" w:color="auto"/>
        <w:right w:val="none" w:sz="0" w:space="0" w:color="auto"/>
      </w:divBdr>
    </w:div>
    <w:div w:id="2048481426">
      <w:bodyDiv w:val="1"/>
      <w:marLeft w:val="0"/>
      <w:marRight w:val="0"/>
      <w:marTop w:val="0"/>
      <w:marBottom w:val="0"/>
      <w:divBdr>
        <w:top w:val="none" w:sz="0" w:space="0" w:color="auto"/>
        <w:left w:val="none" w:sz="0" w:space="0" w:color="auto"/>
        <w:bottom w:val="none" w:sz="0" w:space="0" w:color="auto"/>
        <w:right w:val="none" w:sz="0" w:space="0" w:color="auto"/>
      </w:divBdr>
    </w:div>
    <w:div w:id="2064908937">
      <w:bodyDiv w:val="1"/>
      <w:marLeft w:val="0"/>
      <w:marRight w:val="0"/>
      <w:marTop w:val="0"/>
      <w:marBottom w:val="0"/>
      <w:divBdr>
        <w:top w:val="none" w:sz="0" w:space="0" w:color="auto"/>
        <w:left w:val="none" w:sz="0" w:space="0" w:color="auto"/>
        <w:bottom w:val="none" w:sz="0" w:space="0" w:color="auto"/>
        <w:right w:val="none" w:sz="0" w:space="0" w:color="auto"/>
      </w:divBdr>
    </w:div>
    <w:div w:id="2144496546">
      <w:bodyDiv w:val="1"/>
      <w:marLeft w:val="0"/>
      <w:marRight w:val="0"/>
      <w:marTop w:val="0"/>
      <w:marBottom w:val="0"/>
      <w:divBdr>
        <w:top w:val="none" w:sz="0" w:space="0" w:color="auto"/>
        <w:left w:val="none" w:sz="0" w:space="0" w:color="auto"/>
        <w:bottom w:val="none" w:sz="0" w:space="0" w:color="auto"/>
        <w:right w:val="none" w:sz="0" w:space="0" w:color="auto"/>
      </w:divBdr>
    </w:div>
    <w:div w:id="21448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consultantplus://offline/ref=F7083A6F88D21E6D9CA4E181BA9406257180FFBC465A451EABDC6476744B27223E6FFE4239D0F8985972DA1EW7A" TargetMode="External"/><Relationship Id="rId21" Type="http://schemas.openxmlformats.org/officeDocument/2006/relationships/chart" Target="charts/chart11.xml"/><Relationship Id="rId34" Type="http://schemas.openxmlformats.org/officeDocument/2006/relationships/chart" Target="charts/chart22.xml"/><Relationship Id="rId42" Type="http://schemas.openxmlformats.org/officeDocument/2006/relationships/hyperlink" Target="consultantplus://offline/ref=A1A96B50DA2049EE2AD1D6EB7AD9DBE476BE0DC3AEE6C1D2EFA34499E3165F41E51972ECD827930A291C0ET8A6C" TargetMode="External"/><Relationship Id="rId47" Type="http://schemas.openxmlformats.org/officeDocument/2006/relationships/hyperlink" Target="consultantplus://offline/ref=18FCED4E0F1E631AE40082AAB24771DC5FFAF954E244931E6888F0C0D43C7C74F19D613F8AWA4AI" TargetMode="External"/><Relationship Id="rId50" Type="http://schemas.openxmlformats.org/officeDocument/2006/relationships/chart" Target="charts/chart28.xml"/><Relationship Id="rId55" Type="http://schemas.openxmlformats.org/officeDocument/2006/relationships/chart" Target="charts/chart33.xml"/><Relationship Id="rId63" Type="http://schemas.openxmlformats.org/officeDocument/2006/relationships/chart" Target="charts/chart37.xml"/><Relationship Id="rId68" Type="http://schemas.openxmlformats.org/officeDocument/2006/relationships/hyperlink" Target="consultantplus://offline/ref=C0E1B72D86FC69A85ABFE7381309345A4A9CC5BAD08E7BF728610E0AE690996D3D8739889E03847453942E143FD" TargetMode="External"/><Relationship Id="rId76" Type="http://schemas.openxmlformats.org/officeDocument/2006/relationships/hyperlink" Target="consultantplus://offline/ref=C0E1B72D86FC69A85ABFE7381309345A4A9CC5BAD08E7BF728610E0AE690996D3D8739889E03847453942E143FD"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C0E1B72D86FC69A85ABFE7381309345A4A9CC5BAD08E7BF728610E0AE690996D3D8739889E03847453942E143FD" TargetMode="Externa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yperlink" Target="consultantplus://offline/ref=2E3B72186448AB085B30285146EDF30B2851D0FE20E07DAE43501CA65D2F3FB0D04A2920CF7F0F40f4l5B" TargetMode="External"/><Relationship Id="rId37" Type="http://schemas.openxmlformats.org/officeDocument/2006/relationships/chart" Target="charts/chart25.xml"/><Relationship Id="rId40" Type="http://schemas.openxmlformats.org/officeDocument/2006/relationships/chart" Target="charts/chart26.xml"/><Relationship Id="rId45" Type="http://schemas.openxmlformats.org/officeDocument/2006/relationships/hyperlink" Target="consultantplus://offline/ref=A1A96B50DA2049EE2AD1D6EB7AD9DBE476BE0DC3AEE6C1D2EFA34499E3165F41E51972ECD827930A291A06T8A6C" TargetMode="External"/><Relationship Id="rId53" Type="http://schemas.openxmlformats.org/officeDocument/2006/relationships/chart" Target="charts/chart31.xml"/><Relationship Id="rId58" Type="http://schemas.openxmlformats.org/officeDocument/2006/relationships/hyperlink" Target="consultantplus://offline/ref=6DB751B8F30860C9FE81D7008DC17DBD279A3FD4ECE19A9FCD75CAD4023E99C372193EE6E0nFF8H" TargetMode="External"/><Relationship Id="rId66" Type="http://schemas.openxmlformats.org/officeDocument/2006/relationships/chart" Target="charts/chart40.xml"/><Relationship Id="rId74" Type="http://schemas.openxmlformats.org/officeDocument/2006/relationships/hyperlink" Target="consultantplus://offline/ref=C0E1B72D86FC69A85ABFE7381309345A4A9CC5BAD08E7BF728610E0AE690996D3D8739889E03847453942E143FD" TargetMode="External"/><Relationship Id="rId79" Type="http://schemas.openxmlformats.org/officeDocument/2006/relationships/hyperlink" Target="consultantplus://offline/ref=C0E1B72D86FC69A85ABFE7381309345A4A9CC5BAD08E7BF728610E0AE690996D3D8739889E03847453942E143FD" TargetMode="External"/><Relationship Id="rId5" Type="http://schemas.openxmlformats.org/officeDocument/2006/relationships/settings" Target="settings.xml"/><Relationship Id="rId61" Type="http://schemas.openxmlformats.org/officeDocument/2006/relationships/hyperlink" Target="consultantplus://offline/ref=59909FAF1B43D72FA47DF10FAB3C585A12890688D69C7FFF4E2CF66E1A7460A63AAF109683582AB808B0BFx1w5F" TargetMode="External"/><Relationship Id="rId82" Type="http://schemas.openxmlformats.org/officeDocument/2006/relationships/footer" Target="footer1.xml"/><Relationship Id="rId10" Type="http://schemas.openxmlformats.org/officeDocument/2006/relationships/hyperlink" Target="mailto:kspamur@tsl.ru"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hyperlink" Target="consultantplus://offline/ref=A1A96B50DA2049EE2AD1D6EB7AD9DBE476BE0DC3AEE6C1D2EFA34499E3165F41E51972ECD827930A291A0ET8A5C" TargetMode="External"/><Relationship Id="rId52" Type="http://schemas.openxmlformats.org/officeDocument/2006/relationships/chart" Target="charts/chart30.xml"/><Relationship Id="rId60" Type="http://schemas.openxmlformats.org/officeDocument/2006/relationships/hyperlink" Target="consultantplus://offline/ref=73B8C08DA4D3FB22C714AB60CDF15F76363375F475C1CBEDFF493B774A7E857B3BF8F843CBD783jBGBA" TargetMode="External"/><Relationship Id="rId65" Type="http://schemas.openxmlformats.org/officeDocument/2006/relationships/chart" Target="charts/chart39.xml"/><Relationship Id="rId73" Type="http://schemas.openxmlformats.org/officeDocument/2006/relationships/hyperlink" Target="consultantplus://offline/ref=C0E1B72D86FC69A85ABFE7381309345A4A9CC5BAD08E7BF728610E0AE690996D3D8739889E03847453942E143FD" TargetMode="External"/><Relationship Id="rId78" Type="http://schemas.openxmlformats.org/officeDocument/2006/relationships/hyperlink" Target="consultantplus://offline/ref=C0E1B72D86FC69A85ABFE7381309345A4A9CC5BAD08E7BF728610E0AE690996D3D8739889E03847453942E143FD" TargetMode="External"/><Relationship Id="rId81" Type="http://schemas.openxmlformats.org/officeDocument/2006/relationships/hyperlink" Target="consultantplus://offline/ref=C0E1B72D86FC69A85ABFE7381309345A4A9CC5BAD08E7BF728610E0AE690996D3D8739889E03847453942E143F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3.xml"/><Relationship Id="rId43" Type="http://schemas.openxmlformats.org/officeDocument/2006/relationships/hyperlink" Target="consultantplus://offline/ref=A1A96B50DA2049EE2AD1D6EB7AD9DBE476BE0DC3AEE6C1D2EFA34499E3165F41E51972ECD827930A29190AT8A6C" TargetMode="External"/><Relationship Id="rId48" Type="http://schemas.openxmlformats.org/officeDocument/2006/relationships/hyperlink" Target="consultantplus://offline/ref=18FCED4E0F1E631AE40082AAB24771DC5FFAF954E244931E6888F0C0D43C7C74F19D613F88A99508W244I" TargetMode="External"/><Relationship Id="rId56" Type="http://schemas.openxmlformats.org/officeDocument/2006/relationships/chart" Target="charts/chart34.xml"/><Relationship Id="rId64" Type="http://schemas.openxmlformats.org/officeDocument/2006/relationships/chart" Target="charts/chart38.xml"/><Relationship Id="rId69" Type="http://schemas.openxmlformats.org/officeDocument/2006/relationships/hyperlink" Target="consultantplus://offline/ref=C0E1B72D86FC69A85ABFE7381309345A4A9CC5BAD08E7BF728610E0AE690996D3D8739889E03847453942E143FD" TargetMode="External"/><Relationship Id="rId77" Type="http://schemas.openxmlformats.org/officeDocument/2006/relationships/hyperlink" Target="consultantplus://offline/ref=C0E1B72D86FC69A85ABFE7381309345A4A9CC5BAD08E7BF728610E0AE690996D3D8739889E03847453942E143FD" TargetMode="External"/><Relationship Id="rId8" Type="http://schemas.openxmlformats.org/officeDocument/2006/relationships/endnotes" Target="endnotes.xml"/><Relationship Id="rId51" Type="http://schemas.openxmlformats.org/officeDocument/2006/relationships/chart" Target="charts/chart29.xml"/><Relationship Id="rId72" Type="http://schemas.openxmlformats.org/officeDocument/2006/relationships/hyperlink" Target="consultantplus://offline/ref=C0E1B72D86FC69A85ABFE7381309345A4A9CC5BAD08E7BF728610E0AE690996D3D8739889E03847453942E143FD" TargetMode="External"/><Relationship Id="rId80" Type="http://schemas.openxmlformats.org/officeDocument/2006/relationships/hyperlink" Target="consultantplus://offline/ref=C0E1B72D86FC69A85ABFE7381309345A4A9CC5BAD08E7BF728610E0AE690996D3D8739889E03847453942E143FD"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yperlink" Target="consultantplus://offline/ref=2E3B72186448AB085B30285146EDF30B2851D0FE20E07DAE43501CA65D2F3FB0D04A2920CF7F0F40f4l5B" TargetMode="External"/><Relationship Id="rId38" Type="http://schemas.openxmlformats.org/officeDocument/2006/relationships/hyperlink" Target="consultantplus://offline/ref=A9CA22ADD4729A609A771DDAF8C4D26903B3BDD6E89BA3711039E01F3FC3F15F808D546A5C1C085A06D0FCZBU1A" TargetMode="External"/><Relationship Id="rId46" Type="http://schemas.openxmlformats.org/officeDocument/2006/relationships/hyperlink" Target="consultantplus://offline/ref=21FE437A3C9D2E3209303B6C5AB15B46CFFB824306368C957A458F3BBDC216FEE9275D2A4CC3ED30C2P2H" TargetMode="External"/><Relationship Id="rId59" Type="http://schemas.openxmlformats.org/officeDocument/2006/relationships/hyperlink" Target="consultantplus://offline/ref=73B8C08DA4D3FB22C714AB60CDF15F76373E70F47EC1CBEDFF493B774A7E857B3BF8F843CADD84jBGAA" TargetMode="External"/><Relationship Id="rId67" Type="http://schemas.openxmlformats.org/officeDocument/2006/relationships/hyperlink" Target="consultantplus://offline/ref=FF074F3BB811761604707600EA2FDE850DD45DEC33FC4993B46E2374E830951194C53ACA4BBE98ABO6FFG" TargetMode="External"/><Relationship Id="rId20" Type="http://schemas.openxmlformats.org/officeDocument/2006/relationships/chart" Target="charts/chart10.xml"/><Relationship Id="rId41" Type="http://schemas.openxmlformats.org/officeDocument/2006/relationships/chart" Target="charts/chart27.xml"/><Relationship Id="rId54" Type="http://schemas.openxmlformats.org/officeDocument/2006/relationships/chart" Target="charts/chart32.xml"/><Relationship Id="rId62" Type="http://schemas.openxmlformats.org/officeDocument/2006/relationships/chart" Target="charts/chart36.xml"/><Relationship Id="rId70" Type="http://schemas.openxmlformats.org/officeDocument/2006/relationships/hyperlink" Target="consultantplus://offline/ref=C0E1B72D86FC69A85ABFE7381309345A4A9CC5BAD08E7BF728610E0AE690996D3D8739889E03847453942E143FD" TargetMode="External"/><Relationship Id="rId75" Type="http://schemas.openxmlformats.org/officeDocument/2006/relationships/hyperlink" Target="consultantplus://offline/ref=C0E1B72D86FC69A85ABFE7381309345A4A9CC5BAD08E7BF728610E0AE690996D3D8739889E03847453942E143FD"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4.xml"/><Relationship Id="rId49" Type="http://schemas.openxmlformats.org/officeDocument/2006/relationships/hyperlink" Target="consultantplus://offline/ref=18FCED4E0F1E631AE40082AAB24771DC5FFAF954E244931E6888F0C0D43C7C74F19D613F88A9970EW249I" TargetMode="External"/><Relationship Id="rId57" Type="http://schemas.openxmlformats.org/officeDocument/2006/relationships/chart" Target="charts/chart3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12.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1042;&#1072;&#1083;&#1077;&#1085;&#1090;&#1080;&#1085;&#1072;\Desktop\&#1055;&#1086;&#1076;&#1075;&#1086;&#1090;&#1086;&#1074;&#1082;&#1072;%20&#1079;&#1072;&#1082;&#1083;&#1102;&#1095;&#1077;&#1085;&#1080;&#1103;%20&#1085;&#1072;%20&#1080;&#1089;&#1087;&#1086;&#1083;&#1085;&#1077;&#1085;&#1080;&#1077;%20&#1073;&#1102;&#1076;&#1078;&#1077;&#1090;&#1072;%202015\&#1044;&#1080;&#1072;&#1075;&#1088;&#1072;&#1084;&#1084;&#1099;%20&#1076;&#1083;&#1103;%20&#1080;&#1089;&#1087;&#1086;&#1083;&#1085;&#1077;&#1085;&#1080;&#1103;%20&#1073;&#1102;&#1076;&#1078;&#1077;&#1090;&#1072;%202015.xlsx" TargetMode="External"/><Relationship Id="rId1" Type="http://schemas.openxmlformats.org/officeDocument/2006/relationships/themeOverride" Target="../theme/themeOverride1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1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15.xml"/></Relationships>
</file>

<file path=word/charts/_rels/chart2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16.xml"/></Relationships>
</file>

<file path=word/charts/_rels/chart28.xml.rels><?xml version="1.0" encoding="UTF-8" standalone="yes"?>
<Relationships xmlns="http://schemas.openxmlformats.org/package/2006/relationships"><Relationship Id="rId1" Type="http://schemas.openxmlformats.org/officeDocument/2006/relationships/oleObject" Target="file:///C:\Users\Dom\Desktop\&#1044;&#1054;&#1052;&#1040;%20&#1044;&#1048;&#1040;&#1043;&#1056;&#1040;&#1052;&#1052;&#1040;\&#1050;&#1085;&#1080;&#1075;&#1072;1.xlsx" TargetMode="Externa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17.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18.xml"/></Relationships>
</file>

<file path=word/charts/_rels/chart3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themeOverride" Target="../theme/themeOverride19.xml"/><Relationship Id="rId4" Type="http://schemas.openxmlformats.org/officeDocument/2006/relationships/package" Target="../embeddings/Microsoft_Excel_Worksheet28.xlsx"/></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0.xml"/></Relationships>
</file>

<file path=word/charts/_rels/chart33.xml.rels><?xml version="1.0" encoding="UTF-8" standalone="yes"?>
<Relationships xmlns="http://schemas.openxmlformats.org/package/2006/relationships"><Relationship Id="rId1" Type="http://schemas.openxmlformats.org/officeDocument/2006/relationships/oleObject" Target="file:///C:\Users\Dom\Desktop\&#1044;&#1054;&#1052;&#1040;%20&#1044;&#1048;&#1040;&#1043;&#1056;&#1040;&#1052;&#1052;&#1040;\&#1050;&#1085;&#1080;&#1075;&#1072;1.xlsx" TargetMode="Externa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21.xml"/></Relationships>
</file>

<file path=word/charts/_rels/chart35.xml.rels><?xml version="1.0" encoding="UTF-8" standalone="yes"?>
<Relationships xmlns="http://schemas.openxmlformats.org/package/2006/relationships"><Relationship Id="rId1" Type="http://schemas.openxmlformats.org/officeDocument/2006/relationships/oleObject" Target="file:///C:\Users\Dom\Desktop\&#1044;&#1054;&#1052;&#1040;%20&#1044;&#1048;&#1040;&#1043;&#1056;&#1040;&#1052;&#1052;&#1040;\&#1050;&#1085;&#1080;&#1075;&#1072;1.xlsx" TargetMode="Externa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22.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23.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24.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34.xlsx"/><Relationship Id="rId1" Type="http://schemas.openxmlformats.org/officeDocument/2006/relationships/themeOverride" Target="../theme/themeOverride25.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26.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9.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187183919083292E-2"/>
          <c:y val="8.8888888888888892E-2"/>
          <c:w val="0.9225774598297164"/>
          <c:h val="0.5673685571912207"/>
        </c:manualLayout>
      </c:layout>
      <c:barChart>
        <c:barDir val="col"/>
        <c:grouping val="clustered"/>
        <c:varyColors val="0"/>
        <c:ser>
          <c:idx val="0"/>
          <c:order val="0"/>
          <c:tx>
            <c:strRef>
              <c:f>Лист1!$B$1</c:f>
              <c:strCache>
                <c:ptCount val="1"/>
                <c:pt idx="0">
                  <c:v>Численность незанятых граждан, обратившихся в службу занятости</c:v>
                </c:pt>
              </c:strCache>
            </c:strRef>
          </c:tx>
          <c:spPr>
            <a:gradFill>
              <a:gsLst>
                <a:gs pos="417">
                  <a:srgbClr val="6D97FF"/>
                </a:gs>
                <a:gs pos="67000">
                  <a:srgbClr val="0047FF"/>
                </a:gs>
                <a:gs pos="100000">
                  <a:srgbClr val="000082"/>
                </a:gs>
              </a:gsLst>
              <a:lin ang="5400000" scaled="0"/>
            </a:gradFill>
            <a:ln>
              <a:solidFill>
                <a:schemeClr val="tx1"/>
              </a:solidFill>
            </a:ln>
            <a:effectLst>
              <a:innerShdw blurRad="152400" dist="50800" dir="2700000">
                <a:prstClr val="black">
                  <a:alpha val="95000"/>
                </a:prstClr>
              </a:innerShdw>
            </a:effectLst>
          </c:spPr>
          <c:invertIfNegative val="0"/>
          <c:cat>
            <c:strRef>
              <c:f>Лист1!$A$2:$A$25</c:f>
              <c:strCache>
                <c:ptCount val="24"/>
                <c:pt idx="0">
                  <c:v>Янв</c:v>
                </c:pt>
                <c:pt idx="1">
                  <c:v>Фев</c:v>
                </c:pt>
                <c:pt idx="2">
                  <c:v>Мар</c:v>
                </c:pt>
                <c:pt idx="3">
                  <c:v>Апр</c:v>
                </c:pt>
                <c:pt idx="4">
                  <c:v>Май</c:v>
                </c:pt>
                <c:pt idx="5">
                  <c:v>Июнь</c:v>
                </c:pt>
                <c:pt idx="6">
                  <c:v>Июль</c:v>
                </c:pt>
                <c:pt idx="7">
                  <c:v>Авг</c:v>
                </c:pt>
                <c:pt idx="8">
                  <c:v>Сент</c:v>
                </c:pt>
                <c:pt idx="9">
                  <c:v>Окт</c:v>
                </c:pt>
                <c:pt idx="10">
                  <c:v>Нояб</c:v>
                </c:pt>
                <c:pt idx="11">
                  <c:v>Дек</c:v>
                </c:pt>
                <c:pt idx="12">
                  <c:v>Янв</c:v>
                </c:pt>
                <c:pt idx="13">
                  <c:v>Фев</c:v>
                </c:pt>
                <c:pt idx="14">
                  <c:v>Мар</c:v>
                </c:pt>
                <c:pt idx="15">
                  <c:v>Апр</c:v>
                </c:pt>
                <c:pt idx="16">
                  <c:v>Май</c:v>
                </c:pt>
                <c:pt idx="17">
                  <c:v>Июнь</c:v>
                </c:pt>
                <c:pt idx="18">
                  <c:v>Июль</c:v>
                </c:pt>
                <c:pt idx="19">
                  <c:v>Авг</c:v>
                </c:pt>
                <c:pt idx="20">
                  <c:v>Сент</c:v>
                </c:pt>
                <c:pt idx="21">
                  <c:v>Окт</c:v>
                </c:pt>
                <c:pt idx="22">
                  <c:v>Нояб</c:v>
                </c:pt>
                <c:pt idx="23">
                  <c:v>Дек</c:v>
                </c:pt>
              </c:strCache>
            </c:strRef>
          </c:cat>
          <c:val>
            <c:numRef>
              <c:f>Лист1!$B$2:$B$25</c:f>
              <c:numCache>
                <c:formatCode>0.00</c:formatCode>
                <c:ptCount val="24"/>
                <c:pt idx="0">
                  <c:v>13.654999999999999</c:v>
                </c:pt>
                <c:pt idx="1">
                  <c:v>14.225</c:v>
                </c:pt>
                <c:pt idx="2">
                  <c:v>14.132</c:v>
                </c:pt>
                <c:pt idx="3">
                  <c:v>13.622</c:v>
                </c:pt>
                <c:pt idx="4">
                  <c:v>13.647</c:v>
                </c:pt>
                <c:pt idx="5">
                  <c:v>13.387</c:v>
                </c:pt>
                <c:pt idx="6">
                  <c:v>13.44</c:v>
                </c:pt>
                <c:pt idx="7">
                  <c:v>13.032</c:v>
                </c:pt>
                <c:pt idx="8">
                  <c:v>12.497999999999999</c:v>
                </c:pt>
                <c:pt idx="9">
                  <c:v>12.263</c:v>
                </c:pt>
                <c:pt idx="10">
                  <c:v>13.002000000000001</c:v>
                </c:pt>
                <c:pt idx="11">
                  <c:v>13.032999999999999</c:v>
                </c:pt>
                <c:pt idx="12">
                  <c:v>13.965</c:v>
                </c:pt>
                <c:pt idx="13">
                  <c:v>14.718</c:v>
                </c:pt>
                <c:pt idx="14">
                  <c:v>14.781000000000001</c:v>
                </c:pt>
                <c:pt idx="15">
                  <c:v>14.651999999999999</c:v>
                </c:pt>
                <c:pt idx="16">
                  <c:v>14.597</c:v>
                </c:pt>
                <c:pt idx="17">
                  <c:v>14.478999999999999</c:v>
                </c:pt>
                <c:pt idx="18">
                  <c:v>14.42</c:v>
                </c:pt>
                <c:pt idx="19">
                  <c:v>14.339</c:v>
                </c:pt>
                <c:pt idx="20">
                  <c:v>13.727</c:v>
                </c:pt>
                <c:pt idx="21">
                  <c:v>13.388</c:v>
                </c:pt>
                <c:pt idx="22">
                  <c:v>14.308</c:v>
                </c:pt>
                <c:pt idx="23">
                  <c:v>14.25</c:v>
                </c:pt>
              </c:numCache>
            </c:numRef>
          </c:val>
        </c:ser>
        <c:ser>
          <c:idx val="1"/>
          <c:order val="1"/>
          <c:tx>
            <c:strRef>
              <c:f>Лист1!$C$1</c:f>
              <c:strCache>
                <c:ptCount val="1"/>
                <c:pt idx="0">
                  <c:v>Потребность организаций в работниках, заявленная в службу занятости</c:v>
                </c:pt>
              </c:strCache>
            </c:strRef>
          </c:tx>
          <c:spPr>
            <a:gradFill>
              <a:gsLst>
                <a:gs pos="0">
                  <a:srgbClr val="FFF200"/>
                </a:gs>
                <a:gs pos="45000">
                  <a:srgbClr val="FF7A00"/>
                </a:gs>
                <a:gs pos="70000">
                  <a:srgbClr val="FF0300"/>
                </a:gs>
                <a:gs pos="100000">
                  <a:srgbClr val="4D0808"/>
                </a:gs>
              </a:gsLst>
              <a:lin ang="5400000" scaled="0"/>
            </a:gradFill>
            <a:ln>
              <a:solidFill>
                <a:schemeClr val="tx1"/>
              </a:solidFill>
            </a:ln>
            <a:effectLst>
              <a:innerShdw blurRad="152400" dist="50800" dir="2700000">
                <a:srgbClr val="640000">
                  <a:alpha val="89804"/>
                </a:srgbClr>
              </a:innerShdw>
            </a:effectLst>
          </c:spPr>
          <c:invertIfNegative val="0"/>
          <c:cat>
            <c:strRef>
              <c:f>Лист1!$A$2:$A$25</c:f>
              <c:strCache>
                <c:ptCount val="24"/>
                <c:pt idx="0">
                  <c:v>Янв</c:v>
                </c:pt>
                <c:pt idx="1">
                  <c:v>Фев</c:v>
                </c:pt>
                <c:pt idx="2">
                  <c:v>Мар</c:v>
                </c:pt>
                <c:pt idx="3">
                  <c:v>Апр</c:v>
                </c:pt>
                <c:pt idx="4">
                  <c:v>Май</c:v>
                </c:pt>
                <c:pt idx="5">
                  <c:v>Июнь</c:v>
                </c:pt>
                <c:pt idx="6">
                  <c:v>Июль</c:v>
                </c:pt>
                <c:pt idx="7">
                  <c:v>Авг</c:v>
                </c:pt>
                <c:pt idx="8">
                  <c:v>Сент</c:v>
                </c:pt>
                <c:pt idx="9">
                  <c:v>Окт</c:v>
                </c:pt>
                <c:pt idx="10">
                  <c:v>Нояб</c:v>
                </c:pt>
                <c:pt idx="11">
                  <c:v>Дек</c:v>
                </c:pt>
                <c:pt idx="12">
                  <c:v>Янв</c:v>
                </c:pt>
                <c:pt idx="13">
                  <c:v>Фев</c:v>
                </c:pt>
                <c:pt idx="14">
                  <c:v>Мар</c:v>
                </c:pt>
                <c:pt idx="15">
                  <c:v>Апр</c:v>
                </c:pt>
                <c:pt idx="16">
                  <c:v>Май</c:v>
                </c:pt>
                <c:pt idx="17">
                  <c:v>Июнь</c:v>
                </c:pt>
                <c:pt idx="18">
                  <c:v>Июль</c:v>
                </c:pt>
                <c:pt idx="19">
                  <c:v>Авг</c:v>
                </c:pt>
                <c:pt idx="20">
                  <c:v>Сент</c:v>
                </c:pt>
                <c:pt idx="21">
                  <c:v>Окт</c:v>
                </c:pt>
                <c:pt idx="22">
                  <c:v>Нояб</c:v>
                </c:pt>
                <c:pt idx="23">
                  <c:v>Дек</c:v>
                </c:pt>
              </c:strCache>
            </c:strRef>
          </c:cat>
          <c:val>
            <c:numRef>
              <c:f>Лист1!$C$2:$C$25</c:f>
              <c:numCache>
                <c:formatCode>0.00</c:formatCode>
                <c:ptCount val="24"/>
                <c:pt idx="0">
                  <c:v>13.855</c:v>
                </c:pt>
                <c:pt idx="1">
                  <c:v>12.785</c:v>
                </c:pt>
                <c:pt idx="2">
                  <c:v>14.302</c:v>
                </c:pt>
                <c:pt idx="3">
                  <c:v>11.555</c:v>
                </c:pt>
                <c:pt idx="4">
                  <c:v>14.141999999999999</c:v>
                </c:pt>
                <c:pt idx="5">
                  <c:v>11.045999999999999</c:v>
                </c:pt>
                <c:pt idx="6">
                  <c:v>9.7370000000000001</c:v>
                </c:pt>
                <c:pt idx="7">
                  <c:v>9.7710000000000008</c:v>
                </c:pt>
                <c:pt idx="8">
                  <c:v>9.0969999999999995</c:v>
                </c:pt>
                <c:pt idx="9">
                  <c:v>8.0540000000000003</c:v>
                </c:pt>
                <c:pt idx="10">
                  <c:v>7.3029999999999999</c:v>
                </c:pt>
                <c:pt idx="11">
                  <c:v>7.3220000000000001</c:v>
                </c:pt>
                <c:pt idx="12">
                  <c:v>7.24</c:v>
                </c:pt>
                <c:pt idx="13">
                  <c:v>9.2479999999999993</c:v>
                </c:pt>
                <c:pt idx="14">
                  <c:v>8.1639999999999997</c:v>
                </c:pt>
                <c:pt idx="15">
                  <c:v>8.532</c:v>
                </c:pt>
                <c:pt idx="16">
                  <c:v>9.3460000000000001</c:v>
                </c:pt>
                <c:pt idx="17">
                  <c:v>8.6370000000000005</c:v>
                </c:pt>
                <c:pt idx="18">
                  <c:v>8.1820000000000004</c:v>
                </c:pt>
                <c:pt idx="19">
                  <c:v>9.0890000000000004</c:v>
                </c:pt>
                <c:pt idx="20">
                  <c:v>9.6150000000000002</c:v>
                </c:pt>
                <c:pt idx="21">
                  <c:v>9.2789999999999999</c:v>
                </c:pt>
                <c:pt idx="22">
                  <c:v>8.0120000000000005</c:v>
                </c:pt>
                <c:pt idx="23">
                  <c:v>6.2460000000000004</c:v>
                </c:pt>
              </c:numCache>
            </c:numRef>
          </c:val>
        </c:ser>
        <c:dLbls>
          <c:showLegendKey val="0"/>
          <c:showVal val="0"/>
          <c:showCatName val="0"/>
          <c:showSerName val="0"/>
          <c:showPercent val="0"/>
          <c:showBubbleSize val="0"/>
        </c:dLbls>
        <c:gapWidth val="36"/>
        <c:axId val="122530816"/>
        <c:axId val="145864192"/>
      </c:barChart>
      <c:catAx>
        <c:axId val="122530816"/>
        <c:scaling>
          <c:orientation val="minMax"/>
        </c:scaling>
        <c:delete val="0"/>
        <c:axPos val="b"/>
        <c:numFmt formatCode="General" sourceLinked="1"/>
        <c:majorTickMark val="out"/>
        <c:minorTickMark val="none"/>
        <c:tickLblPos val="nextTo"/>
        <c:txPr>
          <a:bodyPr/>
          <a:lstStyle/>
          <a:p>
            <a:pPr>
              <a:defRPr b="1"/>
            </a:pPr>
            <a:endParaRPr lang="ru-RU"/>
          </a:p>
        </c:txPr>
        <c:crossAx val="145864192"/>
        <c:crosses val="autoZero"/>
        <c:auto val="1"/>
        <c:lblAlgn val="ctr"/>
        <c:lblOffset val="100"/>
        <c:noMultiLvlLbl val="0"/>
      </c:catAx>
      <c:valAx>
        <c:axId val="145864192"/>
        <c:scaling>
          <c:orientation val="minMax"/>
          <c:max val="16"/>
        </c:scaling>
        <c:delete val="0"/>
        <c:axPos val="l"/>
        <c:majorGridlines>
          <c:spPr>
            <a:ln>
              <a:noFill/>
            </a:ln>
          </c:spPr>
        </c:majorGridlines>
        <c:numFmt formatCode="0.00" sourceLinked="1"/>
        <c:majorTickMark val="out"/>
        <c:minorTickMark val="none"/>
        <c:tickLblPos val="nextTo"/>
        <c:txPr>
          <a:bodyPr/>
          <a:lstStyle/>
          <a:p>
            <a:pPr>
              <a:defRPr sz="800" b="1"/>
            </a:pPr>
            <a:endParaRPr lang="ru-RU"/>
          </a:p>
        </c:txPr>
        <c:crossAx val="122530816"/>
        <c:crosses val="autoZero"/>
        <c:crossBetween val="between"/>
        <c:majorUnit val="4"/>
      </c:valAx>
      <c:spPr>
        <a:noFill/>
        <a:ln>
          <a:noFill/>
        </a:ln>
      </c:spPr>
    </c:plotArea>
    <c:legend>
      <c:legendPos val="b"/>
      <c:layout/>
      <c:overlay val="0"/>
      <c:txPr>
        <a:bodyPr/>
        <a:lstStyle/>
        <a:p>
          <a:pPr>
            <a:defRPr b="1"/>
          </a:pPr>
          <a:endParaRPr lang="ru-RU"/>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215823925623758E-2"/>
          <c:y val="3.1746137833566557E-2"/>
          <c:w val="0.9176556620181513"/>
          <c:h val="0.72669947506561683"/>
        </c:manualLayout>
      </c:layout>
      <c:lineChart>
        <c:grouping val="standard"/>
        <c:varyColors val="0"/>
        <c:ser>
          <c:idx val="0"/>
          <c:order val="0"/>
          <c:tx>
            <c:strRef>
              <c:f>Лист1!$B$1</c:f>
              <c:strCache>
                <c:ptCount val="1"/>
                <c:pt idx="0">
                  <c:v>Сводный индекс цен на продукцию                                                                                                                                       (затраты, услуги) инвестиционного назначения</c:v>
                </c:pt>
              </c:strCache>
            </c:strRef>
          </c:tx>
          <c:spPr>
            <a:ln w="50800"/>
          </c:spPr>
          <c:marker>
            <c:symbol val="none"/>
          </c:marker>
          <c:dLbls>
            <c:dLbl>
              <c:idx val="0"/>
              <c:layout>
                <c:manualLayout>
                  <c:x val="-8.1004016064257015E-2"/>
                  <c:y val="-3.2345983277289346E-2"/>
                </c:manualLayout>
              </c:layout>
              <c:dLblPos val="r"/>
              <c:showLegendKey val="0"/>
              <c:showVal val="1"/>
              <c:showCatName val="0"/>
              <c:showSerName val="0"/>
              <c:showPercent val="0"/>
              <c:showBubbleSize val="0"/>
            </c:dLbl>
            <c:dLbl>
              <c:idx val="1"/>
              <c:layout>
                <c:manualLayout>
                  <c:x val="-1.2048192771084338E-2"/>
                  <c:y val="4.4081956598926463E-2"/>
                </c:manualLayout>
              </c:layout>
              <c:dLblPos val="r"/>
              <c:showLegendKey val="0"/>
              <c:showVal val="1"/>
              <c:showCatName val="0"/>
              <c:showSerName val="0"/>
              <c:showPercent val="0"/>
              <c:showBubbleSize val="0"/>
            </c:dLbl>
            <c:dLbl>
              <c:idx val="2"/>
              <c:layout>
                <c:manualLayout>
                  <c:x val="-8.0321285140562242E-3"/>
                  <c:y val="3.286144934800922E-2"/>
                </c:manualLayout>
              </c:layout>
              <c:dLblPos val="r"/>
              <c:showLegendKey val="0"/>
              <c:showVal val="1"/>
              <c:showCatName val="0"/>
              <c:showSerName val="0"/>
              <c:showPercent val="0"/>
              <c:showBubbleSize val="0"/>
            </c:dLbl>
            <c:dLbl>
              <c:idx val="3"/>
              <c:layout>
                <c:manualLayout>
                  <c:x val="-1.2048192771084338E-2"/>
                  <c:y val="-2.7514916073156637E-2"/>
                </c:manualLayout>
              </c:layout>
              <c:dLblPos val="r"/>
              <c:showLegendKey val="0"/>
              <c:showVal val="1"/>
              <c:showCatName val="0"/>
              <c:showSerName val="0"/>
              <c:showPercent val="0"/>
              <c:showBubbleSize val="0"/>
            </c:dLbl>
            <c:dLbl>
              <c:idx val="4"/>
              <c:layout>
                <c:manualLayout>
                  <c:x val="-8.0321285140562242E-3"/>
                  <c:y val="-6.7807598320766937E-2"/>
                </c:manualLayout>
              </c:layout>
              <c:dLblPos val="r"/>
              <c:showLegendKey val="0"/>
              <c:showVal val="1"/>
              <c:showCatName val="0"/>
              <c:showSerName val="0"/>
              <c:showPercent val="0"/>
              <c:showBubbleSize val="0"/>
            </c:dLbl>
            <c:numFmt formatCode="#,##0.0" sourceLinked="0"/>
            <c:spPr>
              <a:ln w="15875">
                <a:solidFill>
                  <a:srgbClr val="0070C0"/>
                </a:solidFill>
              </a:ln>
            </c:spPr>
            <c:txPr>
              <a:bodyPr/>
              <a:lstStyle/>
              <a:p>
                <a:pPr>
                  <a:defRPr sz="1200" b="1"/>
                </a:pPr>
                <a:endParaRPr lang="ru-RU"/>
              </a:p>
            </c:txPr>
            <c:dLblPos val="l"/>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104.5</c:v>
                </c:pt>
                <c:pt idx="1">
                  <c:v>103.5</c:v>
                </c:pt>
                <c:pt idx="2">
                  <c:v>106</c:v>
                </c:pt>
                <c:pt idx="3">
                  <c:v>106.2</c:v>
                </c:pt>
                <c:pt idx="4">
                  <c:v>103.3</c:v>
                </c:pt>
              </c:numCache>
            </c:numRef>
          </c:val>
          <c:smooth val="1"/>
        </c:ser>
        <c:ser>
          <c:idx val="1"/>
          <c:order val="1"/>
          <c:tx>
            <c:strRef>
              <c:f>Лист1!$C$1</c:f>
              <c:strCache>
                <c:ptCount val="1"/>
                <c:pt idx="0">
                  <c:v>Индекс цен производителей                                                                                                                                        
на строительную продукцию</c:v>
                </c:pt>
              </c:strCache>
            </c:strRef>
          </c:tx>
          <c:spPr>
            <a:ln w="50800"/>
          </c:spPr>
          <c:marker>
            <c:symbol val="none"/>
          </c:marker>
          <c:dLbls>
            <c:dLbl>
              <c:idx val="0"/>
              <c:layout>
                <c:manualLayout>
                  <c:x val="-7.8995983935742961E-2"/>
                  <c:y val="2.3546022264458323E-2"/>
                </c:manualLayout>
              </c:layout>
              <c:dLblPos val="r"/>
              <c:showLegendKey val="0"/>
              <c:showVal val="1"/>
              <c:showCatName val="0"/>
              <c:showSerName val="0"/>
              <c:showPercent val="0"/>
              <c:showBubbleSize val="0"/>
            </c:dLbl>
            <c:dLbl>
              <c:idx val="1"/>
              <c:layout>
                <c:manualLayout>
                  <c:x val="-7.9678714859437713E-2"/>
                  <c:y val="6.1155273362712953E-2"/>
                </c:manualLayout>
              </c:layout>
              <c:dLblPos val="r"/>
              <c:showLegendKey val="0"/>
              <c:showVal val="1"/>
              <c:showCatName val="0"/>
              <c:showSerName val="0"/>
              <c:showPercent val="0"/>
              <c:showBubbleSize val="0"/>
            </c:dLbl>
            <c:dLbl>
              <c:idx val="2"/>
              <c:layout>
                <c:manualLayout>
                  <c:x val="-1.0040160642570281E-2"/>
                  <c:y val="-3.3293371485063041E-2"/>
                </c:manualLayout>
              </c:layout>
              <c:dLblPos val="r"/>
              <c:showLegendKey val="0"/>
              <c:showVal val="1"/>
              <c:showCatName val="0"/>
              <c:showSerName val="0"/>
              <c:showPercent val="0"/>
              <c:showBubbleSize val="0"/>
            </c:dLbl>
            <c:dLbl>
              <c:idx val="3"/>
              <c:layout>
                <c:manualLayout>
                  <c:x val="-7.6305220883534058E-2"/>
                  <c:y val="2.7946281250652686E-2"/>
                </c:manualLayout>
              </c:layout>
              <c:dLblPos val="r"/>
              <c:showLegendKey val="0"/>
              <c:showVal val="1"/>
              <c:showCatName val="0"/>
              <c:showSerName val="0"/>
              <c:showPercent val="0"/>
              <c:showBubbleSize val="0"/>
            </c:dLbl>
            <c:dLbl>
              <c:idx val="4"/>
              <c:layout>
                <c:manualLayout>
                  <c:x val="-8.0321285140562242E-3"/>
                  <c:y val="-3.5714285714285643E-2"/>
                </c:manualLayout>
              </c:layout>
              <c:dLblPos val="r"/>
              <c:showLegendKey val="0"/>
              <c:showVal val="1"/>
              <c:showCatName val="0"/>
              <c:showSerName val="0"/>
              <c:showPercent val="0"/>
              <c:showBubbleSize val="0"/>
            </c:dLbl>
            <c:numFmt formatCode="#,##0.0" sourceLinked="0"/>
            <c:spPr>
              <a:ln w="15875">
                <a:solidFill>
                  <a:srgbClr val="C00000"/>
                </a:solidFill>
              </a:ln>
            </c:spPr>
            <c:txPr>
              <a:bodyPr/>
              <a:lstStyle/>
              <a:p>
                <a:pPr>
                  <a:defRPr sz="1200" b="1"/>
                </a:pPr>
                <a:endParaRPr lang="ru-RU"/>
              </a:p>
            </c:txPr>
            <c:dLblPos val="l"/>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103.8</c:v>
                </c:pt>
                <c:pt idx="1">
                  <c:v>103.3</c:v>
                </c:pt>
                <c:pt idx="2">
                  <c:v>107.2</c:v>
                </c:pt>
                <c:pt idx="3">
                  <c:v>105.5</c:v>
                </c:pt>
                <c:pt idx="4">
                  <c:v>92.2</c:v>
                </c:pt>
              </c:numCache>
            </c:numRef>
          </c:val>
          <c:smooth val="1"/>
        </c:ser>
        <c:ser>
          <c:idx val="2"/>
          <c:order val="2"/>
          <c:tx>
            <c:strRef>
              <c:f>Лист1!$D$1</c:f>
              <c:strCache>
                <c:ptCount val="1"/>
                <c:pt idx="0">
                  <c:v>Индекс цен на первичном рынке жилья</c:v>
                </c:pt>
              </c:strCache>
            </c:strRef>
          </c:tx>
          <c:spPr>
            <a:ln w="50800"/>
          </c:spPr>
          <c:marker>
            <c:symbol val="none"/>
          </c:marker>
          <c:dLbls>
            <c:dLbl>
              <c:idx val="0"/>
              <c:layout>
                <c:manualLayout>
                  <c:x val="-8.0321285140562249E-2"/>
                  <c:y val="4.3650793650793648E-2"/>
                </c:manualLayout>
              </c:layout>
              <c:dLblPos val="r"/>
              <c:showLegendKey val="0"/>
              <c:showVal val="1"/>
              <c:showCatName val="0"/>
              <c:showSerName val="0"/>
              <c:showPercent val="0"/>
              <c:showBubbleSize val="0"/>
            </c:dLbl>
            <c:dLbl>
              <c:idx val="1"/>
              <c:layout>
                <c:manualLayout>
                  <c:x val="-6.024096385542169E-3"/>
                  <c:y val="-4.7619047619047616E-2"/>
                </c:manualLayout>
              </c:layout>
              <c:dLblPos val="r"/>
              <c:showLegendKey val="0"/>
              <c:showVal val="1"/>
              <c:showCatName val="0"/>
              <c:showSerName val="0"/>
              <c:showPercent val="0"/>
              <c:showBubbleSize val="0"/>
            </c:dLbl>
            <c:dLbl>
              <c:idx val="2"/>
              <c:layout>
                <c:manualLayout>
                  <c:x val="-7.8995983935742975E-2"/>
                  <c:y val="4.0366479389015365E-2"/>
                </c:manualLayout>
              </c:layout>
              <c:dLblPos val="r"/>
              <c:showLegendKey val="0"/>
              <c:showVal val="1"/>
              <c:showCatName val="0"/>
              <c:showSerName val="0"/>
              <c:showPercent val="0"/>
              <c:showBubbleSize val="0"/>
            </c:dLbl>
            <c:dLbl>
              <c:idx val="3"/>
              <c:layout>
                <c:manualLayout>
                  <c:x val="-7.8995983935742975E-2"/>
                  <c:y val="3.9682254572289806E-2"/>
                </c:manualLayout>
              </c:layout>
              <c:dLblPos val="r"/>
              <c:showLegendKey val="0"/>
              <c:showVal val="1"/>
              <c:showCatName val="0"/>
              <c:showSerName val="0"/>
              <c:showPercent val="0"/>
              <c:showBubbleSize val="0"/>
            </c:dLbl>
            <c:dLbl>
              <c:idx val="4"/>
              <c:layout>
                <c:manualLayout>
                  <c:x val="-8.0321285140562242E-3"/>
                  <c:y val="-1.1125824126095644E-2"/>
                </c:manualLayout>
              </c:layout>
              <c:dLblPos val="r"/>
              <c:showLegendKey val="0"/>
              <c:showVal val="1"/>
              <c:showCatName val="0"/>
              <c:showSerName val="0"/>
              <c:showPercent val="0"/>
              <c:showBubbleSize val="0"/>
            </c:dLbl>
            <c:numFmt formatCode="#,##0.0" sourceLinked="0"/>
            <c:spPr>
              <a:ln w="15875">
                <a:solidFill>
                  <a:schemeClr val="accent3">
                    <a:lumMod val="75000"/>
                  </a:schemeClr>
                </a:solidFill>
              </a:ln>
            </c:spPr>
            <c:txPr>
              <a:bodyPr/>
              <a:lstStyle/>
              <a:p>
                <a:pPr>
                  <a:defRPr sz="1200" b="1"/>
                </a:pPr>
                <a:endParaRPr lang="ru-RU"/>
              </a:p>
            </c:txPr>
            <c:dLblPos val="l"/>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Лист1!$D$2:$D$6</c:f>
              <c:numCache>
                <c:formatCode>General</c:formatCode>
                <c:ptCount val="5"/>
                <c:pt idx="0">
                  <c:v>112.1</c:v>
                </c:pt>
                <c:pt idx="1">
                  <c:v>119</c:v>
                </c:pt>
                <c:pt idx="2">
                  <c:v>103.9</c:v>
                </c:pt>
                <c:pt idx="3">
                  <c:v>102</c:v>
                </c:pt>
                <c:pt idx="4">
                  <c:v>102.9</c:v>
                </c:pt>
              </c:numCache>
            </c:numRef>
          </c:val>
          <c:smooth val="1"/>
        </c:ser>
        <c:ser>
          <c:idx val="3"/>
          <c:order val="3"/>
          <c:tx>
            <c:strRef>
              <c:f>Лист1!$E$1</c:f>
              <c:strCache>
                <c:ptCount val="1"/>
                <c:pt idx="0">
                  <c:v>Индекс цен на вторичном рынке жилья</c:v>
                </c:pt>
              </c:strCache>
            </c:strRef>
          </c:tx>
          <c:spPr>
            <a:ln w="50800"/>
          </c:spPr>
          <c:marker>
            <c:symbol val="none"/>
          </c:marker>
          <c:dLbls>
            <c:dLbl>
              <c:idx val="0"/>
              <c:layout>
                <c:manualLayout>
                  <c:x val="-7.8313253012048195E-2"/>
                  <c:y val="-2.2430710750015664E-2"/>
                </c:manualLayout>
              </c:layout>
              <c:showLegendKey val="0"/>
              <c:showVal val="1"/>
              <c:showCatName val="0"/>
              <c:showSerName val="0"/>
              <c:showPercent val="0"/>
              <c:showBubbleSize val="0"/>
            </c:dLbl>
            <c:dLbl>
              <c:idx val="1"/>
              <c:layout>
                <c:manualLayout>
                  <c:x val="-1.0040160642570281E-2"/>
                  <c:y val="-4.2440318302387266E-2"/>
                </c:manualLayout>
              </c:layout>
              <c:showLegendKey val="0"/>
              <c:showVal val="1"/>
              <c:showCatName val="0"/>
              <c:showSerName val="0"/>
              <c:showPercent val="0"/>
              <c:showBubbleSize val="0"/>
            </c:dLbl>
            <c:dLbl>
              <c:idx val="2"/>
              <c:layout>
                <c:manualLayout>
                  <c:x val="-7.6305220883534142E-2"/>
                  <c:y val="-3.8903625110521665E-2"/>
                </c:manualLayout>
              </c:layout>
              <c:showLegendKey val="0"/>
              <c:showVal val="1"/>
              <c:showCatName val="0"/>
              <c:showSerName val="0"/>
              <c:showPercent val="0"/>
              <c:showBubbleSize val="0"/>
            </c:dLbl>
            <c:dLbl>
              <c:idx val="3"/>
              <c:layout>
                <c:manualLayout>
                  <c:x val="-1.0040160642570281E-2"/>
                  <c:y val="-4.2440318302387266E-2"/>
                </c:manualLayout>
              </c:layout>
              <c:showLegendKey val="0"/>
              <c:showVal val="1"/>
              <c:showCatName val="0"/>
              <c:showSerName val="0"/>
              <c:showPercent val="0"/>
              <c:showBubbleSize val="0"/>
            </c:dLbl>
            <c:dLbl>
              <c:idx val="4"/>
              <c:layout>
                <c:manualLayout>
                  <c:x val="-8.0321285140562242E-3"/>
                  <c:y val="4.5977011494252873E-2"/>
                </c:manualLayout>
              </c:layout>
              <c:showLegendKey val="0"/>
              <c:showVal val="1"/>
              <c:showCatName val="0"/>
              <c:showSerName val="0"/>
              <c:showPercent val="0"/>
              <c:showBubbleSize val="0"/>
            </c:dLbl>
            <c:spPr>
              <a:noFill/>
              <a:ln w="15875">
                <a:solidFill>
                  <a:schemeClr val="accent4">
                    <a:shade val="95000"/>
                    <a:satMod val="105000"/>
                  </a:schemeClr>
                </a:solidFill>
              </a:ln>
            </c:spPr>
            <c:txPr>
              <a:bodyPr/>
              <a:lstStyle/>
              <a:p>
                <a:pPr>
                  <a:defRPr sz="1200" b="1"/>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Лист1!$E$2:$E$6</c:f>
              <c:numCache>
                <c:formatCode>General</c:formatCode>
                <c:ptCount val="5"/>
                <c:pt idx="0">
                  <c:v>122.2</c:v>
                </c:pt>
                <c:pt idx="1">
                  <c:v>105.5</c:v>
                </c:pt>
                <c:pt idx="2">
                  <c:v>109.6</c:v>
                </c:pt>
                <c:pt idx="3">
                  <c:v>110.1</c:v>
                </c:pt>
                <c:pt idx="4">
                  <c:v>102.4</c:v>
                </c:pt>
              </c:numCache>
            </c:numRef>
          </c:val>
          <c:smooth val="1"/>
        </c:ser>
        <c:dLbls>
          <c:showLegendKey val="0"/>
          <c:showVal val="0"/>
          <c:showCatName val="0"/>
          <c:showSerName val="0"/>
          <c:showPercent val="0"/>
          <c:showBubbleSize val="0"/>
        </c:dLbls>
        <c:marker val="1"/>
        <c:smooth val="0"/>
        <c:axId val="106217472"/>
        <c:axId val="106219008"/>
      </c:lineChart>
      <c:catAx>
        <c:axId val="106217472"/>
        <c:scaling>
          <c:orientation val="minMax"/>
        </c:scaling>
        <c:delete val="0"/>
        <c:axPos val="b"/>
        <c:majorGridlines>
          <c:spPr>
            <a:ln>
              <a:noFill/>
              <a:prstDash val="dashDot"/>
            </a:ln>
          </c:spPr>
        </c:majorGridlines>
        <c:minorGridlines>
          <c:spPr>
            <a:ln>
              <a:prstDash val="dash"/>
            </a:ln>
          </c:spPr>
        </c:minorGridlines>
        <c:numFmt formatCode="General" sourceLinked="1"/>
        <c:majorTickMark val="out"/>
        <c:minorTickMark val="none"/>
        <c:tickLblPos val="nextTo"/>
        <c:txPr>
          <a:bodyPr/>
          <a:lstStyle/>
          <a:p>
            <a:pPr>
              <a:defRPr b="1"/>
            </a:pPr>
            <a:endParaRPr lang="ru-RU"/>
          </a:p>
        </c:txPr>
        <c:crossAx val="106219008"/>
        <c:crosses val="autoZero"/>
        <c:auto val="1"/>
        <c:lblAlgn val="ctr"/>
        <c:lblOffset val="100"/>
        <c:noMultiLvlLbl val="0"/>
      </c:catAx>
      <c:valAx>
        <c:axId val="106219008"/>
        <c:scaling>
          <c:orientation val="minMax"/>
          <c:max val="125"/>
          <c:min val="90"/>
        </c:scaling>
        <c:delete val="0"/>
        <c:axPos val="l"/>
        <c:numFmt formatCode="General" sourceLinked="1"/>
        <c:majorTickMark val="none"/>
        <c:minorTickMark val="none"/>
        <c:tickLblPos val="none"/>
        <c:spPr>
          <a:ln>
            <a:noFill/>
          </a:ln>
        </c:spPr>
        <c:crossAx val="106217472"/>
        <c:crosses val="autoZero"/>
        <c:crossBetween val="between"/>
        <c:majorUnit val="10"/>
      </c:valAx>
    </c:plotArea>
    <c:legend>
      <c:legendPos val="b"/>
      <c:layout>
        <c:manualLayout>
          <c:xMode val="edge"/>
          <c:yMode val="edge"/>
          <c:x val="0"/>
          <c:y val="0.83588613923259591"/>
          <c:w val="0.99795180722891563"/>
          <c:h val="0.16411386076740409"/>
        </c:manualLayout>
      </c:layout>
      <c:overlay val="0"/>
      <c:txPr>
        <a:bodyPr/>
        <a:lstStyle/>
        <a:p>
          <a:pPr>
            <a:defRPr b="1"/>
          </a:pPr>
          <a:endParaRPr lang="ru-RU"/>
        </a:p>
      </c:txPr>
    </c:legend>
    <c:plotVisOnly val="1"/>
    <c:dispBlanksAs val="zero"/>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9006696114205444"/>
          <c:y val="0.11303444212330602"/>
          <c:w val="0.45331984721422125"/>
          <c:h val="0.81280380768730465"/>
        </c:manualLayout>
      </c:layout>
      <c:pieChart>
        <c:varyColors val="1"/>
        <c:ser>
          <c:idx val="0"/>
          <c:order val="0"/>
          <c:tx>
            <c:strRef>
              <c:f>Sheet1!$A$2</c:f>
              <c:strCache>
                <c:ptCount val="1"/>
              </c:strCache>
            </c:strRef>
          </c:tx>
          <c:spPr>
            <a:ln w="15875">
              <a:solidFill>
                <a:schemeClr val="tx1"/>
              </a:solidFill>
            </a:ln>
          </c:spPr>
          <c:dPt>
            <c:idx val="0"/>
            <c:bubble3D val="0"/>
            <c:explosion val="5"/>
          </c:dPt>
          <c:dPt>
            <c:idx val="1"/>
            <c:bubble3D val="0"/>
            <c:explosion val="2"/>
          </c:dPt>
          <c:dPt>
            <c:idx val="2"/>
            <c:bubble3D val="0"/>
            <c:explosion val="8"/>
          </c:dPt>
          <c:dPt>
            <c:idx val="3"/>
            <c:bubble3D val="0"/>
            <c:explosion val="8"/>
          </c:dPt>
          <c:dPt>
            <c:idx val="4"/>
            <c:bubble3D val="0"/>
            <c:explosion val="6"/>
          </c:dPt>
          <c:dPt>
            <c:idx val="5"/>
            <c:bubble3D val="0"/>
            <c:explosion val="5"/>
          </c:dPt>
          <c:dPt>
            <c:idx val="6"/>
            <c:bubble3D val="0"/>
            <c:explosion val="2"/>
          </c:dPt>
          <c:dPt>
            <c:idx val="7"/>
            <c:bubble3D val="0"/>
          </c:dPt>
          <c:dLbls>
            <c:dLbl>
              <c:idx val="1"/>
              <c:layout>
                <c:manualLayout>
                  <c:x val="2.6843552562743966E-2"/>
                  <c:y val="-1.4084507042253521E-2"/>
                </c:manualLayout>
              </c:layout>
              <c:dLblPos val="bestFit"/>
              <c:showLegendKey val="1"/>
              <c:showVal val="1"/>
              <c:showCatName val="1"/>
              <c:showSerName val="0"/>
              <c:showPercent val="0"/>
              <c:showBubbleSize val="0"/>
            </c:dLbl>
            <c:dLbl>
              <c:idx val="2"/>
              <c:layout>
                <c:manualLayout>
                  <c:x val="-7.1455946055523547E-3"/>
                  <c:y val="5.0534499514091349E-2"/>
                </c:manualLayout>
              </c:layout>
              <c:dLblPos val="bestFit"/>
              <c:showLegendKey val="1"/>
              <c:showVal val="1"/>
              <c:showCatName val="1"/>
              <c:showSerName val="0"/>
              <c:showPercent val="0"/>
              <c:showBubbleSize val="0"/>
            </c:dLbl>
            <c:dLbl>
              <c:idx val="3"/>
              <c:layout>
                <c:manualLayout>
                  <c:x val="7.2451676078820644E-3"/>
                  <c:y val="4.2760024227740764E-2"/>
                </c:manualLayout>
              </c:layout>
              <c:dLblPos val="bestFit"/>
              <c:showLegendKey val="1"/>
              <c:showVal val="1"/>
              <c:showCatName val="1"/>
              <c:showSerName val="0"/>
              <c:showPercent val="0"/>
              <c:showBubbleSize val="0"/>
            </c:dLbl>
            <c:dLbl>
              <c:idx val="4"/>
              <c:layout>
                <c:manualLayout>
                  <c:x val="-4.3360433604336043E-2"/>
                  <c:y val="3.4985422740524783E-2"/>
                </c:manualLayout>
              </c:layout>
              <c:dLblPos val="bestFit"/>
              <c:showLegendKey val="1"/>
              <c:showVal val="1"/>
              <c:showCatName val="1"/>
              <c:showSerName val="0"/>
              <c:showPercent val="0"/>
              <c:showBubbleSize val="0"/>
            </c:dLbl>
            <c:dLbl>
              <c:idx val="5"/>
              <c:layout>
                <c:manualLayout>
                  <c:x val="1.5511945163583683E-3"/>
                  <c:y val="-1.2307692307692308E-2"/>
                </c:manualLayout>
              </c:layout>
              <c:dLblPos val="bestFit"/>
              <c:showLegendKey val="1"/>
              <c:showVal val="1"/>
              <c:showCatName val="1"/>
              <c:showSerName val="0"/>
              <c:showPercent val="0"/>
              <c:showBubbleSize val="0"/>
            </c:dLbl>
            <c:dLbl>
              <c:idx val="6"/>
              <c:layout>
                <c:manualLayout>
                  <c:x val="3.9024390243902439E-2"/>
                  <c:y val="-6.2196307094266275E-2"/>
                </c:manualLayout>
              </c:layout>
              <c:dLblPos val="bestFit"/>
              <c:showLegendKey val="1"/>
              <c:showVal val="1"/>
              <c:showCatName val="1"/>
              <c:showSerName val="0"/>
              <c:showPercent val="0"/>
              <c:showBubbleSize val="0"/>
            </c:dLbl>
            <c:dLbl>
              <c:idx val="7"/>
              <c:layout>
                <c:manualLayout>
                  <c:x val="0.10684981242762032"/>
                  <c:y val="-3.1098081970522915E-2"/>
                </c:manualLayout>
              </c:layout>
              <c:dLblPos val="bestFit"/>
              <c:showLegendKey val="1"/>
              <c:showVal val="1"/>
              <c:showCatName val="1"/>
              <c:showSerName val="0"/>
              <c:showPercent val="0"/>
              <c:showBubbleSize val="0"/>
            </c:dLbl>
            <c:numFmt formatCode="0.0%" sourceLinked="0"/>
            <c:spPr>
              <a:ln>
                <a:noFill/>
              </a:ln>
            </c:spPr>
            <c:txPr>
              <a:bodyPr/>
              <a:lstStyle/>
              <a:p>
                <a:pPr>
                  <a:defRPr b="1"/>
                </a:pPr>
                <a:endParaRPr lang="ru-RU"/>
              </a:p>
            </c:txPr>
            <c:dLblPos val="outEnd"/>
            <c:showLegendKey val="1"/>
            <c:showVal val="1"/>
            <c:showCatName val="1"/>
            <c:showSerName val="0"/>
            <c:showPercent val="0"/>
            <c:showBubbleSize val="0"/>
            <c:showLeaderLines val="0"/>
          </c:dLbls>
          <c:cat>
            <c:strRef>
              <c:f>Sheet1!$B$1:$I$1</c:f>
              <c:strCache>
                <c:ptCount val="8"/>
                <c:pt idx="0">
                  <c:v>город Благовещенск</c:v>
                </c:pt>
                <c:pt idx="1">
                  <c:v>Благовещенский район</c:v>
                </c:pt>
                <c:pt idx="2">
                  <c:v>город Тында</c:v>
                </c:pt>
                <c:pt idx="3">
                  <c:v>город Белогорск</c:v>
                </c:pt>
                <c:pt idx="4">
                  <c:v>Тамбовский район</c:v>
                </c:pt>
                <c:pt idx="5">
                  <c:v>город Свободный</c:v>
                </c:pt>
                <c:pt idx="6">
                  <c:v>Бурейский район</c:v>
                </c:pt>
                <c:pt idx="7">
                  <c:v>Прочие</c:v>
                </c:pt>
              </c:strCache>
            </c:strRef>
          </c:cat>
          <c:val>
            <c:numRef>
              <c:f>Sheet1!$B$2:$I$2</c:f>
              <c:numCache>
                <c:formatCode>0.00%</c:formatCode>
                <c:ptCount val="8"/>
                <c:pt idx="0">
                  <c:v>0.56399757355171365</c:v>
                </c:pt>
                <c:pt idx="1">
                  <c:v>9.8652454612418214E-2</c:v>
                </c:pt>
                <c:pt idx="2">
                  <c:v>5.6947874691277781E-2</c:v>
                </c:pt>
                <c:pt idx="3">
                  <c:v>4.6830451925993326E-2</c:v>
                </c:pt>
                <c:pt idx="4">
                  <c:v>2.6942241864898825E-2</c:v>
                </c:pt>
                <c:pt idx="5">
                  <c:v>4.5833874951254384E-2</c:v>
                </c:pt>
                <c:pt idx="6">
                  <c:v>4.056934875861172E-2</c:v>
                </c:pt>
                <c:pt idx="7">
                  <c:v>0.12022617964383205</c:v>
                </c:pt>
              </c:numCache>
            </c:numRef>
          </c:val>
        </c:ser>
        <c:dLbls>
          <c:showLegendKey val="0"/>
          <c:showVal val="0"/>
          <c:showCatName val="0"/>
          <c:showSerName val="0"/>
          <c:showPercent val="1"/>
          <c:showBubbleSize val="0"/>
          <c:showLeaderLines val="0"/>
        </c:dLbls>
        <c:firstSliceAng val="0"/>
      </c:pieChart>
    </c:plotArea>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5356506292226777"/>
          <c:y val="0.12576254783794485"/>
          <c:w val="0.41571010847978601"/>
          <c:h val="0.82204329721942637"/>
        </c:manualLayout>
      </c:layout>
      <c:radarChart>
        <c:radarStyle val="filled"/>
        <c:varyColors val="0"/>
        <c:ser>
          <c:idx val="0"/>
          <c:order val="0"/>
          <c:tx>
            <c:strRef>
              <c:f>Sheet1!$A$2</c:f>
              <c:strCache>
                <c:ptCount val="1"/>
                <c:pt idx="0">
                  <c:v>2014 год</c:v>
                </c:pt>
              </c:strCache>
            </c:strRef>
          </c:tx>
          <c:spPr>
            <a:gradFill>
              <a:gsLst>
                <a:gs pos="0">
                  <a:sysClr val="window" lastClr="FFFFFF">
                    <a:lumMod val="95000"/>
                  </a:sysClr>
                </a:gs>
                <a:gs pos="50000">
                  <a:srgbClr val="99CCFF">
                    <a:gamma/>
                    <a:tint val="0"/>
                    <a:invGamma/>
                    <a:alpha val="0"/>
                  </a:srgbClr>
                </a:gs>
                <a:gs pos="100000">
                  <a:sysClr val="window" lastClr="FFFFFF">
                    <a:alpha val="0"/>
                  </a:sysClr>
                </a:gs>
              </a:gsLst>
              <a:lin ang="0" scaled="1"/>
            </a:gradFill>
            <a:ln w="30475" cmpd="thickThin">
              <a:solidFill>
                <a:srgbClr val="0000FF"/>
              </a:solidFill>
              <a:prstDash val="solid"/>
            </a:ln>
            <a:effectLst>
              <a:outerShdw blurRad="50800" dist="50800" dir="5400000" algn="ctr" rotWithShape="0">
                <a:srgbClr val="1F497D">
                  <a:lumMod val="20000"/>
                  <a:lumOff val="80000"/>
                </a:srgbClr>
              </a:outerShdw>
            </a:effectLst>
          </c:spPr>
          <c:dLbls>
            <c:dLbl>
              <c:idx val="0"/>
              <c:layout>
                <c:manualLayout>
                  <c:x val="5.6875742243246208E-2"/>
                  <c:y val="1.5883060771249749E-2"/>
                </c:manualLayout>
              </c:layout>
              <c:showLegendKey val="0"/>
              <c:showVal val="1"/>
              <c:showCatName val="0"/>
              <c:showSerName val="0"/>
              <c:showPercent val="0"/>
              <c:showBubbleSize val="0"/>
            </c:dLbl>
            <c:dLbl>
              <c:idx val="1"/>
              <c:layout>
                <c:manualLayout>
                  <c:x val="-1.3157689889524265E-2"/>
                  <c:y val="8.4553200080759131E-2"/>
                </c:manualLayout>
              </c:layout>
              <c:showLegendKey val="0"/>
              <c:showVal val="1"/>
              <c:showCatName val="0"/>
              <c:showSerName val="0"/>
              <c:showPercent val="0"/>
              <c:showBubbleSize val="0"/>
            </c:dLbl>
            <c:dLbl>
              <c:idx val="2"/>
              <c:layout>
                <c:manualLayout>
                  <c:x val="3.6319671067732505E-2"/>
                  <c:y val="-9.2535275195863673E-2"/>
                </c:manualLayout>
              </c:layout>
              <c:showLegendKey val="0"/>
              <c:showVal val="1"/>
              <c:showCatName val="0"/>
              <c:showSerName val="0"/>
              <c:showPercent val="0"/>
              <c:showBubbleSize val="0"/>
            </c:dLbl>
            <c:dLbl>
              <c:idx val="3"/>
              <c:layout>
                <c:manualLayout>
                  <c:x val="7.3135734459048127E-2"/>
                  <c:y val="-0.10133799064590611"/>
                </c:manualLayout>
              </c:layout>
              <c:showLegendKey val="0"/>
              <c:showVal val="1"/>
              <c:showCatName val="0"/>
              <c:showSerName val="0"/>
              <c:showPercent val="0"/>
              <c:showBubbleSize val="0"/>
            </c:dLbl>
            <c:dLbl>
              <c:idx val="4"/>
              <c:layout>
                <c:manualLayout>
                  <c:x val="9.9810983703082737E-2"/>
                  <c:y val="3.8102160306884717E-3"/>
                </c:manualLayout>
              </c:layout>
              <c:showLegendKey val="0"/>
              <c:showVal val="1"/>
              <c:showCatName val="0"/>
              <c:showSerName val="0"/>
              <c:showPercent val="0"/>
              <c:showBubbleSize val="0"/>
            </c:dLbl>
            <c:txPr>
              <a:bodyPr/>
              <a:lstStyle/>
              <a:p>
                <a:pPr>
                  <a:defRPr sz="1100">
                    <a:solidFill>
                      <a:srgbClr val="0000FF"/>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Sheet1!$B$1:$F$1</c:f>
              <c:strCache>
                <c:ptCount val="5"/>
                <c:pt idx="0">
                  <c:v>Индекс потребительских цен</c:v>
                </c:pt>
                <c:pt idx="1">
                  <c:v>Индекс цен производителей промышленных товаров</c:v>
                </c:pt>
                <c:pt idx="2">
                  <c:v>Сводный индекс цен на продукцию                                                                                                                            (затраты, услуги) инвестиционного назначения</c:v>
                </c:pt>
                <c:pt idx="3">
                  <c:v>Индекс цен производителей  сельскохозяйственной  продукции</c:v>
                </c:pt>
                <c:pt idx="4">
                  <c:v>Индекс тарифов на грузовые перевозки</c:v>
                </c:pt>
              </c:strCache>
            </c:strRef>
          </c:cat>
          <c:val>
            <c:numRef>
              <c:f>Sheet1!$B$2:$F$2</c:f>
              <c:numCache>
                <c:formatCode>0.0</c:formatCode>
                <c:ptCount val="5"/>
                <c:pt idx="0">
                  <c:v>110.5</c:v>
                </c:pt>
                <c:pt idx="1">
                  <c:v>116.1</c:v>
                </c:pt>
                <c:pt idx="2">
                  <c:v>106.2</c:v>
                </c:pt>
                <c:pt idx="3">
                  <c:v>101.3</c:v>
                </c:pt>
                <c:pt idx="4">
                  <c:v>100</c:v>
                </c:pt>
              </c:numCache>
            </c:numRef>
          </c:val>
        </c:ser>
        <c:ser>
          <c:idx val="1"/>
          <c:order val="1"/>
          <c:tx>
            <c:strRef>
              <c:f>Sheet1!$A$3</c:f>
              <c:strCache>
                <c:ptCount val="1"/>
                <c:pt idx="0">
                  <c:v>2015 год</c:v>
                </c:pt>
              </c:strCache>
            </c:strRef>
          </c:tx>
          <c:spPr>
            <a:gradFill>
              <a:gsLst>
                <a:gs pos="0">
                  <a:sysClr val="window" lastClr="FFFFFF">
                    <a:lumMod val="95000"/>
                  </a:sysClr>
                </a:gs>
                <a:gs pos="50000">
                  <a:srgbClr val="99CCFF">
                    <a:gamma/>
                    <a:tint val="0"/>
                    <a:invGamma/>
                    <a:alpha val="0"/>
                  </a:srgbClr>
                </a:gs>
                <a:gs pos="100000">
                  <a:sysClr val="window" lastClr="FFFFFF">
                    <a:alpha val="0"/>
                  </a:sysClr>
                </a:gs>
              </a:gsLst>
              <a:lin ang="0" scaled="1"/>
            </a:gradFill>
            <a:ln w="38100" cmpd="dbl">
              <a:solidFill>
                <a:srgbClr val="C00000"/>
              </a:solidFill>
              <a:prstDash val="sysDash"/>
            </a:ln>
          </c:spPr>
          <c:dLbls>
            <c:dLbl>
              <c:idx val="0"/>
              <c:layout>
                <c:manualLayout>
                  <c:x val="-4.6747672727959363E-2"/>
                  <c:y val="3.7800554260326399E-2"/>
                </c:manualLayout>
              </c:layout>
              <c:showLegendKey val="0"/>
              <c:showVal val="1"/>
              <c:showCatName val="0"/>
              <c:showSerName val="0"/>
              <c:showPercent val="0"/>
              <c:showBubbleSize val="0"/>
            </c:dLbl>
            <c:dLbl>
              <c:idx val="1"/>
              <c:layout>
                <c:manualLayout>
                  <c:x val="-3.9697414249074379E-2"/>
                  <c:y val="-5.7520573086258957E-2"/>
                </c:manualLayout>
              </c:layout>
              <c:showLegendKey val="0"/>
              <c:showVal val="1"/>
              <c:showCatName val="0"/>
              <c:showSerName val="0"/>
              <c:showPercent val="0"/>
              <c:showBubbleSize val="0"/>
            </c:dLbl>
            <c:dLbl>
              <c:idx val="2"/>
              <c:layout>
                <c:manualLayout>
                  <c:x val="-4.7465045956707884E-2"/>
                  <c:y val="3.7933416217709628E-3"/>
                </c:manualLayout>
              </c:layout>
              <c:showLegendKey val="0"/>
              <c:showVal val="1"/>
              <c:showCatName val="0"/>
              <c:showSerName val="0"/>
              <c:showPercent val="0"/>
              <c:showBubbleSize val="0"/>
            </c:dLbl>
            <c:dLbl>
              <c:idx val="3"/>
              <c:layout>
                <c:manualLayout>
                  <c:x val="6.8143269163597947E-2"/>
                  <c:y val="-3.4959051171235177E-2"/>
                </c:manualLayout>
              </c:layout>
              <c:showLegendKey val="0"/>
              <c:showVal val="1"/>
              <c:showCatName val="0"/>
              <c:showSerName val="0"/>
              <c:showPercent val="0"/>
              <c:showBubbleSize val="0"/>
            </c:dLbl>
            <c:dLbl>
              <c:idx val="4"/>
              <c:layout>
                <c:manualLayout>
                  <c:x val="4.5022204924004272E-2"/>
                  <c:y val="-4.5040339188370686E-2"/>
                </c:manualLayout>
              </c:layout>
              <c:showLegendKey val="0"/>
              <c:showVal val="1"/>
              <c:showCatName val="0"/>
              <c:showSerName val="0"/>
              <c:showPercent val="0"/>
              <c:showBubbleSize val="0"/>
            </c:dLbl>
            <c:txPr>
              <a:bodyPr/>
              <a:lstStyle/>
              <a:p>
                <a:pPr>
                  <a:defRPr sz="1100">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Sheet1!$B$1:$F$1</c:f>
              <c:strCache>
                <c:ptCount val="5"/>
                <c:pt idx="0">
                  <c:v>Индекс потребительских цен</c:v>
                </c:pt>
                <c:pt idx="1">
                  <c:v>Индекс цен производителей промышленных товаров</c:v>
                </c:pt>
                <c:pt idx="2">
                  <c:v>Сводный индекс цен на продукцию                                                                                                                            (затраты, услуги) инвестиционного назначения</c:v>
                </c:pt>
                <c:pt idx="3">
                  <c:v>Индекс цен производителей  сельскохозяйственной  продукции</c:v>
                </c:pt>
                <c:pt idx="4">
                  <c:v>Индекс тарифов на грузовые перевозки</c:v>
                </c:pt>
              </c:strCache>
            </c:strRef>
          </c:cat>
          <c:val>
            <c:numRef>
              <c:f>Sheet1!$B$3:$F$3</c:f>
              <c:numCache>
                <c:formatCode>0.0</c:formatCode>
                <c:ptCount val="5"/>
                <c:pt idx="0">
                  <c:v>112.8</c:v>
                </c:pt>
                <c:pt idx="1">
                  <c:v>115.8</c:v>
                </c:pt>
                <c:pt idx="2">
                  <c:v>103.3</c:v>
                </c:pt>
                <c:pt idx="3">
                  <c:v>120.5</c:v>
                </c:pt>
                <c:pt idx="4">
                  <c:v>116</c:v>
                </c:pt>
              </c:numCache>
            </c:numRef>
          </c:val>
        </c:ser>
        <c:dLbls>
          <c:showLegendKey val="0"/>
          <c:showVal val="1"/>
          <c:showCatName val="0"/>
          <c:showSerName val="0"/>
          <c:showPercent val="0"/>
          <c:showBubbleSize val="0"/>
        </c:dLbls>
        <c:axId val="106603648"/>
        <c:axId val="106605184"/>
      </c:radarChart>
      <c:catAx>
        <c:axId val="106603648"/>
        <c:scaling>
          <c:orientation val="minMax"/>
        </c:scaling>
        <c:delete val="0"/>
        <c:axPos val="b"/>
        <c:majorGridlines>
          <c:spPr>
            <a:ln w="2770">
              <a:solidFill>
                <a:srgbClr val="000000"/>
              </a:solidFill>
              <a:prstDash val="solid"/>
            </a:ln>
          </c:spPr>
        </c:majorGridlines>
        <c:numFmt formatCode="General" sourceLinked="1"/>
        <c:majorTickMark val="out"/>
        <c:minorTickMark val="none"/>
        <c:tickLblPos val="nextTo"/>
        <c:txPr>
          <a:bodyPr rot="0" vert="horz"/>
          <a:lstStyle/>
          <a:p>
            <a:pPr>
              <a:defRPr sz="872" b="1" i="0" u="none" strike="noStrike" baseline="0">
                <a:solidFill>
                  <a:srgbClr val="000000"/>
                </a:solidFill>
                <a:latin typeface="Times New Roman"/>
                <a:ea typeface="Times New Roman"/>
                <a:cs typeface="Times New Roman"/>
              </a:defRPr>
            </a:pPr>
            <a:endParaRPr lang="ru-RU"/>
          </a:p>
        </c:txPr>
        <c:crossAx val="106605184"/>
        <c:crosses val="autoZero"/>
        <c:auto val="0"/>
        <c:lblAlgn val="ctr"/>
        <c:lblOffset val="100"/>
        <c:noMultiLvlLbl val="0"/>
      </c:catAx>
      <c:valAx>
        <c:axId val="106605184"/>
        <c:scaling>
          <c:orientation val="minMax"/>
          <c:max val="125"/>
          <c:min val="70"/>
        </c:scaling>
        <c:delete val="0"/>
        <c:axPos val="l"/>
        <c:numFmt formatCode="0.0" sourceLinked="1"/>
        <c:majorTickMark val="none"/>
        <c:minorTickMark val="none"/>
        <c:tickLblPos val="none"/>
        <c:spPr>
          <a:ln w="2770">
            <a:solidFill>
              <a:srgbClr val="000000"/>
            </a:solidFill>
            <a:prstDash val="solid"/>
          </a:ln>
        </c:spPr>
        <c:crossAx val="106603648"/>
        <c:crosses val="autoZero"/>
        <c:crossBetween val="between"/>
        <c:majorUnit val="20"/>
        <c:minorUnit val="4"/>
      </c:valAx>
      <c:spPr>
        <a:noFill/>
        <a:ln w="22259">
          <a:noFill/>
        </a:ln>
      </c:spPr>
    </c:plotArea>
    <c:legend>
      <c:legendPos val="r"/>
      <c:overlay val="0"/>
      <c:spPr>
        <a:noFill/>
        <a:ln w="22163">
          <a:noFill/>
        </a:ln>
      </c:spPr>
      <c:txPr>
        <a:bodyPr/>
        <a:lstStyle/>
        <a:p>
          <a:pPr>
            <a:defRPr sz="873" b="1"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showDLblsOverMax val="0"/>
  </c:chart>
  <c:spPr>
    <a:noFill/>
    <a:ln>
      <a:noFill/>
    </a:ln>
  </c:spPr>
  <c:txPr>
    <a:bodyPr/>
    <a:lstStyle/>
    <a:p>
      <a:pPr>
        <a:defRPr sz="135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0"/>
    <c:plotArea>
      <c:layout>
        <c:manualLayout>
          <c:layoutTarget val="inner"/>
          <c:xMode val="edge"/>
          <c:yMode val="edge"/>
          <c:x val="2.7777777777777776E-2"/>
          <c:y val="0"/>
          <c:w val="0.91171496792067663"/>
          <c:h val="0.61980527663399876"/>
        </c:manualLayout>
      </c:layout>
      <c:barChart>
        <c:barDir val="col"/>
        <c:grouping val="clustered"/>
        <c:varyColors val="0"/>
        <c:ser>
          <c:idx val="2"/>
          <c:order val="2"/>
          <c:tx>
            <c:strRef>
              <c:f>Лист1!$D$1</c:f>
              <c:strCache>
                <c:ptCount val="1"/>
                <c:pt idx="0">
                  <c:v>в % к декабрю предыдущего года</c:v>
                </c:pt>
              </c:strCache>
            </c:strRef>
          </c:tx>
          <c:spPr>
            <a:solidFill>
              <a:schemeClr val="accent5">
                <a:lumMod val="75000"/>
              </a:schemeClr>
            </a:solidFill>
          </c:spPr>
          <c:invertIfNegative val="0"/>
          <c:cat>
            <c:strRef>
              <c:f>Лист1!$A$2:$A$25</c:f>
              <c:strCache>
                <c:ptCount val="24"/>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c:v>
                </c:pt>
              </c:strCache>
            </c:strRef>
          </c:cat>
          <c:val>
            <c:numRef>
              <c:f>Лист1!$D$2:$D$25</c:f>
              <c:numCache>
                <c:formatCode>0.0</c:formatCode>
                <c:ptCount val="24"/>
                <c:pt idx="0">
                  <c:v>100.5</c:v>
                </c:pt>
                <c:pt idx="1">
                  <c:v>100.9</c:v>
                </c:pt>
                <c:pt idx="2">
                  <c:v>101.5</c:v>
                </c:pt>
                <c:pt idx="3">
                  <c:v>102.6</c:v>
                </c:pt>
                <c:pt idx="4">
                  <c:v>102.9</c:v>
                </c:pt>
                <c:pt idx="5">
                  <c:v>103.4</c:v>
                </c:pt>
                <c:pt idx="6">
                  <c:v>103.8</c:v>
                </c:pt>
                <c:pt idx="7">
                  <c:v>104.4</c:v>
                </c:pt>
                <c:pt idx="8">
                  <c:v>104.8</c:v>
                </c:pt>
                <c:pt idx="9">
                  <c:v>105.4</c:v>
                </c:pt>
                <c:pt idx="10">
                  <c:v>108.2</c:v>
                </c:pt>
                <c:pt idx="11">
                  <c:v>110.5</c:v>
                </c:pt>
                <c:pt idx="12">
                  <c:v>103.1</c:v>
                </c:pt>
                <c:pt idx="13">
                  <c:v>105.4</c:v>
                </c:pt>
                <c:pt idx="14">
                  <c:v>107</c:v>
                </c:pt>
                <c:pt idx="15">
                  <c:v>107.6</c:v>
                </c:pt>
                <c:pt idx="16">
                  <c:v>107.8</c:v>
                </c:pt>
                <c:pt idx="17">
                  <c:v>108.2</c:v>
                </c:pt>
                <c:pt idx="18">
                  <c:v>109.2</c:v>
                </c:pt>
                <c:pt idx="19">
                  <c:v>109.3</c:v>
                </c:pt>
                <c:pt idx="20">
                  <c:v>110.3</c:v>
                </c:pt>
                <c:pt idx="21">
                  <c:v>111.1</c:v>
                </c:pt>
                <c:pt idx="22">
                  <c:v>112.2</c:v>
                </c:pt>
                <c:pt idx="23">
                  <c:v>112.8</c:v>
                </c:pt>
              </c:numCache>
            </c:numRef>
          </c:val>
        </c:ser>
        <c:dLbls>
          <c:showLegendKey val="0"/>
          <c:showVal val="0"/>
          <c:showCatName val="0"/>
          <c:showSerName val="0"/>
          <c:showPercent val="0"/>
          <c:showBubbleSize val="0"/>
        </c:dLbls>
        <c:gapWidth val="150"/>
        <c:axId val="106725376"/>
        <c:axId val="106719488"/>
      </c:barChart>
      <c:lineChart>
        <c:grouping val="standard"/>
        <c:varyColors val="0"/>
        <c:ser>
          <c:idx val="0"/>
          <c:order val="0"/>
          <c:tx>
            <c:strRef>
              <c:f>Лист1!$B$1</c:f>
              <c:strCache>
                <c:ptCount val="1"/>
                <c:pt idx="0">
                  <c:v>в % к предыдущему месяцу</c:v>
                </c:pt>
              </c:strCache>
            </c:strRef>
          </c:tx>
          <c:marker>
            <c:symbol val="none"/>
          </c:marker>
          <c:cat>
            <c:strRef>
              <c:f>Лист1!$A$2:$A$25</c:f>
              <c:strCache>
                <c:ptCount val="24"/>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c:v>
                </c:pt>
              </c:strCache>
            </c:strRef>
          </c:cat>
          <c:val>
            <c:numRef>
              <c:f>Лист1!$B$2:$B$25</c:f>
              <c:numCache>
                <c:formatCode>General</c:formatCode>
                <c:ptCount val="24"/>
                <c:pt idx="0">
                  <c:v>100.5</c:v>
                </c:pt>
                <c:pt idx="1">
                  <c:v>100.4</c:v>
                </c:pt>
                <c:pt idx="2">
                  <c:v>100.7</c:v>
                </c:pt>
                <c:pt idx="3">
                  <c:v>101</c:v>
                </c:pt>
                <c:pt idx="4">
                  <c:v>100.3</c:v>
                </c:pt>
                <c:pt idx="5">
                  <c:v>100.5</c:v>
                </c:pt>
                <c:pt idx="6">
                  <c:v>100.4</c:v>
                </c:pt>
                <c:pt idx="7">
                  <c:v>100.6</c:v>
                </c:pt>
                <c:pt idx="8">
                  <c:v>100.4</c:v>
                </c:pt>
                <c:pt idx="9">
                  <c:v>100.6</c:v>
                </c:pt>
                <c:pt idx="10">
                  <c:v>102.6</c:v>
                </c:pt>
                <c:pt idx="11">
                  <c:v>102.1</c:v>
                </c:pt>
                <c:pt idx="12">
                  <c:v>103.1</c:v>
                </c:pt>
                <c:pt idx="13">
                  <c:v>102.2</c:v>
                </c:pt>
                <c:pt idx="14">
                  <c:v>101.5</c:v>
                </c:pt>
                <c:pt idx="15">
                  <c:v>100.5</c:v>
                </c:pt>
                <c:pt idx="16">
                  <c:v>100.2</c:v>
                </c:pt>
                <c:pt idx="17">
                  <c:v>100.4</c:v>
                </c:pt>
                <c:pt idx="18">
                  <c:v>101</c:v>
                </c:pt>
                <c:pt idx="19">
                  <c:v>100.1</c:v>
                </c:pt>
                <c:pt idx="20">
                  <c:v>100.9</c:v>
                </c:pt>
                <c:pt idx="21">
                  <c:v>100.7</c:v>
                </c:pt>
                <c:pt idx="22">
                  <c:v>101</c:v>
                </c:pt>
                <c:pt idx="23">
                  <c:v>100.6</c:v>
                </c:pt>
              </c:numCache>
            </c:numRef>
          </c:val>
          <c:smooth val="1"/>
        </c:ser>
        <c:ser>
          <c:idx val="1"/>
          <c:order val="1"/>
          <c:tx>
            <c:strRef>
              <c:f>Лист1!$C$1</c:f>
              <c:strCache>
                <c:ptCount val="1"/>
                <c:pt idx="0">
                  <c:v>в % к соответствующему месяцу предыдущего года</c:v>
                </c:pt>
              </c:strCache>
            </c:strRef>
          </c:tx>
          <c:spPr>
            <a:ln>
              <a:prstDash val="sysDash"/>
            </a:ln>
          </c:spPr>
          <c:marker>
            <c:symbol val="none"/>
          </c:marker>
          <c:cat>
            <c:strRef>
              <c:f>Лист1!$A$2:$A$25</c:f>
              <c:strCache>
                <c:ptCount val="24"/>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c:v>
                </c:pt>
              </c:strCache>
            </c:strRef>
          </c:cat>
          <c:val>
            <c:numRef>
              <c:f>Лист1!$C$2:$C$25</c:f>
              <c:numCache>
                <c:formatCode>General</c:formatCode>
                <c:ptCount val="24"/>
                <c:pt idx="0">
                  <c:v>107.6</c:v>
                </c:pt>
                <c:pt idx="1">
                  <c:v>107.2</c:v>
                </c:pt>
                <c:pt idx="2">
                  <c:v>107.4</c:v>
                </c:pt>
                <c:pt idx="3">
                  <c:v>108.1</c:v>
                </c:pt>
                <c:pt idx="4">
                  <c:v>107.4</c:v>
                </c:pt>
                <c:pt idx="5">
                  <c:v>107.4</c:v>
                </c:pt>
                <c:pt idx="6">
                  <c:v>107</c:v>
                </c:pt>
                <c:pt idx="7">
                  <c:v>106.8</c:v>
                </c:pt>
                <c:pt idx="8">
                  <c:v>106.7</c:v>
                </c:pt>
                <c:pt idx="9">
                  <c:v>107</c:v>
                </c:pt>
                <c:pt idx="10">
                  <c:v>109.1</c:v>
                </c:pt>
                <c:pt idx="11">
                  <c:v>110.5</c:v>
                </c:pt>
                <c:pt idx="12">
                  <c:v>113.5</c:v>
                </c:pt>
                <c:pt idx="13">
                  <c:v>115.4</c:v>
                </c:pt>
                <c:pt idx="14">
                  <c:v>116.4</c:v>
                </c:pt>
                <c:pt idx="15">
                  <c:v>115.9</c:v>
                </c:pt>
                <c:pt idx="16">
                  <c:v>115.8</c:v>
                </c:pt>
                <c:pt idx="17">
                  <c:v>115.7</c:v>
                </c:pt>
                <c:pt idx="18">
                  <c:v>116.4</c:v>
                </c:pt>
                <c:pt idx="19">
                  <c:v>115.8</c:v>
                </c:pt>
                <c:pt idx="20">
                  <c:v>116.3</c:v>
                </c:pt>
                <c:pt idx="21">
                  <c:v>116.4</c:v>
                </c:pt>
                <c:pt idx="22">
                  <c:v>114.6</c:v>
                </c:pt>
                <c:pt idx="23">
                  <c:v>112.8</c:v>
                </c:pt>
              </c:numCache>
            </c:numRef>
          </c:val>
          <c:smooth val="1"/>
        </c:ser>
        <c:dLbls>
          <c:showLegendKey val="0"/>
          <c:showVal val="0"/>
          <c:showCatName val="0"/>
          <c:showSerName val="0"/>
          <c:showPercent val="0"/>
          <c:showBubbleSize val="0"/>
        </c:dLbls>
        <c:marker val="1"/>
        <c:smooth val="0"/>
        <c:axId val="106716160"/>
        <c:axId val="106717952"/>
      </c:lineChart>
      <c:dateAx>
        <c:axId val="106716160"/>
        <c:scaling>
          <c:orientation val="minMax"/>
          <c:max val="24"/>
          <c:min val="1"/>
        </c:scaling>
        <c:delete val="0"/>
        <c:axPos val="b"/>
        <c:numFmt formatCode="mmm\-yy" sourceLinked="1"/>
        <c:majorTickMark val="out"/>
        <c:minorTickMark val="none"/>
        <c:tickLblPos val="nextTo"/>
        <c:txPr>
          <a:bodyPr/>
          <a:lstStyle/>
          <a:p>
            <a:pPr>
              <a:defRPr b="1"/>
            </a:pPr>
            <a:endParaRPr lang="ru-RU"/>
          </a:p>
        </c:txPr>
        <c:crossAx val="106717952"/>
        <c:crossesAt val="100"/>
        <c:auto val="0"/>
        <c:lblOffset val="100"/>
        <c:baseTimeUnit val="months"/>
        <c:majorUnit val="1"/>
        <c:majorTimeUnit val="months"/>
      </c:dateAx>
      <c:valAx>
        <c:axId val="106717952"/>
        <c:scaling>
          <c:orientation val="minMax"/>
          <c:max val="117"/>
          <c:min val="100"/>
        </c:scaling>
        <c:delete val="0"/>
        <c:axPos val="l"/>
        <c:majorGridlines/>
        <c:numFmt formatCode="#,##0.0" sourceLinked="0"/>
        <c:majorTickMark val="out"/>
        <c:minorTickMark val="none"/>
        <c:tickLblPos val="nextTo"/>
        <c:txPr>
          <a:bodyPr/>
          <a:lstStyle/>
          <a:p>
            <a:pPr>
              <a:defRPr b="1"/>
            </a:pPr>
            <a:endParaRPr lang="ru-RU"/>
          </a:p>
        </c:txPr>
        <c:crossAx val="106716160"/>
        <c:crosses val="autoZero"/>
        <c:crossBetween val="between"/>
        <c:majorUnit val="10"/>
      </c:valAx>
      <c:valAx>
        <c:axId val="106719488"/>
        <c:scaling>
          <c:orientation val="minMax"/>
          <c:max val="116"/>
          <c:min val="100"/>
        </c:scaling>
        <c:delete val="0"/>
        <c:axPos val="r"/>
        <c:numFmt formatCode="0.0" sourceLinked="1"/>
        <c:majorTickMark val="out"/>
        <c:minorTickMark val="none"/>
        <c:tickLblPos val="nextTo"/>
        <c:txPr>
          <a:bodyPr/>
          <a:lstStyle/>
          <a:p>
            <a:pPr>
              <a:defRPr b="1"/>
            </a:pPr>
            <a:endParaRPr lang="ru-RU"/>
          </a:p>
        </c:txPr>
        <c:crossAx val="106725376"/>
        <c:crosses val="max"/>
        <c:crossBetween val="between"/>
        <c:majorUnit val="10"/>
      </c:valAx>
      <c:catAx>
        <c:axId val="106725376"/>
        <c:scaling>
          <c:orientation val="minMax"/>
        </c:scaling>
        <c:delete val="1"/>
        <c:axPos val="b"/>
        <c:majorTickMark val="out"/>
        <c:minorTickMark val="none"/>
        <c:tickLblPos val="nextTo"/>
        <c:crossAx val="106719488"/>
        <c:crossesAt val="100"/>
        <c:auto val="1"/>
        <c:lblAlgn val="ctr"/>
        <c:lblOffset val="100"/>
        <c:noMultiLvlLbl val="0"/>
      </c:catAx>
    </c:plotArea>
    <c:legend>
      <c:legendPos val="b"/>
      <c:layout>
        <c:manualLayout>
          <c:xMode val="edge"/>
          <c:yMode val="edge"/>
          <c:x val="0.21898149728188002"/>
          <c:y val="0.76390907276941256"/>
          <c:w val="0.56953560371517031"/>
          <c:h val="0.23609095871563063"/>
        </c:manualLayout>
      </c:layout>
      <c:overlay val="0"/>
      <c:txPr>
        <a:bodyPr/>
        <a:lstStyle/>
        <a:p>
          <a:pPr>
            <a:defRPr b="1"/>
          </a:pPr>
          <a:endParaRPr lang="ru-RU"/>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col"/>
        <c:grouping val="clustered"/>
        <c:varyColors val="0"/>
        <c:ser>
          <c:idx val="0"/>
          <c:order val="0"/>
          <c:tx>
            <c:strRef>
              <c:f>Лист1!$B$1</c:f>
              <c:strCache>
                <c:ptCount val="1"/>
                <c:pt idx="0">
                  <c:v>Объем предоставленных ипотечных жилищных кредитов, млн. рублей</c:v>
                </c:pt>
              </c:strCache>
            </c:strRef>
          </c:tx>
          <c:spPr>
            <a:ln w="15875">
              <a:solidFill>
                <a:schemeClr val="tx1"/>
              </a:solidFill>
            </a:ln>
          </c:spPr>
          <c:invertIfNegative val="0"/>
          <c:dLbls>
            <c:txPr>
              <a:bodyPr/>
              <a:lstStyle/>
              <a:p>
                <a:pPr>
                  <a:defRPr sz="1200" b="1"/>
                </a:pPr>
                <a:endParaRPr lang="ru-RU"/>
              </a:p>
            </c:txPr>
            <c:dLblPos val="inEnd"/>
            <c:showLegendKey val="0"/>
            <c:showVal val="1"/>
            <c:showCatName val="0"/>
            <c:showSerName val="0"/>
            <c:showPercent val="0"/>
            <c:showBubbleSize val="0"/>
            <c:showLeaderLines val="0"/>
          </c:dLbls>
          <c:cat>
            <c:strRef>
              <c:f>Лист1!$A$2:$A$4</c:f>
              <c:strCache>
                <c:ptCount val="3"/>
                <c:pt idx="0">
                  <c:v>январь-декабрь 2013</c:v>
                </c:pt>
                <c:pt idx="1">
                  <c:v>январь-декабрь 2014</c:v>
                </c:pt>
                <c:pt idx="2">
                  <c:v>январь-декабрь 2015</c:v>
                </c:pt>
              </c:strCache>
            </c:strRef>
          </c:cat>
          <c:val>
            <c:numRef>
              <c:f>Лист1!$B$2:$B$4</c:f>
              <c:numCache>
                <c:formatCode>General</c:formatCode>
                <c:ptCount val="3"/>
                <c:pt idx="0">
                  <c:v>6544.5</c:v>
                </c:pt>
                <c:pt idx="1">
                  <c:v>10295.4</c:v>
                </c:pt>
                <c:pt idx="2">
                  <c:v>5623.2</c:v>
                </c:pt>
              </c:numCache>
            </c:numRef>
          </c:val>
        </c:ser>
        <c:ser>
          <c:idx val="1"/>
          <c:order val="1"/>
          <c:tx>
            <c:strRef>
              <c:f>Лист1!$C$1</c:f>
              <c:strCache>
                <c:ptCount val="1"/>
                <c:pt idx="0">
                  <c:v>Задолженность по предоставленным ипотечным жилищным кредитам, млн. рублей</c:v>
                </c:pt>
              </c:strCache>
            </c:strRef>
          </c:tx>
          <c:spPr>
            <a:ln w="15875">
              <a:solidFill>
                <a:schemeClr val="tx1"/>
              </a:solidFill>
            </a:ln>
          </c:spPr>
          <c:invertIfNegative val="0"/>
          <c:dLbls>
            <c:dLbl>
              <c:idx val="1"/>
              <c:layout>
                <c:manualLayout>
                  <c:x val="0"/>
                  <c:y val="9.4444444444444442E-2"/>
                </c:manualLayout>
              </c:layout>
              <c:dLblPos val="outEnd"/>
              <c:showLegendKey val="0"/>
              <c:showVal val="1"/>
              <c:showCatName val="0"/>
              <c:showSerName val="0"/>
              <c:showPercent val="0"/>
              <c:showBubbleSize val="0"/>
            </c:dLbl>
            <c:txPr>
              <a:bodyPr/>
              <a:lstStyle/>
              <a:p>
                <a:pPr>
                  <a:defRPr sz="1200" b="1"/>
                </a:pPr>
                <a:endParaRPr lang="ru-RU"/>
              </a:p>
            </c:txPr>
            <c:dLblPos val="inEnd"/>
            <c:showLegendKey val="0"/>
            <c:showVal val="1"/>
            <c:showCatName val="0"/>
            <c:showSerName val="0"/>
            <c:showPercent val="0"/>
            <c:showBubbleSize val="0"/>
            <c:showLeaderLines val="0"/>
          </c:dLbls>
          <c:cat>
            <c:strRef>
              <c:f>Лист1!$A$2:$A$4</c:f>
              <c:strCache>
                <c:ptCount val="3"/>
                <c:pt idx="0">
                  <c:v>январь-декабрь 2013</c:v>
                </c:pt>
                <c:pt idx="1">
                  <c:v>январь-декабрь 2014</c:v>
                </c:pt>
                <c:pt idx="2">
                  <c:v>январь-декабрь 2015</c:v>
                </c:pt>
              </c:strCache>
            </c:strRef>
          </c:cat>
          <c:val>
            <c:numRef>
              <c:f>Лист1!$C$2:$C$4</c:f>
              <c:numCache>
                <c:formatCode>General</c:formatCode>
                <c:ptCount val="3"/>
                <c:pt idx="0">
                  <c:v>16208.8</c:v>
                </c:pt>
                <c:pt idx="1">
                  <c:v>22302.9</c:v>
                </c:pt>
                <c:pt idx="2">
                  <c:v>24785.5</c:v>
                </c:pt>
              </c:numCache>
            </c:numRef>
          </c:val>
        </c:ser>
        <c:dLbls>
          <c:dLblPos val="ctr"/>
          <c:showLegendKey val="0"/>
          <c:showVal val="1"/>
          <c:showCatName val="0"/>
          <c:showSerName val="0"/>
          <c:showPercent val="0"/>
          <c:showBubbleSize val="0"/>
        </c:dLbls>
        <c:gapWidth val="90"/>
        <c:axId val="106837888"/>
        <c:axId val="106844928"/>
      </c:barChart>
      <c:lineChart>
        <c:grouping val="standard"/>
        <c:varyColors val="0"/>
        <c:ser>
          <c:idx val="2"/>
          <c:order val="2"/>
          <c:tx>
            <c:strRef>
              <c:f>Лист1!$D$1</c:f>
              <c:strCache>
                <c:ptCount val="1"/>
                <c:pt idx="0">
                  <c:v>Средневзвешенная процентная ставка по ипотечному кредиту на 01 января, процентов</c:v>
                </c:pt>
              </c:strCache>
            </c:strRef>
          </c:tx>
          <c:spPr>
            <a:ln w="73025">
              <a:solidFill>
                <a:schemeClr val="accent5">
                  <a:lumMod val="75000"/>
                </a:schemeClr>
              </a:solidFill>
            </a:ln>
          </c:spPr>
          <c:marker>
            <c:spPr>
              <a:solidFill>
                <a:srgbClr val="00B050"/>
              </a:solidFill>
              <a:ln w="12700">
                <a:solidFill>
                  <a:srgbClr val="00B050"/>
                </a:solidFill>
              </a:ln>
            </c:spPr>
          </c:marker>
          <c:dLbls>
            <c:dLbl>
              <c:idx val="0"/>
              <c:layout>
                <c:manualLayout>
                  <c:x val="-9.4623655913978491E-2"/>
                  <c:y val="-3.807615851297276E-2"/>
                </c:manualLayout>
              </c:layout>
              <c:dLblPos val="r"/>
              <c:showLegendKey val="0"/>
              <c:showVal val="1"/>
              <c:showCatName val="0"/>
              <c:showSerName val="0"/>
              <c:showPercent val="0"/>
              <c:showBubbleSize val="0"/>
            </c:dLbl>
            <c:dLbl>
              <c:idx val="1"/>
              <c:layout>
                <c:manualLayout>
                  <c:x val="-1.0752688172043012E-2"/>
                  <c:y val="1.6608235445979089E-2"/>
                </c:manualLayout>
              </c:layout>
              <c:dLblPos val="r"/>
              <c:showLegendKey val="0"/>
              <c:showVal val="1"/>
              <c:showCatName val="0"/>
              <c:showSerName val="0"/>
              <c:showPercent val="0"/>
              <c:showBubbleSize val="0"/>
            </c:dLbl>
            <c:dLbl>
              <c:idx val="2"/>
              <c:layout>
                <c:manualLayout>
                  <c:x val="-0.10591397849462365"/>
                  <c:y val="-3.3707671786928274E-2"/>
                </c:manualLayout>
              </c:layout>
              <c:dLblPos val="r"/>
              <c:showLegendKey val="0"/>
              <c:showVal val="1"/>
              <c:showCatName val="0"/>
              <c:showSerName val="0"/>
              <c:showPercent val="0"/>
              <c:showBubbleSize val="0"/>
            </c:dLbl>
            <c:numFmt formatCode="0.0%" sourceLinked="0"/>
            <c:spPr>
              <a:ln w="15875">
                <a:solidFill>
                  <a:srgbClr val="FF0000"/>
                </a:solidFill>
              </a:ln>
            </c:spPr>
            <c:txPr>
              <a:bodyPr/>
              <a:lstStyle/>
              <a:p>
                <a:pPr>
                  <a:defRPr sz="1200" b="1"/>
                </a:pPr>
                <a:endParaRPr lang="ru-RU"/>
              </a:p>
            </c:txPr>
            <c:dLblPos val="t"/>
            <c:showLegendKey val="0"/>
            <c:showVal val="1"/>
            <c:showCatName val="0"/>
            <c:showSerName val="0"/>
            <c:showPercent val="0"/>
            <c:showBubbleSize val="0"/>
            <c:showLeaderLines val="0"/>
          </c:dLbls>
          <c:cat>
            <c:strRef>
              <c:f>Лист1!$A$2:$A$4</c:f>
              <c:strCache>
                <c:ptCount val="3"/>
                <c:pt idx="0">
                  <c:v>январь-декабрь 2013</c:v>
                </c:pt>
                <c:pt idx="1">
                  <c:v>январь-декабрь 2014</c:v>
                </c:pt>
                <c:pt idx="2">
                  <c:v>январь-декабрь 2015</c:v>
                </c:pt>
              </c:strCache>
            </c:strRef>
          </c:cat>
          <c:val>
            <c:numRef>
              <c:f>Лист1!$D$2:$D$4</c:f>
              <c:numCache>
                <c:formatCode>General</c:formatCode>
                <c:ptCount val="3"/>
                <c:pt idx="0">
                  <c:v>0.125</c:v>
                </c:pt>
                <c:pt idx="1">
                  <c:v>0.124</c:v>
                </c:pt>
                <c:pt idx="2">
                  <c:v>0.13300000000000001</c:v>
                </c:pt>
              </c:numCache>
            </c:numRef>
          </c:val>
          <c:smooth val="0"/>
        </c:ser>
        <c:dLbls>
          <c:dLblPos val="ctr"/>
          <c:showLegendKey val="0"/>
          <c:showVal val="1"/>
          <c:showCatName val="0"/>
          <c:showSerName val="0"/>
          <c:showPercent val="0"/>
          <c:showBubbleSize val="0"/>
        </c:dLbls>
        <c:marker val="1"/>
        <c:smooth val="0"/>
        <c:axId val="106856448"/>
        <c:axId val="106846464"/>
      </c:lineChart>
      <c:catAx>
        <c:axId val="106837888"/>
        <c:scaling>
          <c:orientation val="minMax"/>
        </c:scaling>
        <c:delete val="0"/>
        <c:axPos val="b"/>
        <c:majorTickMark val="out"/>
        <c:minorTickMark val="none"/>
        <c:tickLblPos val="nextTo"/>
        <c:spPr>
          <a:noFill/>
          <a:ln>
            <a:solidFill>
              <a:schemeClr val="tx1"/>
            </a:solidFill>
          </a:ln>
        </c:spPr>
        <c:txPr>
          <a:bodyPr/>
          <a:lstStyle/>
          <a:p>
            <a:pPr>
              <a:defRPr b="1"/>
            </a:pPr>
            <a:endParaRPr lang="ru-RU"/>
          </a:p>
        </c:txPr>
        <c:crossAx val="106844928"/>
        <c:crosses val="autoZero"/>
        <c:auto val="1"/>
        <c:lblAlgn val="ctr"/>
        <c:lblOffset val="100"/>
        <c:noMultiLvlLbl val="0"/>
      </c:catAx>
      <c:valAx>
        <c:axId val="106844928"/>
        <c:scaling>
          <c:orientation val="minMax"/>
          <c:max val="25000"/>
          <c:min val="3000"/>
        </c:scaling>
        <c:delete val="0"/>
        <c:axPos val="l"/>
        <c:majorGridlines>
          <c:spPr>
            <a:ln>
              <a:noFill/>
            </a:ln>
          </c:spPr>
        </c:majorGridlines>
        <c:numFmt formatCode="General" sourceLinked="1"/>
        <c:majorTickMark val="none"/>
        <c:minorTickMark val="none"/>
        <c:tickLblPos val="none"/>
        <c:spPr>
          <a:noFill/>
          <a:ln>
            <a:noFill/>
          </a:ln>
        </c:spPr>
        <c:crossAx val="106837888"/>
        <c:crosses val="autoZero"/>
        <c:crossBetween val="between"/>
        <c:majorUnit val="5000"/>
      </c:valAx>
      <c:valAx>
        <c:axId val="106846464"/>
        <c:scaling>
          <c:orientation val="minMax"/>
          <c:max val="0.13400000000000001"/>
          <c:min val="0.12200000000000001"/>
        </c:scaling>
        <c:delete val="0"/>
        <c:axPos val="r"/>
        <c:numFmt formatCode="0.00%" sourceLinked="0"/>
        <c:majorTickMark val="none"/>
        <c:minorTickMark val="none"/>
        <c:tickLblPos val="none"/>
        <c:spPr>
          <a:noFill/>
          <a:ln>
            <a:noFill/>
          </a:ln>
        </c:spPr>
        <c:crossAx val="106856448"/>
        <c:crosses val="max"/>
        <c:crossBetween val="between"/>
        <c:majorUnit val="2.0000000000000004E-2"/>
      </c:valAx>
      <c:catAx>
        <c:axId val="106856448"/>
        <c:scaling>
          <c:orientation val="minMax"/>
        </c:scaling>
        <c:delete val="1"/>
        <c:axPos val="b"/>
        <c:majorTickMark val="out"/>
        <c:minorTickMark val="none"/>
        <c:tickLblPos val="nextTo"/>
        <c:crossAx val="106846464"/>
        <c:crosses val="autoZero"/>
        <c:auto val="1"/>
        <c:lblAlgn val="ctr"/>
        <c:lblOffset val="100"/>
        <c:noMultiLvlLbl val="0"/>
      </c:catAx>
    </c:plotArea>
    <c:legend>
      <c:legendPos val="b"/>
      <c:layout/>
      <c:overlay val="0"/>
      <c:txPr>
        <a:bodyPr/>
        <a:lstStyle/>
        <a:p>
          <a:pPr>
            <a:defRPr b="1"/>
          </a:pPr>
          <a:endParaRPr lang="ru-RU"/>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9373665248365699E-2"/>
          <c:y val="4.4057617797775464E-2"/>
          <c:w val="0.91510360118028722"/>
          <c:h val="0.85282089738782962"/>
        </c:manualLayout>
      </c:layout>
      <c:bar3DChart>
        <c:barDir val="col"/>
        <c:grouping val="clustered"/>
        <c:varyColors val="0"/>
        <c:ser>
          <c:idx val="0"/>
          <c:order val="0"/>
          <c:tx>
            <c:strRef>
              <c:f>Лист1!$B$1</c:f>
              <c:strCache>
                <c:ptCount val="1"/>
                <c:pt idx="0">
                  <c:v>Доходы </c:v>
                </c:pt>
              </c:strCache>
            </c:strRef>
          </c:tx>
          <c:spPr>
            <a:solidFill>
              <a:srgbClr val="F79646">
                <a:lumMod val="60000"/>
                <a:lumOff val="40000"/>
              </a:srgbClr>
            </a:solidFill>
            <a:ln w="12700">
              <a:solidFill>
                <a:sysClr val="windowText" lastClr="000000"/>
              </a:solidFill>
            </a:ln>
            <a:effectLst>
              <a:innerShdw blurRad="63500" dist="50800">
                <a:prstClr val="black">
                  <a:alpha val="50000"/>
                </a:prstClr>
              </a:innerShdw>
            </a:effectLst>
          </c:spPr>
          <c:invertIfNegative val="0"/>
          <c:dLbls>
            <c:dLbl>
              <c:idx val="0"/>
              <c:layout>
                <c:manualLayout>
                  <c:x val="-8.1895242113771728E-3"/>
                  <c:y val="-2.5238306875998624E-3"/>
                </c:manualLayout>
              </c:layout>
              <c:showLegendKey val="0"/>
              <c:showVal val="1"/>
              <c:showCatName val="0"/>
              <c:showSerName val="0"/>
              <c:showPercent val="0"/>
              <c:showBubbleSize val="0"/>
            </c:dLbl>
            <c:dLbl>
              <c:idx val="1"/>
              <c:layout>
                <c:manualLayout>
                  <c:x val="-2.7101027625784067E-2"/>
                  <c:y val="0.18254047789480859"/>
                </c:manualLayout>
              </c:layout>
              <c:showLegendKey val="0"/>
              <c:showVal val="1"/>
              <c:showCatName val="0"/>
              <c:showSerName val="0"/>
              <c:showPercent val="0"/>
              <c:showBubbleSize val="0"/>
            </c:dLbl>
            <c:dLbl>
              <c:idx val="2"/>
              <c:layout>
                <c:manualLayout>
                  <c:x val="-3.673154057263698E-2"/>
                  <c:y val="1.7329736008332562E-2"/>
                </c:manualLayout>
              </c:layout>
              <c:showLegendKey val="0"/>
              <c:showVal val="1"/>
              <c:showCatName val="0"/>
              <c:showSerName val="0"/>
              <c:showPercent val="0"/>
              <c:showBubbleSize val="0"/>
            </c:dLbl>
            <c:dLbl>
              <c:idx val="3"/>
              <c:layout>
                <c:manualLayout>
                  <c:x val="-2.0415819631946365E-2"/>
                  <c:y val="5.053114621790083E-3"/>
                </c:manualLayout>
              </c:layout>
              <c:showLegendKey val="0"/>
              <c:showVal val="1"/>
              <c:showCatName val="0"/>
              <c:showSerName val="0"/>
              <c:showPercent val="0"/>
              <c:showBubbleSize val="0"/>
            </c:dLbl>
            <c:dLbl>
              <c:idx val="4"/>
              <c:layout>
                <c:manualLayout>
                  <c:x val="-1.5467915380253067E-2"/>
                  <c:y val="3.9699635177803108E-3"/>
                </c:manualLayout>
              </c:layout>
              <c:showLegendKey val="0"/>
              <c:showVal val="1"/>
              <c:showCatName val="0"/>
              <c:showSerName val="0"/>
              <c:showPercent val="0"/>
              <c:showBubbleSize val="0"/>
            </c:dLbl>
            <c:dLbl>
              <c:idx val="5"/>
              <c:layout>
                <c:manualLayout>
                  <c:x val="4.8142333856619569E-2"/>
                  <c:y val="3.0665371374032791E-2"/>
                </c:manualLayout>
              </c:layout>
              <c:showLegendKey val="0"/>
              <c:showVal val="1"/>
              <c:showCatName val="0"/>
              <c:showSerName val="0"/>
              <c:showPercent val="0"/>
              <c:showBubbleSize val="0"/>
            </c:dLbl>
            <c:txPr>
              <a:bodyPr/>
              <a:lstStyle/>
              <a:p>
                <a:pPr>
                  <a:defRPr b="1"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50527.7</c:v>
                </c:pt>
                <c:pt idx="1">
                  <c:v>51997.9</c:v>
                </c:pt>
                <c:pt idx="2">
                  <c:v>75717.2</c:v>
                </c:pt>
                <c:pt idx="3">
                  <c:v>53778.3</c:v>
                </c:pt>
                <c:pt idx="4">
                  <c:v>52149.1</c:v>
                </c:pt>
              </c:numCache>
            </c:numRef>
          </c:val>
          <c:shape val="cylinder"/>
        </c:ser>
        <c:ser>
          <c:idx val="1"/>
          <c:order val="1"/>
          <c:tx>
            <c:strRef>
              <c:f>Лист1!$C$1</c:f>
              <c:strCache>
                <c:ptCount val="1"/>
                <c:pt idx="0">
                  <c:v>Расходы </c:v>
                </c:pt>
              </c:strCache>
            </c:strRef>
          </c:tx>
          <c:spPr>
            <a:solidFill>
              <a:srgbClr val="4BACC6">
                <a:lumMod val="75000"/>
              </a:srgbClr>
            </a:solidFill>
            <a:ln w="19050">
              <a:solidFill>
                <a:sysClr val="windowText" lastClr="000000"/>
              </a:solidFill>
            </a:ln>
            <a:effectLst>
              <a:innerShdw blurRad="63500" dist="50800" dir="16200000">
                <a:prstClr val="black">
                  <a:alpha val="50000"/>
                </a:prstClr>
              </a:innerShdw>
            </a:effectLst>
          </c:spPr>
          <c:invertIfNegative val="0"/>
          <c:dLbls>
            <c:dLbl>
              <c:idx val="0"/>
              <c:layout>
                <c:manualLayout>
                  <c:x val="4.6850062580360084E-2"/>
                  <c:y val="1.1906482274221959E-2"/>
                </c:manualLayout>
              </c:layout>
              <c:showLegendKey val="0"/>
              <c:showVal val="1"/>
              <c:showCatName val="0"/>
              <c:showSerName val="0"/>
              <c:showPercent val="0"/>
              <c:showBubbleSize val="0"/>
            </c:dLbl>
            <c:dLbl>
              <c:idx val="1"/>
              <c:layout>
                <c:manualLayout>
                  <c:x val="2.545569104158054E-2"/>
                  <c:y val="1.4069035375210632E-2"/>
                </c:manualLayout>
              </c:layout>
              <c:showLegendKey val="0"/>
              <c:showVal val="1"/>
              <c:showCatName val="0"/>
              <c:showSerName val="0"/>
              <c:showPercent val="0"/>
              <c:showBubbleSize val="0"/>
            </c:dLbl>
            <c:dLbl>
              <c:idx val="2"/>
              <c:layout>
                <c:manualLayout>
                  <c:x val="1.8838204546465589E-2"/>
                  <c:y val="-1.0802058833554895E-3"/>
                </c:manualLayout>
              </c:layout>
              <c:showLegendKey val="0"/>
              <c:showVal val="1"/>
              <c:showCatName val="0"/>
              <c:showSerName val="0"/>
              <c:showPercent val="0"/>
              <c:showBubbleSize val="0"/>
            </c:dLbl>
            <c:dLbl>
              <c:idx val="3"/>
              <c:layout>
                <c:manualLayout>
                  <c:x val="5.924410467392395E-2"/>
                  <c:y val="2.1282317302606105E-2"/>
                </c:manualLayout>
              </c:layout>
              <c:showLegendKey val="0"/>
              <c:showVal val="1"/>
              <c:showCatName val="0"/>
              <c:showSerName val="0"/>
              <c:showPercent val="0"/>
              <c:showBubbleSize val="0"/>
            </c:dLbl>
            <c:dLbl>
              <c:idx val="4"/>
              <c:layout>
                <c:manualLayout>
                  <c:x val="6.4545290890163823E-2"/>
                  <c:y val="2.6339862687250856E-2"/>
                </c:manualLayout>
              </c:layout>
              <c:showLegendKey val="0"/>
              <c:showVal val="1"/>
              <c:showCatName val="0"/>
              <c:showSerName val="0"/>
              <c:showPercent val="0"/>
              <c:showBubbleSize val="0"/>
            </c:dLbl>
            <c:dLbl>
              <c:idx val="5"/>
              <c:layout>
                <c:manualLayout>
                  <c:x val="2.5117739403453691E-2"/>
                  <c:y val="1.19061253706923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54375.5</c:v>
                </c:pt>
                <c:pt idx="1">
                  <c:v>58567.7</c:v>
                </c:pt>
                <c:pt idx="2">
                  <c:v>78530.399999999994</c:v>
                </c:pt>
                <c:pt idx="3">
                  <c:v>65427.199999999997</c:v>
                </c:pt>
                <c:pt idx="4">
                  <c:v>56426.5</c:v>
                </c:pt>
              </c:numCache>
            </c:numRef>
          </c:val>
          <c:shape val="cylinder"/>
        </c:ser>
        <c:ser>
          <c:idx val="2"/>
          <c:order val="2"/>
          <c:tx>
            <c:strRef>
              <c:f>Лист1!$D$1</c:f>
              <c:strCache>
                <c:ptCount val="1"/>
                <c:pt idx="0">
                  <c:v>Дефицит</c:v>
                </c:pt>
              </c:strCache>
            </c:strRef>
          </c:tx>
          <c:spPr>
            <a:solidFill>
              <a:srgbClr val="FF0000"/>
            </a:solidFill>
            <a:ln w="12700">
              <a:solidFill>
                <a:sysClr val="windowText" lastClr="000000"/>
              </a:solidFill>
            </a:ln>
          </c:spPr>
          <c:invertIfNegative val="0"/>
          <c:dLbls>
            <c:dLbl>
              <c:idx val="0"/>
              <c:layout>
                <c:manualLayout>
                  <c:x val="-1.8073236454144853E-2"/>
                  <c:y val="8.6577106180164357E-3"/>
                </c:manualLayout>
              </c:layout>
              <c:showLegendKey val="0"/>
              <c:showVal val="1"/>
              <c:showCatName val="0"/>
              <c:showSerName val="0"/>
              <c:showPercent val="0"/>
              <c:showBubbleSize val="0"/>
            </c:dLbl>
            <c:dLbl>
              <c:idx val="1"/>
              <c:layout>
                <c:manualLayout>
                  <c:x val="-2.2598870056497176E-3"/>
                  <c:y val="7.7922418788560516E-2"/>
                </c:manualLayout>
              </c:layout>
              <c:showLegendKey val="0"/>
              <c:showVal val="1"/>
              <c:showCatName val="0"/>
              <c:showSerName val="0"/>
              <c:showPercent val="0"/>
              <c:showBubbleSize val="0"/>
            </c:dLbl>
            <c:dLbl>
              <c:idx val="2"/>
              <c:layout>
                <c:manualLayout>
                  <c:x val="-1.5807500108510574E-2"/>
                  <c:y val="5.6276141500842529E-2"/>
                </c:manualLayout>
              </c:layout>
              <c:showLegendKey val="0"/>
              <c:showVal val="1"/>
              <c:showCatName val="0"/>
              <c:showSerName val="0"/>
              <c:showPercent val="0"/>
              <c:showBubbleSize val="0"/>
            </c:dLbl>
            <c:dLbl>
              <c:idx val="4"/>
              <c:layout>
                <c:manualLayout>
                  <c:x val="-2.2591545567681066E-3"/>
                  <c:y val="1.7314057924385284E-2"/>
                </c:manualLayout>
              </c:layout>
              <c:showLegendKey val="0"/>
              <c:showVal val="1"/>
              <c:showCatName val="0"/>
              <c:showSerName val="0"/>
              <c:showPercent val="0"/>
              <c:showBubbleSize val="0"/>
            </c:dLbl>
            <c:txPr>
              <a:bodyPr/>
              <a:lstStyle/>
              <a:p>
                <a:pPr>
                  <a:defRPr b="1" i="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Лист1!$D$2:$D$6</c:f>
              <c:numCache>
                <c:formatCode>General</c:formatCode>
                <c:ptCount val="5"/>
                <c:pt idx="0">
                  <c:v>-3848</c:v>
                </c:pt>
                <c:pt idx="1">
                  <c:v>-6570</c:v>
                </c:pt>
                <c:pt idx="2">
                  <c:v>-2813.2</c:v>
                </c:pt>
                <c:pt idx="3">
                  <c:v>-11648.9</c:v>
                </c:pt>
                <c:pt idx="4">
                  <c:v>-4277.3999999999996</c:v>
                </c:pt>
              </c:numCache>
            </c:numRef>
          </c:val>
        </c:ser>
        <c:dLbls>
          <c:showLegendKey val="0"/>
          <c:showVal val="1"/>
          <c:showCatName val="0"/>
          <c:showSerName val="0"/>
          <c:showPercent val="0"/>
          <c:showBubbleSize val="0"/>
        </c:dLbls>
        <c:gapWidth val="150"/>
        <c:shape val="box"/>
        <c:axId val="106867328"/>
        <c:axId val="109588864"/>
        <c:axId val="0"/>
      </c:bar3DChart>
      <c:dateAx>
        <c:axId val="106867328"/>
        <c:scaling>
          <c:orientation val="minMax"/>
        </c:scaling>
        <c:delete val="0"/>
        <c:axPos val="b"/>
        <c:numFmt formatCode="General" sourceLinked="1"/>
        <c:majorTickMark val="out"/>
        <c:minorTickMark val="none"/>
        <c:tickLblPos val="low"/>
        <c:txPr>
          <a:bodyPr/>
          <a:lstStyle/>
          <a:p>
            <a:pPr>
              <a:defRPr sz="1050" b="1">
                <a:latin typeface="Times New Roman" pitchFamily="18" charset="0"/>
                <a:cs typeface="Times New Roman" pitchFamily="18" charset="0"/>
              </a:defRPr>
            </a:pPr>
            <a:endParaRPr lang="ru-RU"/>
          </a:p>
        </c:txPr>
        <c:crossAx val="109588864"/>
        <c:crosses val="autoZero"/>
        <c:auto val="0"/>
        <c:lblOffset val="100"/>
        <c:baseTimeUnit val="days"/>
      </c:dateAx>
      <c:valAx>
        <c:axId val="109588864"/>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06867328"/>
        <c:crosses val="autoZero"/>
        <c:crossBetween val="between"/>
      </c:valAx>
      <c:spPr>
        <a:solidFill>
          <a:schemeClr val="accent3">
            <a:lumMod val="20000"/>
            <a:lumOff val="80000"/>
          </a:schemeClr>
        </a:solidFill>
      </c:spPr>
    </c:plotArea>
    <c:legend>
      <c:legendPos val="r"/>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323132369647824"/>
          <c:y val="3.8023951459508855E-2"/>
          <c:w val="0.73286398958072752"/>
          <c:h val="0.96197604854049112"/>
        </c:manualLayout>
      </c:layout>
      <c:pie3DChart>
        <c:varyColors val="1"/>
        <c:ser>
          <c:idx val="0"/>
          <c:order val="0"/>
          <c:tx>
            <c:strRef>
              <c:f>Лист1!$B$1</c:f>
              <c:strCache>
                <c:ptCount val="1"/>
                <c:pt idx="0">
                  <c:v>Столбец1</c:v>
                </c:pt>
              </c:strCache>
            </c:strRef>
          </c:tx>
          <c:spPr>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explosion val="46"/>
          <c:dPt>
            <c:idx val="0"/>
            <c:bubble3D val="0"/>
            <c:spPr>
              <a:solidFill>
                <a:schemeClr val="tx2">
                  <a:lumMod val="60000"/>
                  <a:lumOff val="40000"/>
                </a:schemeClr>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3"/>
            <c:bubble3D val="0"/>
            <c:spPr>
              <a:solidFill>
                <a:srgbClr val="00B0F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prstMaterial="flat"/>
            </c:spPr>
          </c:dPt>
          <c:dPt>
            <c:idx val="4"/>
            <c:bubble3D val="0"/>
            <c:explosion val="47"/>
            <c:spPr>
              <a:solidFill>
                <a:srgbClr val="00B05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5"/>
            <c:bubble3D val="0"/>
            <c:spPr>
              <a:solidFill>
                <a:srgbClr val="00206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6"/>
            <c:bubble3D val="0"/>
            <c:spPr>
              <a:solidFill>
                <a:srgbClr val="FFFF0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a:bevelT/>
                <a:bevelB/>
              </a:sp3d>
            </c:spPr>
          </c:dPt>
          <c:dPt>
            <c:idx val="7"/>
            <c:bubble3D val="0"/>
            <c:spPr>
              <a:solidFill>
                <a:srgbClr val="7030A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8"/>
            <c:bubble3D val="0"/>
            <c:spPr>
              <a:solidFill>
                <a:srgbClr val="FF000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9"/>
            <c:bubble3D val="0"/>
            <c:spPr>
              <a:solidFill>
                <a:srgbClr val="FFC00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prstMaterial="matte"/>
            </c:spPr>
          </c:dPt>
          <c:dPt>
            <c:idx val="11"/>
            <c:bubble3D val="0"/>
            <c:spPr>
              <a:solidFill>
                <a:srgbClr val="C0504D">
                  <a:lumMod val="40000"/>
                  <a:lumOff val="60000"/>
                </a:srgbClr>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Lbls>
            <c:dLbl>
              <c:idx val="0"/>
              <c:layout>
                <c:manualLayout>
                  <c:x val="9.55725310455596E-2"/>
                  <c:y val="-0.14100268842912855"/>
                </c:manualLayout>
              </c:layout>
              <c:tx>
                <c:rich>
                  <a:bodyPr/>
                  <a:lstStyle/>
                  <a:p>
                    <a:r>
                      <a:rPr lang="ru-RU"/>
                      <a:t>Общегосударствен-ные вопросы; 7,8</a:t>
                    </a:r>
                  </a:p>
                </c:rich>
              </c:tx>
              <c:showLegendKey val="1"/>
              <c:showVal val="1"/>
              <c:showCatName val="1"/>
              <c:showSerName val="0"/>
              <c:showPercent val="0"/>
              <c:showBubbleSize val="0"/>
            </c:dLbl>
            <c:dLbl>
              <c:idx val="1"/>
              <c:layout>
                <c:manualLayout>
                  <c:x val="0.10345814235907079"/>
                  <c:y val="1.8905926232905098E-2"/>
                </c:manualLayout>
              </c:layout>
              <c:tx>
                <c:rich>
                  <a:bodyPr/>
                  <a:lstStyle/>
                  <a:p>
                    <a:r>
                      <a:rPr lang="ru-RU"/>
                      <a:t>Национальная безопасность и правоохранитель-ная деятельность; 1,8</a:t>
                    </a:r>
                  </a:p>
                </c:rich>
              </c:tx>
              <c:showLegendKey val="1"/>
              <c:showVal val="1"/>
              <c:showCatName val="1"/>
              <c:showSerName val="0"/>
              <c:showPercent val="0"/>
              <c:showBubbleSize val="0"/>
            </c:dLbl>
            <c:dLbl>
              <c:idx val="2"/>
              <c:layout>
                <c:manualLayout>
                  <c:x val="1.0676101190830723E-2"/>
                  <c:y val="1.9088696908837813E-2"/>
                </c:manualLayout>
              </c:layout>
              <c:showLegendKey val="1"/>
              <c:showVal val="1"/>
              <c:showCatName val="1"/>
              <c:showSerName val="0"/>
              <c:showPercent val="0"/>
              <c:showBubbleSize val="0"/>
            </c:dLbl>
            <c:dLbl>
              <c:idx val="3"/>
              <c:layout>
                <c:manualLayout>
                  <c:x val="-4.7845713431913873E-3"/>
                  <c:y val="7.2773875162868679E-2"/>
                </c:manualLayout>
              </c:layout>
              <c:showLegendKey val="1"/>
              <c:showVal val="1"/>
              <c:showCatName val="1"/>
              <c:showSerName val="0"/>
              <c:showPercent val="0"/>
              <c:showBubbleSize val="0"/>
            </c:dLbl>
            <c:dLbl>
              <c:idx val="4"/>
              <c:layout>
                <c:manualLayout>
                  <c:x val="-5.8116510020211162E-2"/>
                  <c:y val="0.12521597755746119"/>
                </c:manualLayout>
              </c:layout>
              <c:tx>
                <c:rich>
                  <a:bodyPr/>
                  <a:lstStyle/>
                  <a:p>
                    <a:r>
                      <a:rPr lang="ru-RU"/>
                      <a:t>Охрана окружающей    среды; 0,1</a:t>
                    </a:r>
                  </a:p>
                </c:rich>
              </c:tx>
              <c:showLegendKey val="1"/>
              <c:showVal val="1"/>
              <c:showCatName val="1"/>
              <c:showSerName val="0"/>
              <c:showPercent val="0"/>
              <c:showBubbleSize val="0"/>
            </c:dLbl>
            <c:dLbl>
              <c:idx val="5"/>
              <c:layout>
                <c:manualLayout>
                  <c:x val="-4.3647063027862816E-2"/>
                  <c:y val="0.13071567471070164"/>
                </c:manualLayout>
              </c:layout>
              <c:tx>
                <c:rich>
                  <a:bodyPr/>
                  <a:lstStyle/>
                  <a:p>
                    <a:r>
                      <a:rPr lang="ru-RU"/>
                      <a:t>Образование; 23,2</a:t>
                    </a:r>
                  </a:p>
                </c:rich>
              </c:tx>
              <c:showLegendKey val="1"/>
              <c:showVal val="1"/>
              <c:showCatName val="1"/>
              <c:showSerName val="0"/>
              <c:showPercent val="0"/>
              <c:showBubbleSize val="0"/>
            </c:dLbl>
            <c:dLbl>
              <c:idx val="6"/>
              <c:layout>
                <c:manualLayout>
                  <c:x val="5.4171661378148578E-3"/>
                  <c:y val="0.19614035087719298"/>
                </c:manualLayout>
              </c:layout>
              <c:showLegendKey val="1"/>
              <c:showVal val="1"/>
              <c:showCatName val="1"/>
              <c:showSerName val="0"/>
              <c:showPercent val="0"/>
              <c:showBubbleSize val="0"/>
            </c:dLbl>
            <c:dLbl>
              <c:idx val="7"/>
              <c:layout>
                <c:manualLayout>
                  <c:x val="0"/>
                  <c:y val="0.14597787624725048"/>
                </c:manualLayout>
              </c:layout>
              <c:showLegendKey val="1"/>
              <c:showVal val="1"/>
              <c:showCatName val="1"/>
              <c:showSerName val="0"/>
              <c:showPercent val="0"/>
              <c:showBubbleSize val="0"/>
            </c:dLbl>
            <c:dLbl>
              <c:idx val="8"/>
              <c:layout>
                <c:manualLayout>
                  <c:x val="-7.0673718024052964E-2"/>
                  <c:y val="6.6771441019265299E-2"/>
                </c:manualLayout>
              </c:layout>
              <c:showLegendKey val="1"/>
              <c:showVal val="1"/>
              <c:showCatName val="1"/>
              <c:showSerName val="0"/>
              <c:showPercent val="0"/>
              <c:showBubbleSize val="0"/>
            </c:dLbl>
            <c:dLbl>
              <c:idx val="9"/>
              <c:layout>
                <c:manualLayout>
                  <c:x val="-0.22780675108500997"/>
                  <c:y val="4.9880242702455689E-2"/>
                </c:manualLayout>
              </c:layout>
              <c:showLegendKey val="1"/>
              <c:showVal val="1"/>
              <c:showCatName val="1"/>
              <c:showSerName val="0"/>
              <c:showPercent val="0"/>
              <c:showBubbleSize val="0"/>
            </c:dLbl>
            <c:dLbl>
              <c:idx val="10"/>
              <c:layout>
                <c:manualLayout>
                  <c:x val="-0.1641916923773333"/>
                  <c:y val="-7.2807761378005889E-2"/>
                </c:manualLayout>
              </c:layout>
              <c:showLegendKey val="1"/>
              <c:showVal val="1"/>
              <c:showCatName val="1"/>
              <c:showSerName val="0"/>
              <c:showPercent val="0"/>
              <c:showBubbleSize val="0"/>
            </c:dLbl>
            <c:dLbl>
              <c:idx val="11"/>
              <c:layout>
                <c:manualLayout>
                  <c:x val="1.5480084656588899E-2"/>
                  <c:y val="-6.0662012390151634E-2"/>
                </c:manualLayout>
              </c:layout>
              <c:tx>
                <c:rich>
                  <a:bodyPr/>
                  <a:lstStyle/>
                  <a:p>
                    <a:r>
                      <a:rPr lang="ru-RU"/>
                      <a:t>Обслуживание государственного и муниципального долга; 3,7</a:t>
                    </a:r>
                  </a:p>
                </c:rich>
              </c:tx>
              <c:showLegendKey val="1"/>
              <c:showVal val="1"/>
              <c:showCatName val="1"/>
              <c:showSerName val="0"/>
              <c:showPercent val="0"/>
              <c:showBubbleSize val="0"/>
            </c:dLbl>
            <c:dLbl>
              <c:idx val="12"/>
              <c:layout>
                <c:manualLayout>
                  <c:x val="-3.4382010871939436E-3"/>
                  <c:y val="-0.12899806002510567"/>
                </c:manualLayout>
              </c:layout>
              <c:showLegendKey val="1"/>
              <c:showVal val="1"/>
              <c:showCatName val="1"/>
              <c:showSerName val="0"/>
              <c:showPercent val="0"/>
              <c:showBubbleSize val="0"/>
            </c:dLbl>
            <c:txPr>
              <a:bodyPr/>
              <a:lstStyle/>
              <a:p>
                <a:pPr>
                  <a:defRPr sz="1000" b="1" baseline="0">
                    <a:latin typeface="Times New Roman" pitchFamily="18" charset="0"/>
                  </a:defRPr>
                </a:pPr>
                <a:endParaRPr lang="ru-RU"/>
              </a:p>
            </c:txPr>
            <c:showLegendKey val="1"/>
            <c:showVal val="1"/>
            <c:showCatName val="1"/>
            <c:showSerName val="0"/>
            <c:showPercent val="0"/>
            <c:showBubbleSize val="0"/>
            <c:showLeaderLines val="1"/>
          </c:dLbls>
          <c:cat>
            <c:strRef>
              <c:f>Лист1!$A$2:$A$13</c:f>
              <c:strCache>
                <c:ptCount val="12"/>
                <c:pt idx="0">
                  <c:v>Общегосударственные вопросы </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Охрана окружающей среды </c:v>
                </c:pt>
                <c:pt idx="5">
                  <c:v>Образование </c:v>
                </c:pt>
                <c:pt idx="6">
                  <c:v>Культура и кинематография</c:v>
                </c:pt>
                <c:pt idx="7">
                  <c:v>Здравоохранение</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 </c:v>
                </c:pt>
              </c:strCache>
            </c:strRef>
          </c:cat>
          <c:val>
            <c:numRef>
              <c:f>Лист1!$B$2:$B$13</c:f>
              <c:numCache>
                <c:formatCode>General</c:formatCode>
                <c:ptCount val="12"/>
                <c:pt idx="0">
                  <c:v>7.8</c:v>
                </c:pt>
                <c:pt idx="1">
                  <c:v>1.8</c:v>
                </c:pt>
                <c:pt idx="2">
                  <c:v>17.600000000000001</c:v>
                </c:pt>
                <c:pt idx="3">
                  <c:v>9.8000000000000007</c:v>
                </c:pt>
                <c:pt idx="4">
                  <c:v>0.1</c:v>
                </c:pt>
                <c:pt idx="5">
                  <c:v>23.2</c:v>
                </c:pt>
                <c:pt idx="6">
                  <c:v>2.8</c:v>
                </c:pt>
                <c:pt idx="7">
                  <c:v>12.9</c:v>
                </c:pt>
                <c:pt idx="8">
                  <c:v>19.2</c:v>
                </c:pt>
                <c:pt idx="9">
                  <c:v>0.9</c:v>
                </c:pt>
                <c:pt idx="10">
                  <c:v>0.2</c:v>
                </c:pt>
                <c:pt idx="11">
                  <c:v>3.7</c:v>
                </c:pt>
              </c:numCache>
            </c:numRef>
          </c:val>
        </c:ser>
        <c:dLbls>
          <c:showLegendKey val="0"/>
          <c:showVal val="0"/>
          <c:showCatName val="0"/>
          <c:showSerName val="0"/>
          <c:showPercent val="0"/>
          <c:showBubbleSize val="0"/>
          <c:showLeaderLines val="1"/>
        </c:dLbls>
      </c:pie3DChart>
      <c:spPr>
        <a:noFill/>
        <a:ln w="25400">
          <a:noFill/>
        </a:ln>
        <a:scene3d>
          <a:camera prst="orthographicFront"/>
          <a:lightRig rig="threePt" dir="t"/>
        </a:scene3d>
        <a:sp3d prstMaterial="clear"/>
      </c:spPr>
    </c:plotArea>
    <c:plotVisOnly val="1"/>
    <c:dispBlanksAs val="zero"/>
    <c:showDLblsOverMax val="0"/>
  </c:chart>
  <c:spPr>
    <a:noFill/>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5175524934383207E-2"/>
          <c:y val="4.4057617797775464E-2"/>
          <c:w val="0.89854043841253561"/>
          <c:h val="0.85282089738782962"/>
        </c:manualLayout>
      </c:layout>
      <c:bar3DChart>
        <c:barDir val="col"/>
        <c:grouping val="clustered"/>
        <c:varyColors val="0"/>
        <c:ser>
          <c:idx val="0"/>
          <c:order val="0"/>
          <c:tx>
            <c:strRef>
              <c:f>Лист1!$B$1</c:f>
              <c:strCache>
                <c:ptCount val="1"/>
                <c:pt idx="0">
                  <c:v>план</c:v>
                </c:pt>
              </c:strCache>
            </c:strRef>
          </c:tx>
          <c:spPr>
            <a:solidFill>
              <a:srgbClr val="F79646"/>
            </a:solidFill>
            <a:ln w="12700">
              <a:solidFill>
                <a:sysClr val="windowText" lastClr="000000"/>
              </a:solidFill>
            </a:ln>
            <a:effectLst>
              <a:innerShdw blurRad="63500" dist="50800">
                <a:prstClr val="black">
                  <a:alpha val="50000"/>
                </a:prstClr>
              </a:innerShdw>
            </a:effectLst>
          </c:spPr>
          <c:invertIfNegative val="0"/>
          <c:dLbls>
            <c:dLbl>
              <c:idx val="0"/>
              <c:layout>
                <c:manualLayout>
                  <c:x val="3.9769099133223428E-2"/>
                  <c:y val="1.9121474858309229E-2"/>
                </c:manualLayout>
              </c:layout>
              <c:showLegendKey val="0"/>
              <c:showVal val="1"/>
              <c:showCatName val="0"/>
              <c:showSerName val="0"/>
              <c:showPercent val="0"/>
              <c:showBubbleSize val="0"/>
            </c:dLbl>
            <c:dLbl>
              <c:idx val="1"/>
              <c:layout>
                <c:manualLayout>
                  <c:x val="4.8141489004336027E-2"/>
                  <c:y val="3.1030346986790528E-2"/>
                </c:manualLayout>
              </c:layout>
              <c:showLegendKey val="0"/>
              <c:showVal val="1"/>
              <c:showCatName val="0"/>
              <c:showSerName val="0"/>
              <c:showPercent val="0"/>
              <c:showBubbleSize val="0"/>
            </c:dLbl>
            <c:dLbl>
              <c:idx val="2"/>
              <c:layout>
                <c:manualLayout>
                  <c:x val="3.5583398688544259E-2"/>
                  <c:y val="1.2987592837294493E-2"/>
                </c:manualLayout>
              </c:layout>
              <c:showLegendKey val="0"/>
              <c:showVal val="1"/>
              <c:showCatName val="0"/>
              <c:showSerName val="0"/>
              <c:showPercent val="0"/>
              <c:showBubbleSize val="0"/>
            </c:dLbl>
            <c:dLbl>
              <c:idx val="3"/>
              <c:layout>
                <c:manualLayout>
                  <c:x val="4.605078157579745E-2"/>
                  <c:y val="2.2367180169534599E-2"/>
                </c:manualLayout>
              </c:layout>
              <c:showLegendKey val="0"/>
              <c:showVal val="1"/>
              <c:showCatName val="0"/>
              <c:showSerName val="0"/>
              <c:showPercent val="0"/>
              <c:showBubbleSize val="0"/>
            </c:dLbl>
            <c:dLbl>
              <c:idx val="4"/>
              <c:layout>
                <c:manualLayout>
                  <c:x val="5.2328623757195186E-2"/>
                  <c:y val="2.5615434434331993E-2"/>
                </c:manualLayout>
              </c:layout>
              <c:showLegendKey val="0"/>
              <c:showVal val="1"/>
              <c:showCatName val="0"/>
              <c:showSerName val="0"/>
              <c:showPercent val="0"/>
              <c:showBubbleSize val="0"/>
            </c:dLbl>
            <c:dLbl>
              <c:idx val="5"/>
              <c:layout>
                <c:manualLayout>
                  <c:x val="6.2795726148314954E-2"/>
                  <c:y val="6.0965272691392833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-5362</c:v>
                </c:pt>
                <c:pt idx="1">
                  <c:v>-9824</c:v>
                </c:pt>
                <c:pt idx="2">
                  <c:v>-9042</c:v>
                </c:pt>
                <c:pt idx="3">
                  <c:v>-12037.6</c:v>
                </c:pt>
                <c:pt idx="4">
                  <c:v>-14213.7</c:v>
                </c:pt>
                <c:pt idx="5">
                  <c:v>-6921.2</c:v>
                </c:pt>
              </c:numCache>
            </c:numRef>
          </c:val>
          <c:shape val="cylinder"/>
        </c:ser>
        <c:ser>
          <c:idx val="1"/>
          <c:order val="1"/>
          <c:tx>
            <c:strRef>
              <c:f>Лист1!$C$1</c:f>
              <c:strCache>
                <c:ptCount val="1"/>
                <c:pt idx="0">
                  <c:v>отчет</c:v>
                </c:pt>
              </c:strCache>
            </c:strRef>
          </c:tx>
          <c:spPr>
            <a:solidFill>
              <a:srgbClr val="4BACC6">
                <a:lumMod val="50000"/>
              </a:srgbClr>
            </a:solidFill>
            <a:ln w="19050">
              <a:solidFill>
                <a:sysClr val="windowText" lastClr="000000"/>
              </a:solidFill>
            </a:ln>
            <a:effectLst>
              <a:innerShdw blurRad="63500" dist="50800" dir="16200000">
                <a:prstClr val="black">
                  <a:alpha val="50000"/>
                </a:prstClr>
              </a:innerShdw>
            </a:effectLst>
          </c:spPr>
          <c:invertIfNegative val="0"/>
          <c:dLbls>
            <c:dLbl>
              <c:idx val="0"/>
              <c:layout>
                <c:manualLayout>
                  <c:x val="2.425642582653326E-2"/>
                  <c:y val="1.6233979804576037E-2"/>
                </c:manualLayout>
              </c:layout>
              <c:showLegendKey val="0"/>
              <c:showVal val="1"/>
              <c:showCatName val="0"/>
              <c:showSerName val="0"/>
              <c:showPercent val="0"/>
              <c:showBubbleSize val="0"/>
            </c:dLbl>
            <c:dLbl>
              <c:idx val="1"/>
              <c:layout>
                <c:manualLayout>
                  <c:x val="2.9304848021525519E-2"/>
                  <c:y val="1.4070062654416399E-2"/>
                </c:manualLayout>
              </c:layout>
              <c:showLegendKey val="0"/>
              <c:showVal val="1"/>
              <c:showCatName val="0"/>
              <c:showSerName val="0"/>
              <c:showPercent val="0"/>
              <c:showBubbleSize val="0"/>
            </c:dLbl>
            <c:dLbl>
              <c:idx val="2"/>
              <c:layout>
                <c:manualLayout>
                  <c:x val="2.9304848021525519E-2"/>
                  <c:y val="1.6236365600772452E-2"/>
                </c:manualLayout>
              </c:layout>
              <c:showLegendKey val="0"/>
              <c:showVal val="1"/>
              <c:showCatName val="0"/>
              <c:showSerName val="0"/>
              <c:showPercent val="0"/>
              <c:showBubbleSize val="0"/>
            </c:dLbl>
            <c:dLbl>
              <c:idx val="3"/>
              <c:layout>
                <c:manualLayout>
                  <c:x val="2.9206609167267472E-2"/>
                  <c:y val="1.2628700923746204E-2"/>
                </c:manualLayout>
              </c:layout>
              <c:showLegendKey val="0"/>
              <c:showVal val="1"/>
              <c:showCatName val="0"/>
              <c:showSerName val="0"/>
              <c:showPercent val="0"/>
              <c:showBubbleSize val="0"/>
            </c:dLbl>
            <c:dLbl>
              <c:idx val="4"/>
              <c:layout>
                <c:manualLayout>
                  <c:x val="5.7528244494750649E-2"/>
                  <c:y val="3.0665660996765123E-2"/>
                </c:manualLayout>
              </c:layout>
              <c:showLegendKey val="0"/>
              <c:showVal val="1"/>
              <c:showCatName val="0"/>
              <c:showSerName val="0"/>
              <c:showPercent val="0"/>
              <c:showBubbleSize val="0"/>
            </c:dLbl>
            <c:dLbl>
              <c:idx val="5"/>
              <c:layout>
                <c:manualLayout>
                  <c:x val="5.6517834802465729E-2"/>
                  <c:y val="4.220677968296858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pt idx="0">
                  <c:v>-347</c:v>
                </c:pt>
                <c:pt idx="1">
                  <c:v>-3848</c:v>
                </c:pt>
                <c:pt idx="2">
                  <c:v>-6570</c:v>
                </c:pt>
                <c:pt idx="3">
                  <c:v>-2813.2</c:v>
                </c:pt>
                <c:pt idx="4">
                  <c:v>-11648.9</c:v>
                </c:pt>
                <c:pt idx="5">
                  <c:v>-4277.3999999999996</c:v>
                </c:pt>
              </c:numCache>
            </c:numRef>
          </c:val>
          <c:shape val="cylinder"/>
        </c:ser>
        <c:dLbls>
          <c:showLegendKey val="0"/>
          <c:showVal val="1"/>
          <c:showCatName val="0"/>
          <c:showSerName val="0"/>
          <c:showPercent val="0"/>
          <c:showBubbleSize val="0"/>
        </c:dLbls>
        <c:gapWidth val="150"/>
        <c:shape val="box"/>
        <c:axId val="109993984"/>
        <c:axId val="109995520"/>
        <c:axId val="0"/>
      </c:bar3DChart>
      <c:dateAx>
        <c:axId val="109993984"/>
        <c:scaling>
          <c:orientation val="minMax"/>
        </c:scaling>
        <c:delete val="0"/>
        <c:axPos val="b"/>
        <c:numFmt formatCode="General" sourceLinked="1"/>
        <c:majorTickMark val="out"/>
        <c:minorTickMark val="none"/>
        <c:tickLblPos val="low"/>
        <c:txPr>
          <a:bodyPr/>
          <a:lstStyle/>
          <a:p>
            <a:pPr>
              <a:defRPr sz="1050" b="1">
                <a:latin typeface="Times New Roman" pitchFamily="18" charset="0"/>
                <a:cs typeface="Times New Roman" pitchFamily="18" charset="0"/>
              </a:defRPr>
            </a:pPr>
            <a:endParaRPr lang="ru-RU"/>
          </a:p>
        </c:txPr>
        <c:crossAx val="109995520"/>
        <c:crosses val="autoZero"/>
        <c:auto val="0"/>
        <c:lblOffset val="100"/>
        <c:baseTimeUnit val="days"/>
      </c:dateAx>
      <c:valAx>
        <c:axId val="109995520"/>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09993984"/>
        <c:crosses val="autoZero"/>
        <c:crossBetween val="between"/>
      </c:valAx>
      <c:spPr>
        <a:noFill/>
        <a:ln>
          <a:noFill/>
        </a:ln>
        <a:effectLst>
          <a:glow rad="127000">
            <a:srgbClr val="4BACC6">
              <a:lumMod val="40000"/>
              <a:lumOff val="60000"/>
            </a:srgbClr>
          </a:glow>
        </a:effectLst>
      </c:spPr>
    </c:plotArea>
    <c:legend>
      <c:legendPos val="r"/>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solidFill>
          <a:schemeClr val="accent6">
            <a:lumMod val="20000"/>
            <a:lumOff val="80000"/>
          </a:schemeClr>
        </a:solidFill>
      </c:spPr>
    </c:floor>
    <c:sideWall>
      <c:thickness val="0"/>
      <c:spPr>
        <a:solidFill>
          <a:srgbClr val="4F81BD">
            <a:lumMod val="20000"/>
            <a:lumOff val="80000"/>
          </a:srgbClr>
        </a:solidFill>
      </c:spPr>
    </c:sideWall>
    <c:backWall>
      <c:thickness val="0"/>
      <c:spPr>
        <a:solidFill>
          <a:srgbClr val="4F81BD">
            <a:lumMod val="20000"/>
            <a:lumOff val="80000"/>
          </a:srgbClr>
        </a:solidFill>
      </c:spPr>
    </c:backWall>
    <c:plotArea>
      <c:layout>
        <c:manualLayout>
          <c:layoutTarget val="inner"/>
          <c:xMode val="edge"/>
          <c:yMode val="edge"/>
          <c:x val="8.2753623188405803E-2"/>
          <c:y val="1.6208551620290512E-2"/>
          <c:w val="0.90960776642050201"/>
          <c:h val="0.81669791276090486"/>
        </c:manualLayout>
      </c:layout>
      <c:bar3DChart>
        <c:barDir val="col"/>
        <c:grouping val="clustered"/>
        <c:varyColors val="0"/>
        <c:ser>
          <c:idx val="0"/>
          <c:order val="0"/>
          <c:tx>
            <c:strRef>
              <c:f>Лист1!$B$1</c:f>
              <c:strCache>
                <c:ptCount val="1"/>
                <c:pt idx="0">
                  <c:v>Доходы, всего</c:v>
                </c:pt>
              </c:strCache>
            </c:strRef>
          </c:tx>
          <c:spPr>
            <a:solidFill>
              <a:srgbClr val="4F81BD"/>
            </a:solidFill>
            <a:ln w="12700">
              <a:solidFill>
                <a:sysClr val="windowText" lastClr="000000"/>
              </a:solidFill>
            </a:ln>
          </c:spPr>
          <c:invertIfNegative val="0"/>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Лист1!$B$2:$B$8</c:f>
              <c:numCache>
                <c:formatCode>General</c:formatCode>
                <c:ptCount val="7"/>
                <c:pt idx="0">
                  <c:v>34347.800000000003</c:v>
                </c:pt>
                <c:pt idx="1">
                  <c:v>38641.699999999997</c:v>
                </c:pt>
                <c:pt idx="2">
                  <c:v>43023.3</c:v>
                </c:pt>
                <c:pt idx="3">
                  <c:v>43982.8</c:v>
                </c:pt>
                <c:pt idx="4">
                  <c:v>66775.100000000006</c:v>
                </c:pt>
                <c:pt idx="5">
                  <c:v>45987.8</c:v>
                </c:pt>
                <c:pt idx="6">
                  <c:v>44035.5</c:v>
                </c:pt>
              </c:numCache>
            </c:numRef>
          </c:val>
        </c:ser>
        <c:ser>
          <c:idx val="1"/>
          <c:order val="1"/>
          <c:tx>
            <c:strRef>
              <c:f>Лист1!$C$1</c:f>
              <c:strCache>
                <c:ptCount val="1"/>
                <c:pt idx="0">
                  <c:v>Налоговые  и неналоговые доходы</c:v>
                </c:pt>
              </c:strCache>
            </c:strRef>
          </c:tx>
          <c:spPr>
            <a:solidFill>
              <a:srgbClr val="7030A0"/>
            </a:solidFill>
            <a:ln w="12700">
              <a:solidFill>
                <a:sysClr val="windowText" lastClr="000000"/>
              </a:solidFill>
            </a:ln>
          </c:spPr>
          <c:invertIfNegative val="0"/>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Лист1!$C$2:$C$8</c:f>
              <c:numCache>
                <c:formatCode>General</c:formatCode>
                <c:ptCount val="7"/>
                <c:pt idx="0">
                  <c:v>17608.900000000001</c:v>
                </c:pt>
                <c:pt idx="1">
                  <c:v>20928.5</c:v>
                </c:pt>
                <c:pt idx="2">
                  <c:v>23496.3</c:v>
                </c:pt>
                <c:pt idx="3">
                  <c:v>26464.400000000001</c:v>
                </c:pt>
                <c:pt idx="4">
                  <c:v>26541.1</c:v>
                </c:pt>
                <c:pt idx="5">
                  <c:v>28781.200000000001</c:v>
                </c:pt>
                <c:pt idx="6">
                  <c:v>31969.599999999999</c:v>
                </c:pt>
              </c:numCache>
            </c:numRef>
          </c:val>
        </c:ser>
        <c:ser>
          <c:idx val="2"/>
          <c:order val="2"/>
          <c:tx>
            <c:strRef>
              <c:f>Лист1!$D$1</c:f>
              <c:strCache>
                <c:ptCount val="1"/>
                <c:pt idx="0">
                  <c:v>Безвозмездные поступления</c:v>
                </c:pt>
              </c:strCache>
            </c:strRef>
          </c:tx>
          <c:spPr>
            <a:solidFill>
              <a:srgbClr val="C0504D">
                <a:lumMod val="60000"/>
                <a:lumOff val="40000"/>
              </a:srgbClr>
            </a:solidFill>
            <a:ln w="12700">
              <a:solidFill>
                <a:sysClr val="windowText" lastClr="000000"/>
              </a:solidFill>
            </a:ln>
          </c:spPr>
          <c:invertIfNegative val="0"/>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Лист1!$D$2:$D$8</c:f>
              <c:numCache>
                <c:formatCode>General</c:formatCode>
                <c:ptCount val="7"/>
                <c:pt idx="0">
                  <c:v>16739</c:v>
                </c:pt>
                <c:pt idx="1">
                  <c:v>17713.099999999999</c:v>
                </c:pt>
                <c:pt idx="2">
                  <c:v>19527</c:v>
                </c:pt>
                <c:pt idx="3">
                  <c:v>17518.400000000001</c:v>
                </c:pt>
                <c:pt idx="4">
                  <c:v>40234.1</c:v>
                </c:pt>
                <c:pt idx="5">
                  <c:v>17206.599999999999</c:v>
                </c:pt>
                <c:pt idx="6">
                  <c:v>12065.9</c:v>
                </c:pt>
              </c:numCache>
            </c:numRef>
          </c:val>
        </c:ser>
        <c:dLbls>
          <c:showLegendKey val="0"/>
          <c:showVal val="0"/>
          <c:showCatName val="0"/>
          <c:showSerName val="0"/>
          <c:showPercent val="0"/>
          <c:showBubbleSize val="0"/>
        </c:dLbls>
        <c:gapWidth val="150"/>
        <c:shape val="cylinder"/>
        <c:axId val="110165376"/>
        <c:axId val="110257280"/>
        <c:axId val="0"/>
      </c:bar3DChart>
      <c:catAx>
        <c:axId val="110165376"/>
        <c:scaling>
          <c:orientation val="minMax"/>
        </c:scaling>
        <c:delete val="0"/>
        <c:axPos val="b"/>
        <c:numFmt formatCode="General" sourceLinked="1"/>
        <c:majorTickMark val="out"/>
        <c:minorTickMark val="none"/>
        <c:tickLblPos val="nextTo"/>
        <c:txPr>
          <a:bodyPr/>
          <a:lstStyle/>
          <a:p>
            <a:pPr>
              <a:defRPr sz="900" b="1">
                <a:latin typeface="Times New Roman" pitchFamily="18" charset="0"/>
                <a:cs typeface="Times New Roman" pitchFamily="18" charset="0"/>
              </a:defRPr>
            </a:pPr>
            <a:endParaRPr lang="ru-RU"/>
          </a:p>
        </c:txPr>
        <c:crossAx val="110257280"/>
        <c:crosses val="autoZero"/>
        <c:auto val="1"/>
        <c:lblAlgn val="ctr"/>
        <c:lblOffset val="100"/>
        <c:noMultiLvlLbl val="0"/>
      </c:catAx>
      <c:valAx>
        <c:axId val="110257280"/>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10165376"/>
        <c:crosses val="autoZero"/>
        <c:crossBetween val="between"/>
        <c:majorUnit val="5000"/>
        <c:minorUnit val="1000"/>
      </c:valAx>
    </c:plotArea>
    <c:legend>
      <c:legendPos val="r"/>
      <c:layout>
        <c:manualLayout>
          <c:xMode val="edge"/>
          <c:yMode val="edge"/>
          <c:x val="1.7256114013785653E-2"/>
          <c:y val="0.90973152165503124"/>
          <c:w val="0.91986050809069431"/>
          <c:h val="9.0268478344968775E-2"/>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90"/>
      <c:rAngAx val="0"/>
      <c:perspective val="0"/>
    </c:view3D>
    <c:floor>
      <c:thickness val="0"/>
    </c:floor>
    <c:sideWall>
      <c:thickness val="0"/>
    </c:sideWall>
    <c:backWall>
      <c:thickness val="0"/>
    </c:backWall>
    <c:plotArea>
      <c:layout>
        <c:manualLayout>
          <c:layoutTarget val="inner"/>
          <c:xMode val="edge"/>
          <c:yMode val="edge"/>
          <c:x val="0.20544006161909187"/>
          <c:y val="0.32610127862457561"/>
          <c:w val="0.69572107765452817"/>
          <c:h val="0.41826923076923078"/>
        </c:manualLayout>
      </c:layout>
      <c:pie3DChart>
        <c:varyColors val="1"/>
        <c:ser>
          <c:idx val="0"/>
          <c:order val="0"/>
          <c:tx>
            <c:strRef>
              <c:f>Sheet1!$A$2</c:f>
              <c:strCache>
                <c:ptCount val="1"/>
              </c:strCache>
            </c:strRef>
          </c:tx>
          <c:spPr>
            <a:solidFill>
              <a:srgbClr val="9999FF"/>
            </a:solidFill>
            <a:ln w="15875">
              <a:solidFill>
                <a:srgbClr val="000000"/>
              </a:solidFill>
              <a:prstDash val="solid"/>
            </a:ln>
          </c:spPr>
          <c:explosion val="26"/>
          <c:dPt>
            <c:idx val="0"/>
            <c:bubble3D val="0"/>
            <c:spPr>
              <a:solidFill>
                <a:srgbClr val="00B0F0"/>
              </a:solidFill>
              <a:ln w="15875">
                <a:solidFill>
                  <a:srgbClr val="000000"/>
                </a:solidFill>
                <a:prstDash val="solid"/>
              </a:ln>
            </c:spPr>
          </c:dPt>
          <c:dPt>
            <c:idx val="1"/>
            <c:bubble3D val="0"/>
            <c:spPr>
              <a:solidFill>
                <a:srgbClr val="CC99FF"/>
              </a:solidFill>
              <a:ln w="15875">
                <a:solidFill>
                  <a:srgbClr val="000000"/>
                </a:solidFill>
                <a:prstDash val="solid"/>
              </a:ln>
            </c:spPr>
          </c:dPt>
          <c:dPt>
            <c:idx val="2"/>
            <c:bubble3D val="0"/>
            <c:spPr>
              <a:solidFill>
                <a:srgbClr val="FFCC99"/>
              </a:solidFill>
              <a:ln w="15875">
                <a:solidFill>
                  <a:srgbClr val="000000"/>
                </a:solidFill>
                <a:prstDash val="solid"/>
              </a:ln>
            </c:spPr>
          </c:dPt>
          <c:dPt>
            <c:idx val="3"/>
            <c:bubble3D val="0"/>
            <c:spPr>
              <a:solidFill>
                <a:srgbClr val="FFFF00"/>
              </a:solidFill>
              <a:ln w="15875">
                <a:solidFill>
                  <a:srgbClr val="000000"/>
                </a:solidFill>
                <a:prstDash val="solid"/>
              </a:ln>
            </c:spPr>
          </c:dPt>
          <c:dPt>
            <c:idx val="4"/>
            <c:bubble3D val="0"/>
            <c:spPr>
              <a:solidFill>
                <a:srgbClr val="660066"/>
              </a:solidFill>
              <a:ln w="15875">
                <a:solidFill>
                  <a:srgbClr val="000000"/>
                </a:solidFill>
                <a:prstDash val="solid"/>
              </a:ln>
            </c:spPr>
          </c:dPt>
          <c:dPt>
            <c:idx val="5"/>
            <c:bubble3D val="0"/>
            <c:spPr>
              <a:solidFill>
                <a:srgbClr val="FF8080"/>
              </a:solidFill>
              <a:ln w="15875">
                <a:solidFill>
                  <a:srgbClr val="000000"/>
                </a:solidFill>
                <a:prstDash val="solid"/>
              </a:ln>
            </c:spPr>
          </c:dPt>
          <c:dPt>
            <c:idx val="6"/>
            <c:bubble3D val="0"/>
            <c:spPr>
              <a:solidFill>
                <a:srgbClr val="0066CC"/>
              </a:solidFill>
              <a:ln w="15875">
                <a:solidFill>
                  <a:srgbClr val="000000"/>
                </a:solidFill>
                <a:prstDash val="solid"/>
              </a:ln>
            </c:spPr>
          </c:dPt>
          <c:dPt>
            <c:idx val="7"/>
            <c:bubble3D val="0"/>
            <c:spPr>
              <a:solidFill>
                <a:srgbClr val="F79646">
                  <a:lumMod val="50000"/>
                </a:srgbClr>
              </a:solidFill>
              <a:ln w="15875">
                <a:solidFill>
                  <a:srgbClr val="000000"/>
                </a:solidFill>
                <a:prstDash val="solid"/>
              </a:ln>
            </c:spPr>
          </c:dPt>
          <c:dPt>
            <c:idx val="8"/>
            <c:bubble3D val="0"/>
            <c:spPr>
              <a:solidFill>
                <a:srgbClr val="000080"/>
              </a:solidFill>
              <a:ln w="15875">
                <a:solidFill>
                  <a:srgbClr val="000000"/>
                </a:solidFill>
                <a:prstDash val="solid"/>
              </a:ln>
            </c:spPr>
          </c:dPt>
          <c:dLbls>
            <c:dLbl>
              <c:idx val="0"/>
              <c:layout>
                <c:manualLayout>
                  <c:x val="-8.4814828768413536E-2"/>
                  <c:y val="2.839591332075226E-2"/>
                </c:manualLayout>
              </c:layout>
              <c:dLblPos val="bestFit"/>
              <c:showLegendKey val="1"/>
              <c:showVal val="1"/>
              <c:showCatName val="1"/>
              <c:showSerName val="0"/>
              <c:showPercent val="0"/>
              <c:showBubbleSize val="0"/>
            </c:dLbl>
            <c:dLbl>
              <c:idx val="1"/>
              <c:layout>
                <c:manualLayout>
                  <c:x val="-2.9154202614625323E-2"/>
                  <c:y val="-3.2536098276971577E-2"/>
                </c:manualLayout>
              </c:layout>
              <c:tx>
                <c:rich>
                  <a:bodyPr/>
                  <a:lstStyle/>
                  <a:p>
                    <a:r>
                      <a:rPr lang="ru-RU"/>
                      <a:t>Налог на доходы физических лиц; 24,1</a:t>
                    </a:r>
                  </a:p>
                </c:rich>
              </c:tx>
              <c:dLblPos val="bestFit"/>
              <c:showLegendKey val="1"/>
              <c:showVal val="1"/>
              <c:showCatName val="0"/>
              <c:showSerName val="0"/>
              <c:showPercent val="0"/>
              <c:showBubbleSize val="0"/>
            </c:dLbl>
            <c:dLbl>
              <c:idx val="2"/>
              <c:layout>
                <c:manualLayout>
                  <c:x val="-2.7196289459032932E-2"/>
                  <c:y val="-1.4418197725284273E-2"/>
                </c:manualLayout>
              </c:layout>
              <c:tx>
                <c:rich>
                  <a:bodyPr/>
                  <a:lstStyle/>
                  <a:p>
                    <a:r>
                      <a:rPr lang="ru-RU"/>
                      <a:t>Акцизы; 4,1</a:t>
                    </a:r>
                  </a:p>
                </c:rich>
              </c:tx>
              <c:dLblPos val="bestFit"/>
              <c:showLegendKey val="1"/>
              <c:showVal val="1"/>
              <c:showCatName val="0"/>
              <c:showSerName val="0"/>
              <c:showPercent val="0"/>
              <c:showBubbleSize val="0"/>
            </c:dLbl>
            <c:dLbl>
              <c:idx val="3"/>
              <c:layout>
                <c:manualLayout>
                  <c:x val="-0.27577498187201388"/>
                  <c:y val="-0.13880811306058891"/>
                </c:manualLayout>
              </c:layout>
              <c:dLblPos val="bestFit"/>
              <c:showLegendKey val="1"/>
              <c:showVal val="1"/>
              <c:showCatName val="1"/>
              <c:showSerName val="0"/>
              <c:showPercent val="0"/>
              <c:showBubbleSize val="0"/>
            </c:dLbl>
            <c:dLbl>
              <c:idx val="4"/>
              <c:layout>
                <c:manualLayout>
                  <c:x val="-0.22116779397899666"/>
                  <c:y val="-0.21836563820357127"/>
                </c:manualLayout>
              </c:layout>
              <c:dLblPos val="bestFit"/>
              <c:showLegendKey val="1"/>
              <c:showVal val="1"/>
              <c:showCatName val="1"/>
              <c:showSerName val="0"/>
              <c:showPercent val="0"/>
              <c:showBubbleSize val="0"/>
            </c:dLbl>
            <c:dLbl>
              <c:idx val="5"/>
              <c:layout>
                <c:manualLayout>
                  <c:x val="6.2857640464679312E-3"/>
                  <c:y val="-9.5227907337130782E-2"/>
                </c:manualLayout>
              </c:layout>
              <c:dLblPos val="bestFit"/>
              <c:showLegendKey val="1"/>
              <c:showVal val="1"/>
              <c:showCatName val="1"/>
              <c:showSerName val="0"/>
              <c:showPercent val="0"/>
              <c:showBubbleSize val="0"/>
            </c:dLbl>
            <c:dLbl>
              <c:idx val="6"/>
              <c:layout>
                <c:manualLayout>
                  <c:x val="-8.0818162483693182E-2"/>
                  <c:y val="-0.32914047515654193"/>
                </c:manualLayout>
              </c:layout>
              <c:dLblPos val="bestFit"/>
              <c:showLegendKey val="1"/>
              <c:showVal val="1"/>
              <c:showCatName val="1"/>
              <c:showSerName val="0"/>
              <c:showPercent val="0"/>
              <c:showBubbleSize val="0"/>
            </c:dLbl>
            <c:dLbl>
              <c:idx val="7"/>
              <c:layout>
                <c:manualLayout>
                  <c:x val="-1.0633968747854366E-2"/>
                  <c:y val="-1.2442400843293865E-2"/>
                </c:manualLayout>
              </c:layout>
              <c:tx>
                <c:rich>
                  <a:bodyPr/>
                  <a:lstStyle/>
                  <a:p>
                    <a:r>
                      <a:rPr lang="ru-RU"/>
                      <a:t>Госпошлина </a:t>
                    </a:r>
                    <a:r>
                      <a:rPr lang="en-US"/>
                      <a:t>;</a:t>
                    </a:r>
                    <a:r>
                      <a:rPr lang="ru-RU"/>
                      <a:t>0,3</a:t>
                    </a:r>
                  </a:p>
                </c:rich>
              </c:tx>
              <c:dLblPos val="bestFit"/>
              <c:showLegendKey val="1"/>
              <c:showVal val="1"/>
              <c:showCatName val="1"/>
              <c:showSerName val="0"/>
              <c:showPercent val="0"/>
              <c:showBubbleSize val="0"/>
            </c:dLbl>
            <c:dLbl>
              <c:idx val="8"/>
              <c:layout>
                <c:manualLayout>
                  <c:x val="-1.2109997102871507E-2"/>
                  <c:y val="0.24011092806849044"/>
                </c:manualLayout>
              </c:layout>
              <c:tx>
                <c:rich>
                  <a:bodyPr/>
                  <a:lstStyle/>
                  <a:p>
                    <a:r>
                      <a:rPr lang="ru-RU"/>
                      <a:t>Неналоговые доходы</a:t>
                    </a:r>
                    <a:r>
                      <a:rPr lang="en-US"/>
                      <a:t>;1,</a:t>
                    </a:r>
                    <a:r>
                      <a:rPr lang="ru-RU"/>
                      <a:t>7</a:t>
                    </a:r>
                    <a:endParaRPr lang="en-US"/>
                  </a:p>
                </c:rich>
              </c:tx>
              <c:showLegendKey val="0"/>
              <c:showVal val="1"/>
              <c:showCatName val="0"/>
              <c:showSerName val="0"/>
              <c:showPercent val="0"/>
              <c:showBubbleSize val="0"/>
            </c:dLbl>
            <c:dLbl>
              <c:idx val="9"/>
              <c:layout>
                <c:manualLayout>
                  <c:x val="-0.14196502949093093"/>
                  <c:y val="0.18871347693108609"/>
                </c:manualLayout>
              </c:layout>
              <c:tx>
                <c:rich>
                  <a:bodyPr/>
                  <a:lstStyle/>
                  <a:p>
                    <a:r>
                      <a:rPr lang="ru-RU"/>
                      <a:t>Безвозмездные поступления; 27,4</a:t>
                    </a:r>
                  </a:p>
                </c:rich>
              </c:tx>
              <c:dLblPos val="bestFit"/>
              <c:showLegendKey val="1"/>
              <c:showVal val="1"/>
              <c:showCatName val="0"/>
              <c:showSerName val="0"/>
              <c:showPercent val="0"/>
              <c:showBubbleSize val="0"/>
            </c:dLbl>
            <c:dLbl>
              <c:idx val="12"/>
              <c:spPr>
                <a:noFill/>
                <a:ln w="25341">
                  <a:noFill/>
                </a:ln>
              </c:spPr>
              <c:txPr>
                <a:bodyPr/>
                <a:lstStyle/>
                <a:p>
                  <a:pPr>
                    <a:defRPr sz="1821" b="1" i="0" u="none" strike="noStrike" baseline="0">
                      <a:solidFill>
                        <a:srgbClr val="000000"/>
                      </a:solidFill>
                      <a:latin typeface="Arial Cyr"/>
                      <a:ea typeface="Arial Cyr"/>
                      <a:cs typeface="Arial Cyr"/>
                    </a:defRPr>
                  </a:pPr>
                  <a:endParaRPr lang="ru-RU"/>
                </a:p>
              </c:txPr>
              <c:showLegendKey val="1"/>
              <c:showVal val="1"/>
              <c:showCatName val="1"/>
              <c:showSerName val="0"/>
              <c:showPercent val="0"/>
              <c:showBubbleSize val="0"/>
            </c:dLbl>
            <c:spPr>
              <a:solidFill>
                <a:srgbClr val="FFFFFF"/>
              </a:solidFill>
              <a:ln w="3168">
                <a:solidFill>
                  <a:srgbClr val="000000"/>
                </a:solidFill>
                <a:prstDash val="solid"/>
              </a:ln>
              <a:effectLst>
                <a:outerShdw dist="35921" dir="2700000" algn="br">
                  <a:srgbClr val="000000"/>
                </a:outerShdw>
              </a:effectLst>
            </c:spPr>
            <c:txPr>
              <a:bodyPr/>
              <a:lstStyle/>
              <a:p>
                <a:pPr>
                  <a:defRPr sz="898"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0"/>
            <c:showBubbleSize val="0"/>
            <c:showLeaderLines val="1"/>
          </c:dLbls>
          <c:cat>
            <c:strRef>
              <c:f>Sheet1!$B$1:$K$1</c:f>
              <c:strCache>
                <c:ptCount val="10"/>
                <c:pt idx="0">
                  <c:v>Налог на прибыль организаций</c:v>
                </c:pt>
                <c:pt idx="1">
                  <c:v>Налог на доходы физических лиц</c:v>
                </c:pt>
                <c:pt idx="2">
                  <c:v>Акцизы</c:v>
                </c:pt>
                <c:pt idx="3">
                  <c:v>Налоги на совокупный доход</c:v>
                </c:pt>
                <c:pt idx="4">
                  <c:v>Налог на имущество организаций</c:v>
                </c:pt>
                <c:pt idx="5">
                  <c:v>Транспортный налог</c:v>
                </c:pt>
                <c:pt idx="6">
                  <c:v>Налог на добычу полезных ископаемых</c:v>
                </c:pt>
                <c:pt idx="7">
                  <c:v>Государственная пошлина </c:v>
                </c:pt>
                <c:pt idx="8">
                  <c:v>Неналоговые доходы</c:v>
                </c:pt>
                <c:pt idx="9">
                  <c:v>Безвозмездные поступления </c:v>
                </c:pt>
              </c:strCache>
            </c:strRef>
          </c:cat>
          <c:val>
            <c:numRef>
              <c:f>Sheet1!$B$2:$K$2</c:f>
              <c:numCache>
                <c:formatCode>General</c:formatCode>
                <c:ptCount val="10"/>
                <c:pt idx="0">
                  <c:v>18.5</c:v>
                </c:pt>
                <c:pt idx="1">
                  <c:v>24.1</c:v>
                </c:pt>
                <c:pt idx="2">
                  <c:v>4.0999999999999996</c:v>
                </c:pt>
                <c:pt idx="3">
                  <c:v>3.1</c:v>
                </c:pt>
                <c:pt idx="4" formatCode="0.0">
                  <c:v>14.1</c:v>
                </c:pt>
                <c:pt idx="5" formatCode="0.0">
                  <c:v>1.8</c:v>
                </c:pt>
                <c:pt idx="6">
                  <c:v>4.9000000000000004</c:v>
                </c:pt>
                <c:pt idx="7">
                  <c:v>0.3</c:v>
                </c:pt>
                <c:pt idx="8">
                  <c:v>1.7</c:v>
                </c:pt>
                <c:pt idx="9">
                  <c:v>27.4</c:v>
                </c:pt>
              </c:numCache>
            </c:numRef>
          </c:val>
        </c:ser>
        <c:dLbls>
          <c:showLegendKey val="0"/>
          <c:showVal val="1"/>
          <c:showCatName val="1"/>
          <c:showSerName val="0"/>
          <c:showPercent val="0"/>
          <c:showBubbleSize val="0"/>
          <c:showLeaderLines val="1"/>
        </c:dLbls>
      </c:pie3DChart>
      <c:spPr>
        <a:gradFill rotWithShape="0">
          <a:gsLst>
            <a:gs pos="0">
              <a:srgbClr val="800000"/>
            </a:gs>
            <a:gs pos="100000">
              <a:srgbClr val="800000">
                <a:gamma/>
                <a:tint val="0"/>
                <a:invGamma/>
              </a:srgbClr>
            </a:gs>
          </a:gsLst>
          <a:path path="rect">
            <a:fillToRect l="50000" t="50000" r="50000" b="50000"/>
          </a:path>
        </a:gradFill>
        <a:ln w="12670">
          <a:noFill/>
          <a:prstDash val="solid"/>
        </a:ln>
      </c:spPr>
    </c:plotArea>
    <c:plotVisOnly val="1"/>
    <c:dispBlanksAs val="zero"/>
    <c:showDLblsOverMax val="0"/>
  </c:chart>
  <c:spPr>
    <a:noFill/>
    <a:ln w="25341">
      <a:noFill/>
      <a:prstDash val="solid"/>
    </a:ln>
    <a:effectLst/>
  </c:spPr>
  <c:txPr>
    <a:bodyPr/>
    <a:lstStyle/>
    <a:p>
      <a:pPr>
        <a:defRPr sz="182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2862140251486"/>
          <c:y val="7.3320555325321168E-2"/>
          <c:w val="0.53536977491961357"/>
          <c:h val="0.82830259704379061"/>
        </c:manualLayout>
      </c:layout>
      <c:barChart>
        <c:barDir val="col"/>
        <c:grouping val="percentStacked"/>
        <c:varyColors val="0"/>
        <c:ser>
          <c:idx val="0"/>
          <c:order val="0"/>
          <c:tx>
            <c:strRef>
              <c:f>Sheet1!$A$2</c:f>
              <c:strCache>
                <c:ptCount val="1"/>
                <c:pt idx="0">
                  <c:v>Покупка товаров и оплата услуг</c:v>
                </c:pt>
              </c:strCache>
            </c:strRef>
          </c:tx>
          <c:spPr>
            <a:solidFill>
              <a:srgbClr val="339966"/>
            </a:solidFill>
            <a:ln w="11107">
              <a:solidFill>
                <a:srgbClr val="000000"/>
              </a:solidFill>
              <a:prstDash val="solid"/>
            </a:ln>
            <a:scene3d>
              <a:camera prst="orthographicFront"/>
              <a:lightRig rig="threePt" dir="t"/>
            </a:scene3d>
            <a:sp3d>
              <a:bevelT/>
            </a:sp3d>
          </c:spPr>
          <c:invertIfNegative val="0"/>
          <c:dLbls>
            <c:dLbl>
              <c:idx val="0"/>
              <c:layout>
                <c:manualLayout>
                  <c:x val="-9.7412616651233602E-2"/>
                  <c:y val="-1.4101903731286175E-2"/>
                </c:manualLayout>
              </c:layout>
              <c:dLblPos val="ctr"/>
              <c:showLegendKey val="0"/>
              <c:showVal val="1"/>
              <c:showCatName val="0"/>
              <c:showSerName val="0"/>
              <c:showPercent val="0"/>
              <c:showBubbleSize val="0"/>
            </c:dLbl>
            <c:dLbl>
              <c:idx val="1"/>
              <c:layout>
                <c:manualLayout>
                  <c:x val="9.1494116325623362E-2"/>
                  <c:y val="-7.2416073842117602E-3"/>
                </c:manualLayout>
              </c:layout>
              <c:dLblPos val="ctr"/>
              <c:showLegendKey val="0"/>
              <c:showVal val="1"/>
              <c:showCatName val="0"/>
              <c:showSerName val="0"/>
              <c:showPercent val="0"/>
              <c:showBubbleSize val="0"/>
            </c:dLbl>
            <c:spPr>
              <a:solidFill>
                <a:srgbClr val="FFFFFF"/>
              </a:solidFill>
              <a:ln w="2777">
                <a:solidFill>
                  <a:srgbClr val="000000"/>
                </a:solidFill>
                <a:prstDash val="solid"/>
              </a:ln>
              <a:effectLst>
                <a:outerShdw dist="35921" dir="2700000" algn="br">
                  <a:srgbClr val="000000"/>
                </a:outerShdw>
              </a:effectLst>
            </c:spPr>
            <c:txPr>
              <a:bodyPr/>
              <a:lstStyle/>
              <a:p>
                <a:pPr>
                  <a:defRPr sz="1050" b="1" i="0" u="none" strike="noStrike" baseline="0">
                    <a:solidFill>
                      <a:srgbClr val="008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2014 год</c:v>
                </c:pt>
                <c:pt idx="1">
                  <c:v>2015 год</c:v>
                </c:pt>
              </c:strCache>
            </c:strRef>
          </c:cat>
          <c:val>
            <c:numRef>
              <c:f>Sheet1!$B$2:$C$2</c:f>
              <c:numCache>
                <c:formatCode>General</c:formatCode>
                <c:ptCount val="2"/>
                <c:pt idx="0">
                  <c:v>69</c:v>
                </c:pt>
                <c:pt idx="1">
                  <c:v>69.599999999999994</c:v>
                </c:pt>
              </c:numCache>
            </c:numRef>
          </c:val>
        </c:ser>
        <c:ser>
          <c:idx val="1"/>
          <c:order val="1"/>
          <c:tx>
            <c:strRef>
              <c:f>Sheet1!$A$3</c:f>
              <c:strCache>
                <c:ptCount val="1"/>
                <c:pt idx="0">
                  <c:v>Оплата обязательных платежей и взносов</c:v>
                </c:pt>
              </c:strCache>
            </c:strRef>
          </c:tx>
          <c:spPr>
            <a:solidFill>
              <a:srgbClr val="FFFF00"/>
            </a:solidFill>
            <a:ln w="11107">
              <a:solidFill>
                <a:srgbClr val="000000"/>
              </a:solidFill>
              <a:prstDash val="solid"/>
            </a:ln>
            <a:scene3d>
              <a:camera prst="orthographicFront"/>
              <a:lightRig rig="threePt" dir="t"/>
            </a:scene3d>
            <a:sp3d>
              <a:bevelT/>
            </a:sp3d>
          </c:spPr>
          <c:invertIfNegative val="0"/>
          <c:dLbls>
            <c:dLbl>
              <c:idx val="0"/>
              <c:layout>
                <c:manualLayout>
                  <c:x val="8.6422501466239102E-2"/>
                  <c:y val="-1.2156375189943363E-4"/>
                </c:manualLayout>
              </c:layout>
              <c:dLblPos val="ctr"/>
              <c:showLegendKey val="0"/>
              <c:showVal val="1"/>
              <c:showCatName val="0"/>
              <c:showSerName val="0"/>
              <c:showPercent val="0"/>
              <c:showBubbleSize val="0"/>
            </c:dLbl>
            <c:dLbl>
              <c:idx val="1"/>
              <c:layout>
                <c:manualLayout>
                  <c:x val="-8.7012657490713824E-2"/>
                  <c:y val="-2.1387622599806605E-3"/>
                </c:manualLayout>
              </c:layout>
              <c:dLblPos val="ctr"/>
              <c:showLegendKey val="0"/>
              <c:showVal val="1"/>
              <c:showCatName val="0"/>
              <c:showSerName val="0"/>
              <c:showPercent val="0"/>
              <c:showBubbleSize val="0"/>
            </c:dLbl>
            <c:spPr>
              <a:solidFill>
                <a:srgbClr val="FFFFFF"/>
              </a:solidFill>
              <a:ln w="2777">
                <a:solidFill>
                  <a:srgbClr val="000000"/>
                </a:solidFill>
                <a:prstDash val="solid"/>
              </a:ln>
              <a:effectLst>
                <a:outerShdw dist="35921" dir="2700000" algn="br">
                  <a:srgbClr val="000000"/>
                </a:outerShdw>
              </a:effectLst>
            </c:spPr>
            <c:txPr>
              <a:bodyPr/>
              <a:lstStyle/>
              <a:p>
                <a:pPr>
                  <a:defRPr sz="1050" b="1" i="0" u="none" strike="noStrike" baseline="0">
                    <a:solidFill>
                      <a:srgbClr val="FF99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2014 год</c:v>
                </c:pt>
                <c:pt idx="1">
                  <c:v>2015 год</c:v>
                </c:pt>
              </c:strCache>
            </c:strRef>
          </c:cat>
          <c:val>
            <c:numRef>
              <c:f>Sheet1!$B$3:$C$3</c:f>
              <c:numCache>
                <c:formatCode>0.0</c:formatCode>
                <c:ptCount val="2"/>
                <c:pt idx="0">
                  <c:v>12.4</c:v>
                </c:pt>
                <c:pt idx="1">
                  <c:v>9.9</c:v>
                </c:pt>
              </c:numCache>
            </c:numRef>
          </c:val>
        </c:ser>
        <c:ser>
          <c:idx val="2"/>
          <c:order val="2"/>
          <c:tx>
            <c:strRef>
              <c:f>Sheet1!$A$4</c:f>
              <c:strCache>
                <c:ptCount val="1"/>
                <c:pt idx="0">
                  <c:v>Сбережения во вкладах и ценных бумагах</c:v>
                </c:pt>
              </c:strCache>
            </c:strRef>
          </c:tx>
          <c:spPr>
            <a:solidFill>
              <a:srgbClr val="FF6600"/>
            </a:solidFill>
            <a:ln w="11107">
              <a:solidFill>
                <a:srgbClr val="000000"/>
              </a:solidFill>
              <a:prstDash val="solid"/>
            </a:ln>
            <a:scene3d>
              <a:camera prst="orthographicFront"/>
              <a:lightRig rig="threePt" dir="t"/>
            </a:scene3d>
            <a:sp3d>
              <a:bevelT/>
            </a:sp3d>
          </c:spPr>
          <c:invertIfNegative val="0"/>
          <c:dLbls>
            <c:dLbl>
              <c:idx val="0"/>
              <c:layout>
                <c:manualLayout>
                  <c:x val="-9.0981693849283105E-2"/>
                  <c:y val="1.6822765575355711E-2"/>
                </c:manualLayout>
              </c:layout>
              <c:dLblPos val="ctr"/>
              <c:showLegendKey val="0"/>
              <c:showVal val="1"/>
              <c:showCatName val="0"/>
              <c:showSerName val="0"/>
              <c:showPercent val="0"/>
              <c:showBubbleSize val="0"/>
            </c:dLbl>
            <c:dLbl>
              <c:idx val="1"/>
              <c:layout>
                <c:manualLayout>
                  <c:x val="8.8370332472307841E-2"/>
                  <c:y val="2.2980038679375606E-2"/>
                </c:manualLayout>
              </c:layout>
              <c:dLblPos val="ctr"/>
              <c:showLegendKey val="0"/>
              <c:showVal val="1"/>
              <c:showCatName val="0"/>
              <c:showSerName val="0"/>
              <c:showPercent val="0"/>
              <c:showBubbleSize val="0"/>
            </c:dLbl>
            <c:spPr>
              <a:solidFill>
                <a:srgbClr val="FFFFFF"/>
              </a:solidFill>
              <a:ln w="2777">
                <a:solidFill>
                  <a:srgbClr val="000000"/>
                </a:solidFill>
                <a:prstDash val="solid"/>
              </a:ln>
              <a:effectLst>
                <a:outerShdw dist="35921" dir="2700000" algn="br">
                  <a:srgbClr val="000000"/>
                </a:outerShdw>
              </a:effectLst>
            </c:spPr>
            <c:txPr>
              <a:bodyPr/>
              <a:lstStyle/>
              <a:p>
                <a:pPr>
                  <a:defRPr sz="1050" b="1" i="0" u="none" strike="noStrike" baseline="0">
                    <a:solidFill>
                      <a:srgbClr val="FF66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2014 год</c:v>
                </c:pt>
                <c:pt idx="1">
                  <c:v>2015 год</c:v>
                </c:pt>
              </c:strCache>
            </c:strRef>
          </c:cat>
          <c:val>
            <c:numRef>
              <c:f>Sheet1!$B$4:$C$4</c:f>
              <c:numCache>
                <c:formatCode>0.0</c:formatCode>
                <c:ptCount val="2"/>
                <c:pt idx="0">
                  <c:v>1</c:v>
                </c:pt>
                <c:pt idx="1">
                  <c:v>3.6</c:v>
                </c:pt>
              </c:numCache>
            </c:numRef>
          </c:val>
        </c:ser>
        <c:ser>
          <c:idx val="3"/>
          <c:order val="3"/>
          <c:tx>
            <c:strRef>
              <c:f>Sheet1!$A$6</c:f>
              <c:strCache>
                <c:ptCount val="1"/>
                <c:pt idx="0">
                  <c:v>Покупка валюты</c:v>
                </c:pt>
              </c:strCache>
            </c:strRef>
          </c:tx>
          <c:spPr>
            <a:solidFill>
              <a:srgbClr val="FF0000"/>
            </a:solidFill>
            <a:ln w="11107">
              <a:solidFill>
                <a:srgbClr val="000000"/>
              </a:solidFill>
              <a:prstDash val="solid"/>
            </a:ln>
            <a:scene3d>
              <a:camera prst="orthographicFront"/>
              <a:lightRig rig="threePt" dir="t"/>
            </a:scene3d>
            <a:sp3d>
              <a:bevelT/>
            </a:sp3d>
          </c:spPr>
          <c:invertIfNegative val="0"/>
          <c:dLbls>
            <c:dLbl>
              <c:idx val="0"/>
              <c:layout>
                <c:manualLayout>
                  <c:x val="8.1399270416079125E-2"/>
                  <c:y val="-2.1988534327945851E-3"/>
                </c:manualLayout>
              </c:layout>
              <c:dLblPos val="ctr"/>
              <c:showLegendKey val="0"/>
              <c:showVal val="1"/>
              <c:showCatName val="0"/>
              <c:showSerName val="0"/>
              <c:showPercent val="0"/>
              <c:showBubbleSize val="0"/>
            </c:dLbl>
            <c:dLbl>
              <c:idx val="1"/>
              <c:layout>
                <c:manualLayout>
                  <c:x val="-8.427251664857266E-2"/>
                  <c:y val="-7.654026799281669E-3"/>
                </c:manualLayout>
              </c:layout>
              <c:dLblPos val="ctr"/>
              <c:showLegendKey val="0"/>
              <c:showVal val="1"/>
              <c:showCatName val="0"/>
              <c:showSerName val="0"/>
              <c:showPercent val="0"/>
              <c:showBubbleSize val="0"/>
            </c:dLbl>
            <c:spPr>
              <a:solidFill>
                <a:srgbClr val="FFFFFF"/>
              </a:solidFill>
              <a:ln w="2777">
                <a:solidFill>
                  <a:srgbClr val="000000"/>
                </a:solidFill>
                <a:prstDash val="solid"/>
              </a:ln>
              <a:effectLst>
                <a:outerShdw dist="35921" dir="2700000" algn="br">
                  <a:srgbClr val="000000"/>
                </a:outerShdw>
              </a:effectLst>
            </c:spPr>
            <c:txPr>
              <a:bodyPr/>
              <a:lstStyle/>
              <a:p>
                <a:pPr>
                  <a:defRPr sz="1050" b="1"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2014 год</c:v>
                </c:pt>
                <c:pt idx="1">
                  <c:v>2015 год</c:v>
                </c:pt>
              </c:strCache>
            </c:strRef>
          </c:cat>
          <c:val>
            <c:numRef>
              <c:f>Sheet1!$B$6:$C$6</c:f>
              <c:numCache>
                <c:formatCode>0.0</c:formatCode>
                <c:ptCount val="2"/>
                <c:pt idx="0">
                  <c:v>3.5</c:v>
                </c:pt>
                <c:pt idx="1">
                  <c:v>2.6</c:v>
                </c:pt>
              </c:numCache>
            </c:numRef>
          </c:val>
        </c:ser>
        <c:ser>
          <c:idx val="4"/>
          <c:order val="4"/>
          <c:tx>
            <c:strRef>
              <c:f>Sheet1!$A$8</c:f>
              <c:strCache>
                <c:ptCount val="1"/>
                <c:pt idx="0">
                  <c:v>Уменьшение (-), прирост (+) денег на руках у населения</c:v>
                </c:pt>
              </c:strCache>
            </c:strRef>
          </c:tx>
          <c:spPr>
            <a:solidFill>
              <a:srgbClr val="33CCCC"/>
            </a:solidFill>
            <a:ln w="11107">
              <a:solidFill>
                <a:srgbClr val="000000"/>
              </a:solidFill>
              <a:prstDash val="solid"/>
            </a:ln>
            <a:scene3d>
              <a:camera prst="orthographicFront"/>
              <a:lightRig rig="threePt" dir="t"/>
            </a:scene3d>
            <a:sp3d>
              <a:bevelT/>
            </a:sp3d>
          </c:spPr>
          <c:invertIfNegative val="0"/>
          <c:dLbls>
            <c:dLbl>
              <c:idx val="0"/>
              <c:layout>
                <c:manualLayout>
                  <c:x val="-9.2079480556214149E-2"/>
                  <c:y val="-1.6998894874982733E-2"/>
                </c:manualLayout>
              </c:layout>
              <c:dLblPos val="ctr"/>
              <c:showLegendKey val="0"/>
              <c:showVal val="1"/>
              <c:showCatName val="0"/>
              <c:showSerName val="0"/>
              <c:showPercent val="0"/>
              <c:showBubbleSize val="0"/>
            </c:dLbl>
            <c:dLbl>
              <c:idx val="1"/>
              <c:layout>
                <c:manualLayout>
                  <c:x val="8.6353785808469669E-2"/>
                  <c:y val="-7.7175714877745945E-3"/>
                </c:manualLayout>
              </c:layout>
              <c:dLblPos val="ctr"/>
              <c:showLegendKey val="0"/>
              <c:showVal val="1"/>
              <c:showCatName val="0"/>
              <c:showSerName val="0"/>
              <c:showPercent val="0"/>
              <c:showBubbleSize val="0"/>
            </c:dLbl>
            <c:spPr>
              <a:solidFill>
                <a:srgbClr val="FFFFFF"/>
              </a:solidFill>
              <a:ln w="2777">
                <a:solidFill>
                  <a:srgbClr val="000000"/>
                </a:solidFill>
                <a:prstDash val="solid"/>
              </a:ln>
              <a:effectLst>
                <a:outerShdw dist="35921" dir="2700000" algn="br">
                  <a:srgbClr val="000000"/>
                </a:outerShdw>
              </a:effectLst>
            </c:spPr>
            <c:txPr>
              <a:bodyPr/>
              <a:lstStyle/>
              <a:p>
                <a:pPr>
                  <a:defRPr sz="1050" b="1" i="0" u="none" strike="noStrike" baseline="0">
                    <a:solidFill>
                      <a:srgbClr val="3366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2014 год</c:v>
                </c:pt>
                <c:pt idx="1">
                  <c:v>2015 год</c:v>
                </c:pt>
              </c:strCache>
            </c:strRef>
          </c:cat>
          <c:val>
            <c:numRef>
              <c:f>Sheet1!$B$8:$C$8</c:f>
              <c:numCache>
                <c:formatCode>0.0</c:formatCode>
                <c:ptCount val="2"/>
                <c:pt idx="0">
                  <c:v>3.4</c:v>
                </c:pt>
                <c:pt idx="1">
                  <c:v>1.1000000000000001</c:v>
                </c:pt>
              </c:numCache>
            </c:numRef>
          </c:val>
        </c:ser>
        <c:dLbls>
          <c:showLegendKey val="0"/>
          <c:showVal val="1"/>
          <c:showCatName val="0"/>
          <c:showSerName val="0"/>
          <c:showPercent val="0"/>
          <c:showBubbleSize val="0"/>
        </c:dLbls>
        <c:gapWidth val="150"/>
        <c:overlap val="100"/>
        <c:axId val="148539264"/>
        <c:axId val="226941952"/>
      </c:barChart>
      <c:catAx>
        <c:axId val="148539264"/>
        <c:scaling>
          <c:orientation val="minMax"/>
        </c:scaling>
        <c:delete val="0"/>
        <c:axPos val="b"/>
        <c:numFmt formatCode="General" sourceLinked="1"/>
        <c:majorTickMark val="out"/>
        <c:minorTickMark val="none"/>
        <c:tickLblPos val="nextTo"/>
        <c:spPr>
          <a:ln w="33322">
            <a:solidFill>
              <a:srgbClr val="0000FF"/>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26941952"/>
        <c:crosses val="autoZero"/>
        <c:auto val="1"/>
        <c:lblAlgn val="ctr"/>
        <c:lblOffset val="100"/>
        <c:tickLblSkip val="1"/>
        <c:tickMarkSkip val="1"/>
        <c:noMultiLvlLbl val="0"/>
      </c:catAx>
      <c:valAx>
        <c:axId val="226941952"/>
        <c:scaling>
          <c:orientation val="minMax"/>
        </c:scaling>
        <c:delete val="1"/>
        <c:axPos val="l"/>
        <c:majorGridlines>
          <c:spPr>
            <a:ln w="2777">
              <a:solidFill>
                <a:srgbClr val="000000"/>
              </a:solidFill>
              <a:prstDash val="solid"/>
            </a:ln>
          </c:spPr>
        </c:majorGridlines>
        <c:numFmt formatCode="0%" sourceLinked="1"/>
        <c:majorTickMark val="out"/>
        <c:minorTickMark val="none"/>
        <c:tickLblPos val="none"/>
        <c:crossAx val="148539264"/>
        <c:crosses val="autoZero"/>
        <c:crossBetween val="between"/>
      </c:valAx>
      <c:spPr>
        <a:noFill/>
        <a:ln w="22215">
          <a:noFill/>
        </a:ln>
      </c:spPr>
    </c:plotArea>
    <c:legend>
      <c:legendPos val="r"/>
      <c:layout>
        <c:manualLayout>
          <c:xMode val="edge"/>
          <c:yMode val="edge"/>
          <c:x val="0.66247118476276046"/>
          <c:y val="0"/>
          <c:w val="0.32636643806621102"/>
          <c:h val="0.93421052631578949"/>
        </c:manualLayout>
      </c:layout>
      <c:overlay val="0"/>
      <c:spPr>
        <a:noFill/>
        <a:ln w="22215">
          <a:noFill/>
        </a:ln>
      </c:spPr>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solidFill>
          <a:schemeClr val="accent6">
            <a:lumMod val="20000"/>
            <a:lumOff val="80000"/>
          </a:schemeClr>
        </a:solidFill>
      </c:spPr>
    </c:floor>
    <c:sideWall>
      <c:thickness val="0"/>
      <c:spPr>
        <a:gradFill flip="none" rotWithShape="1">
          <a:gsLst>
            <a:gs pos="0">
              <a:schemeClr val="accent1">
                <a:lumMod val="20000"/>
                <a:lumOff val="80000"/>
              </a:schemeClr>
            </a:gs>
            <a:gs pos="50000">
              <a:srgbClr val="FFFF00">
                <a:tint val="44500"/>
                <a:satMod val="160000"/>
              </a:srgbClr>
            </a:gs>
            <a:gs pos="100000">
              <a:srgbClr val="FFFF00">
                <a:tint val="23500"/>
                <a:satMod val="160000"/>
              </a:srgbClr>
            </a:gs>
          </a:gsLst>
          <a:lin ang="10800000" scaled="1"/>
          <a:tileRect/>
        </a:gradFill>
      </c:spPr>
    </c:sideWall>
    <c:backWall>
      <c:thickness val="0"/>
      <c:spPr>
        <a:gradFill flip="none" rotWithShape="1">
          <a:gsLst>
            <a:gs pos="0">
              <a:schemeClr val="accent1">
                <a:lumMod val="20000"/>
                <a:lumOff val="80000"/>
              </a:schemeClr>
            </a:gs>
            <a:gs pos="57000">
              <a:srgbClr val="FFFF00">
                <a:tint val="44500"/>
                <a:satMod val="160000"/>
              </a:srgbClr>
            </a:gs>
            <a:gs pos="100000">
              <a:srgbClr val="FFFF00">
                <a:tint val="23500"/>
                <a:satMod val="160000"/>
              </a:srgbClr>
            </a:gs>
          </a:gsLst>
          <a:lin ang="10800000" scaled="1"/>
          <a:tileRect/>
        </a:gradFill>
      </c:spPr>
    </c:backWall>
    <c:plotArea>
      <c:layout>
        <c:manualLayout>
          <c:layoutTarget val="inner"/>
          <c:xMode val="edge"/>
          <c:yMode val="edge"/>
          <c:x val="8.2753623188405803E-2"/>
          <c:y val="1.6208551620290512E-2"/>
          <c:w val="0.90960776642050201"/>
          <c:h val="0.73808862127528174"/>
        </c:manualLayout>
      </c:layout>
      <c:bar3DChart>
        <c:barDir val="col"/>
        <c:grouping val="clustered"/>
        <c:varyColors val="0"/>
        <c:ser>
          <c:idx val="0"/>
          <c:order val="0"/>
          <c:tx>
            <c:strRef>
              <c:f>Лист1!$B$1</c:f>
              <c:strCache>
                <c:ptCount val="1"/>
                <c:pt idx="0">
                  <c:v>2011 год</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path path="circle">
                <a:fillToRect l="50000" t="50000" r="50000" b="50000"/>
              </a:path>
              <a:tileRect/>
            </a:gradFill>
            <a:ln w="12700">
              <a:solidFill>
                <a:sysClr val="windowText" lastClr="000000"/>
              </a:solidFill>
            </a:ln>
          </c:spPr>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Лист1!$B$2:$B$7</c:f>
              <c:numCache>
                <c:formatCode>General</c:formatCode>
                <c:ptCount val="6"/>
                <c:pt idx="0">
                  <c:v>8517.9</c:v>
                </c:pt>
                <c:pt idx="1">
                  <c:v>7117</c:v>
                </c:pt>
                <c:pt idx="2">
                  <c:v>2246.8000000000002</c:v>
                </c:pt>
                <c:pt idx="3">
                  <c:v>1951.7</c:v>
                </c:pt>
                <c:pt idx="4">
                  <c:v>1572.4</c:v>
                </c:pt>
                <c:pt idx="5">
                  <c:v>1000.7</c:v>
                </c:pt>
              </c:numCache>
            </c:numRef>
          </c:val>
        </c:ser>
        <c:ser>
          <c:idx val="1"/>
          <c:order val="1"/>
          <c:tx>
            <c:strRef>
              <c:f>Лист1!$C$1</c:f>
              <c:strCache>
                <c:ptCount val="1"/>
                <c:pt idx="0">
                  <c:v>2012 год</c:v>
                </c:pt>
              </c:strCache>
            </c:strRef>
          </c:tx>
          <c:spPr>
            <a:gradFill flip="none" rotWithShape="1">
              <a:gsLst>
                <a:gs pos="0">
                  <a:srgbClr val="F79646">
                    <a:shade val="30000"/>
                    <a:satMod val="115000"/>
                  </a:srgbClr>
                </a:gs>
                <a:gs pos="50000">
                  <a:srgbClr val="F79646">
                    <a:shade val="67500"/>
                    <a:satMod val="115000"/>
                  </a:srgbClr>
                </a:gs>
                <a:gs pos="100000">
                  <a:srgbClr val="F79646">
                    <a:shade val="100000"/>
                    <a:satMod val="115000"/>
                  </a:srgbClr>
                </a:gs>
              </a:gsLst>
              <a:lin ang="0" scaled="1"/>
              <a:tileRect/>
            </a:gradFill>
            <a:ln w="12700">
              <a:solidFill>
                <a:sysClr val="windowText" lastClr="000000"/>
              </a:solidFill>
            </a:ln>
          </c:spPr>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Лист1!$C$2:$C$7</c:f>
              <c:numCache>
                <c:formatCode>General</c:formatCode>
                <c:ptCount val="6"/>
                <c:pt idx="0">
                  <c:v>9432.7000000000007</c:v>
                </c:pt>
                <c:pt idx="1">
                  <c:v>7875.3</c:v>
                </c:pt>
                <c:pt idx="2">
                  <c:v>2813.1</c:v>
                </c:pt>
                <c:pt idx="3">
                  <c:v>2048</c:v>
                </c:pt>
                <c:pt idx="4">
                  <c:v>1833.5</c:v>
                </c:pt>
                <c:pt idx="5">
                  <c:v>1268.8</c:v>
                </c:pt>
              </c:numCache>
            </c:numRef>
          </c:val>
        </c:ser>
        <c:ser>
          <c:idx val="2"/>
          <c:order val="2"/>
          <c:tx>
            <c:strRef>
              <c:f>Лист1!$D$1</c:f>
              <c:strCache>
                <c:ptCount val="1"/>
                <c:pt idx="0">
                  <c:v>2013 год</c:v>
                </c:pt>
              </c:strCache>
            </c:strRef>
          </c:tx>
          <c:spPr>
            <a:solidFill>
              <a:srgbClr val="9BBB59">
                <a:lumMod val="50000"/>
              </a:srgbClr>
            </a:solidFill>
            <a:ln w="12700">
              <a:solidFill>
                <a:sysClr val="windowText" lastClr="000000"/>
              </a:solidFill>
            </a:ln>
          </c:spPr>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Лист1!$D$2:$D$7</c:f>
              <c:numCache>
                <c:formatCode>General</c:formatCode>
                <c:ptCount val="6"/>
                <c:pt idx="0">
                  <c:v>8067.7</c:v>
                </c:pt>
                <c:pt idx="1">
                  <c:v>8482.1</c:v>
                </c:pt>
                <c:pt idx="2">
                  <c:v>3611.3</c:v>
                </c:pt>
                <c:pt idx="3">
                  <c:v>2084.9</c:v>
                </c:pt>
                <c:pt idx="4">
                  <c:v>1692.6</c:v>
                </c:pt>
                <c:pt idx="5">
                  <c:v>1293.5999999999999</c:v>
                </c:pt>
              </c:numCache>
            </c:numRef>
          </c:val>
        </c:ser>
        <c:ser>
          <c:idx val="3"/>
          <c:order val="3"/>
          <c:tx>
            <c:strRef>
              <c:f>Лист1!$E$1</c:f>
              <c:strCache>
                <c:ptCount val="1"/>
                <c:pt idx="0">
                  <c:v>2014 год</c:v>
                </c:pt>
              </c:strCache>
            </c:strRef>
          </c:tx>
          <c:spPr>
            <a:solidFill>
              <a:srgbClr val="C00000"/>
            </a:solidFill>
            <a:ln w="12700">
              <a:solidFill>
                <a:sysClr val="windowText" lastClr="000000"/>
              </a:solidFill>
            </a:ln>
          </c:spPr>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Лист1!$E$2:$E$7</c:f>
              <c:numCache>
                <c:formatCode>General</c:formatCode>
                <c:ptCount val="6"/>
                <c:pt idx="0">
                  <c:v>7231.9</c:v>
                </c:pt>
                <c:pt idx="1">
                  <c:v>10511.9</c:v>
                </c:pt>
                <c:pt idx="2">
                  <c:v>4721</c:v>
                </c:pt>
                <c:pt idx="3">
                  <c:v>1655.1</c:v>
                </c:pt>
                <c:pt idx="4">
                  <c:v>1784.9</c:v>
                </c:pt>
                <c:pt idx="5">
                  <c:v>1314.8</c:v>
                </c:pt>
              </c:numCache>
            </c:numRef>
          </c:val>
        </c:ser>
        <c:ser>
          <c:idx val="4"/>
          <c:order val="4"/>
          <c:tx>
            <c:strRef>
              <c:f>Лист1!$F$1</c:f>
              <c:strCache>
                <c:ptCount val="1"/>
                <c:pt idx="0">
                  <c:v>2015 год</c:v>
                </c:pt>
              </c:strCache>
            </c:strRef>
          </c:tx>
          <c:spPr>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path path="circle">
                <a:fillToRect l="50000" t="50000" r="50000" b="50000"/>
              </a:path>
              <a:tileRect/>
            </a:gradFill>
            <a:ln w="12700">
              <a:solidFill>
                <a:sysClr val="windowText" lastClr="000000"/>
              </a:solidFill>
            </a:ln>
          </c:spPr>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Лист1!$F$2:$F$7</c:f>
              <c:numCache>
                <c:formatCode>General</c:formatCode>
                <c:ptCount val="6"/>
                <c:pt idx="0">
                  <c:v>8120.8</c:v>
                </c:pt>
                <c:pt idx="1">
                  <c:v>10617.5</c:v>
                </c:pt>
                <c:pt idx="2">
                  <c:v>6225.3</c:v>
                </c:pt>
                <c:pt idx="3">
                  <c:v>1793.6</c:v>
                </c:pt>
                <c:pt idx="4">
                  <c:v>2159.1999999999998</c:v>
                </c:pt>
                <c:pt idx="5">
                  <c:v>1370.3</c:v>
                </c:pt>
              </c:numCache>
            </c:numRef>
          </c:val>
        </c:ser>
        <c:dLbls>
          <c:showLegendKey val="0"/>
          <c:showVal val="0"/>
          <c:showCatName val="0"/>
          <c:showSerName val="0"/>
          <c:showPercent val="0"/>
          <c:showBubbleSize val="0"/>
        </c:dLbls>
        <c:gapWidth val="150"/>
        <c:shape val="box"/>
        <c:axId val="110758144"/>
        <c:axId val="110784512"/>
        <c:axId val="0"/>
      </c:bar3DChart>
      <c:catAx>
        <c:axId val="110758144"/>
        <c:scaling>
          <c:orientation val="minMax"/>
        </c:scaling>
        <c:delete val="0"/>
        <c:axPos val="b"/>
        <c:majorTickMark val="out"/>
        <c:minorTickMark val="none"/>
        <c:tickLblPos val="nextTo"/>
        <c:txPr>
          <a:bodyPr/>
          <a:lstStyle/>
          <a:p>
            <a:pPr>
              <a:defRPr sz="900" b="1">
                <a:latin typeface="Times New Roman" pitchFamily="18" charset="0"/>
                <a:cs typeface="Times New Roman" pitchFamily="18" charset="0"/>
              </a:defRPr>
            </a:pPr>
            <a:endParaRPr lang="ru-RU"/>
          </a:p>
        </c:txPr>
        <c:crossAx val="110784512"/>
        <c:crosses val="autoZero"/>
        <c:auto val="1"/>
        <c:lblAlgn val="ctr"/>
        <c:lblOffset val="100"/>
        <c:noMultiLvlLbl val="0"/>
      </c:catAx>
      <c:valAx>
        <c:axId val="110784512"/>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10758144"/>
        <c:crosses val="autoZero"/>
        <c:crossBetween val="between"/>
      </c:valAx>
    </c:plotArea>
    <c:legend>
      <c:legendPos val="r"/>
      <c:layout>
        <c:manualLayout>
          <c:xMode val="edge"/>
          <c:yMode val="edge"/>
          <c:x val="0.15073344092857963"/>
          <c:y val="0.92787211553306981"/>
          <c:w val="0.80321041391565162"/>
          <c:h val="5.7129012719563894E-2"/>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0"/>
      <c:rAngAx val="0"/>
      <c:perspective val="10"/>
    </c:view3D>
    <c:floor>
      <c:thickness val="0"/>
    </c:floor>
    <c:sideWall>
      <c:thickness val="0"/>
    </c:sideWall>
    <c:backWall>
      <c:thickness val="0"/>
    </c:backWall>
    <c:plotArea>
      <c:layout>
        <c:manualLayout>
          <c:layoutTarget val="inner"/>
          <c:xMode val="edge"/>
          <c:yMode val="edge"/>
          <c:x val="7.1922688109216024E-2"/>
          <c:y val="0.14044000241097232"/>
          <c:w val="0.82317464733869472"/>
          <c:h val="0.81376160965265554"/>
        </c:manualLayout>
      </c:layout>
      <c:pie3DChart>
        <c:varyColors val="1"/>
        <c:ser>
          <c:idx val="0"/>
          <c:order val="0"/>
          <c:tx>
            <c:strRef>
              <c:f>Лист1!$B$1</c:f>
              <c:strCache>
                <c:ptCount val="1"/>
                <c:pt idx="0">
                  <c:v>Столбец1</c:v>
                </c:pt>
              </c:strCache>
            </c:strRef>
          </c:tx>
          <c:spPr>
            <a:ln w="19050">
              <a:solidFill>
                <a:sysClr val="windowText" lastClr="000000"/>
              </a:solidFill>
            </a:ln>
          </c:spPr>
          <c:explosion val="40"/>
          <c:dPt>
            <c:idx val="0"/>
            <c:bubble3D val="0"/>
            <c:spPr>
              <a:gradFill flip="none" rotWithShape="1">
                <a:gsLst>
                  <a:gs pos="0">
                    <a:srgbClr val="4F81BD">
                      <a:lumMod val="60000"/>
                      <a:lumOff val="40000"/>
                      <a:shade val="30000"/>
                      <a:satMod val="115000"/>
                    </a:srgbClr>
                  </a:gs>
                  <a:gs pos="50000">
                    <a:srgbClr val="4F81BD">
                      <a:lumMod val="60000"/>
                      <a:lumOff val="40000"/>
                      <a:shade val="67500"/>
                      <a:satMod val="115000"/>
                    </a:srgbClr>
                  </a:gs>
                  <a:gs pos="100000">
                    <a:srgbClr val="4F81BD">
                      <a:lumMod val="60000"/>
                      <a:lumOff val="40000"/>
                      <a:shade val="100000"/>
                      <a:satMod val="115000"/>
                    </a:srgbClr>
                  </a:gs>
                </a:gsLst>
                <a:lin ang="2700000" scaled="1"/>
                <a:tileRect/>
              </a:gradFill>
              <a:ln w="19050">
                <a:solidFill>
                  <a:sysClr val="windowText" lastClr="000000"/>
                </a:solidFill>
              </a:ln>
            </c:spPr>
          </c:dPt>
          <c:dPt>
            <c:idx val="1"/>
            <c:bubble3D val="0"/>
            <c:spPr>
              <a:solidFill>
                <a:srgbClr val="C00000"/>
              </a:solidFill>
              <a:ln w="19050">
                <a:solidFill>
                  <a:sysClr val="windowText" lastClr="000000"/>
                </a:solidFill>
              </a:ln>
            </c:spPr>
          </c:dPt>
          <c:dPt>
            <c:idx val="2"/>
            <c:bubble3D val="0"/>
            <c:spPr>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path path="circle">
                  <a:fillToRect l="50000" t="50000" r="50000" b="50000"/>
                </a:path>
                <a:tileRect/>
              </a:gradFill>
              <a:ln w="19050">
                <a:solidFill>
                  <a:sysClr val="windowText" lastClr="000000"/>
                </a:solidFill>
              </a:ln>
            </c:spPr>
          </c:dPt>
          <c:dPt>
            <c:idx val="3"/>
            <c:bubble3D val="0"/>
            <c:spPr>
              <a:solidFill>
                <a:srgbClr val="7030A0"/>
              </a:solidFill>
              <a:ln w="19050">
                <a:solidFill>
                  <a:sysClr val="windowText" lastClr="000000"/>
                </a:solidFill>
              </a:ln>
            </c:spPr>
          </c:dPt>
          <c:dPt>
            <c:idx val="4"/>
            <c:bubble3D val="0"/>
            <c:spPr>
              <a:solidFill>
                <a:srgbClr val="00B050"/>
              </a:solidFill>
              <a:ln w="19050">
                <a:solidFill>
                  <a:sysClr val="windowText" lastClr="000000"/>
                </a:solidFill>
              </a:ln>
            </c:spPr>
          </c:dPt>
          <c:dPt>
            <c:idx val="5"/>
            <c:bubble3D val="0"/>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path path="circle">
                  <a:fillToRect l="50000" t="50000" r="50000" b="50000"/>
                </a:path>
                <a:tileRect/>
              </a:gradFill>
              <a:ln w="19050">
                <a:solidFill>
                  <a:sysClr val="windowText" lastClr="000000"/>
                </a:solidFill>
              </a:ln>
            </c:spPr>
          </c:dPt>
          <c:dLbls>
            <c:dLbl>
              <c:idx val="0"/>
              <c:layout>
                <c:manualLayout>
                  <c:x val="-0.11215524588481497"/>
                  <c:y val="-0.14467595432826297"/>
                </c:manualLayout>
              </c:layout>
              <c:tx>
                <c:rich>
                  <a:bodyPr/>
                  <a:lstStyle/>
                  <a:p>
                    <a:r>
                      <a:rPr lang="ru-RU"/>
                      <a:t>Доходы от использования имущества, находящегося в государственной собственности; 13,9</a:t>
                    </a:r>
                  </a:p>
                </c:rich>
              </c:tx>
              <c:showLegendKey val="0"/>
              <c:showVal val="1"/>
              <c:showCatName val="1"/>
              <c:showSerName val="0"/>
              <c:showPercent val="0"/>
              <c:showBubbleSize val="0"/>
            </c:dLbl>
            <c:dLbl>
              <c:idx val="1"/>
              <c:layout>
                <c:manualLayout>
                  <c:x val="-3.3595800524934383E-2"/>
                  <c:y val="0.2156919215995704"/>
                </c:manualLayout>
              </c:layout>
              <c:showLegendKey val="0"/>
              <c:showVal val="1"/>
              <c:showCatName val="1"/>
              <c:showSerName val="0"/>
              <c:showPercent val="0"/>
              <c:showBubbleSize val="0"/>
            </c:dLbl>
            <c:dLbl>
              <c:idx val="2"/>
              <c:layout>
                <c:manualLayout>
                  <c:x val="0.28014063262536104"/>
                  <c:y val="-2.1910374299306229E-7"/>
                </c:manualLayout>
              </c:layout>
              <c:showLegendKey val="0"/>
              <c:showVal val="1"/>
              <c:showCatName val="1"/>
              <c:showSerName val="0"/>
              <c:showPercent val="0"/>
              <c:showBubbleSize val="0"/>
            </c:dLbl>
            <c:dLbl>
              <c:idx val="3"/>
              <c:layout>
                <c:manualLayout>
                  <c:x val="0.15428193523053713"/>
                  <c:y val="0.11161968010783621"/>
                </c:manualLayout>
              </c:layout>
              <c:showLegendKey val="0"/>
              <c:showVal val="1"/>
              <c:showCatName val="1"/>
              <c:showSerName val="0"/>
              <c:showPercent val="0"/>
              <c:showBubbleSize val="0"/>
            </c:dLbl>
            <c:dLbl>
              <c:idx val="4"/>
              <c:layout>
                <c:manualLayout>
                  <c:x val="1.1561783123566248E-3"/>
                  <c:y val="8.5062822262039789E-2"/>
                </c:manualLayout>
              </c:layout>
              <c:tx>
                <c:rich>
                  <a:bodyPr/>
                  <a:lstStyle/>
                  <a:p>
                    <a:r>
                      <a:rPr lang="ru-RU"/>
                      <a:t>Административ-ные платежи и сборы; 0,5</a:t>
                    </a:r>
                  </a:p>
                </c:rich>
              </c:tx>
              <c:showLegendKey val="0"/>
              <c:showVal val="1"/>
              <c:showCatName val="1"/>
              <c:showSerName val="0"/>
              <c:showPercent val="0"/>
              <c:showBubbleSize val="0"/>
            </c:dLbl>
            <c:dLbl>
              <c:idx val="5"/>
              <c:layout>
                <c:manualLayout>
                  <c:x val="0.21293341865835674"/>
                  <c:y val="-9.8510348001907042E-2"/>
                </c:manualLayout>
              </c:layout>
              <c:tx>
                <c:rich>
                  <a:bodyPr/>
                  <a:lstStyle/>
                  <a:p>
                    <a:r>
                      <a:rPr lang="ru-RU" b="1">
                        <a:latin typeface="Times New Roman" pitchFamily="18" charset="0"/>
                        <a:cs typeface="Times New Roman" pitchFamily="18" charset="0"/>
                      </a:rPr>
                      <a:t>Штрафы, санкции, возмещение ущерба; 40,5</a:t>
                    </a:r>
                    <a:endParaRPr lang="ru-RU" b="1"/>
                  </a:p>
                </c:rich>
              </c:tx>
              <c:showLegendKey val="0"/>
              <c:showVal val="1"/>
              <c:showCatName val="1"/>
              <c:showSerName val="0"/>
              <c:showPercent val="0"/>
              <c:showBubbleSize val="0"/>
            </c:dLbl>
            <c:dLbl>
              <c:idx val="6"/>
              <c:layout>
                <c:manualLayout>
                  <c:x val="-1.1906550550438296E-3"/>
                  <c:y val="-0.12203486046498893"/>
                </c:manualLayout>
              </c:layout>
              <c:showLegendKey val="0"/>
              <c:showVal val="1"/>
              <c:showCatName val="1"/>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dLbls>
          <c:cat>
            <c:strRef>
              <c:f>Лист1!$A$2:$A$7</c:f>
              <c:strCache>
                <c:ptCount val="6"/>
                <c:pt idx="0">
                  <c:v>Доходы от использования имущества, находящегося в государственной собственности </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Административные платежи и сборы</c:v>
                </c:pt>
                <c:pt idx="5">
                  <c:v>Штрафы, санкции, возмещение ущерба</c:v>
                </c:pt>
              </c:strCache>
            </c:strRef>
          </c:cat>
          <c:val>
            <c:numRef>
              <c:f>Лист1!$B$2:$B$7</c:f>
              <c:numCache>
                <c:formatCode>General</c:formatCode>
                <c:ptCount val="6"/>
                <c:pt idx="0">
                  <c:v>13.9</c:v>
                </c:pt>
                <c:pt idx="1">
                  <c:v>23.8</c:v>
                </c:pt>
                <c:pt idx="2">
                  <c:v>12.4</c:v>
                </c:pt>
                <c:pt idx="3">
                  <c:v>8.9</c:v>
                </c:pt>
                <c:pt idx="4">
                  <c:v>0.5</c:v>
                </c:pt>
                <c:pt idx="5">
                  <c:v>40.5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60"/>
      <c:rotY val="0"/>
      <c:rAngAx val="0"/>
      <c:perspective val="200"/>
    </c:view3D>
    <c:floor>
      <c:thickness val="0"/>
    </c:floor>
    <c:sideWall>
      <c:thickness val="0"/>
    </c:sideWall>
    <c:backWall>
      <c:thickness val="0"/>
    </c:backWall>
    <c:plotArea>
      <c:layout>
        <c:manualLayout>
          <c:layoutTarget val="inner"/>
          <c:xMode val="edge"/>
          <c:yMode val="edge"/>
          <c:x val="0.18353637512929549"/>
          <c:y val="0.24854173228346457"/>
          <c:w val="0.61635542712660296"/>
          <c:h val="0.51890048260096522"/>
        </c:manualLayout>
      </c:layout>
      <c:pie3DChart>
        <c:varyColors val="1"/>
        <c:ser>
          <c:idx val="0"/>
          <c:order val="0"/>
          <c:tx>
            <c:strRef>
              <c:f>Лист1!$B$1</c:f>
              <c:strCache>
                <c:ptCount val="1"/>
                <c:pt idx="0">
                  <c:v>Столбец1</c:v>
                </c:pt>
              </c:strCache>
            </c:strRef>
          </c:tx>
          <c:spPr>
            <a:ln w="12700">
              <a:solidFill>
                <a:sysClr val="windowText" lastClr="000000"/>
              </a:solidFill>
            </a:ln>
          </c:spPr>
          <c:explosion val="25"/>
          <c:dPt>
            <c:idx val="0"/>
            <c:bubble3D val="0"/>
            <c:spPr>
              <a:solidFill>
                <a:srgbClr val="1328F1"/>
              </a:solidFill>
              <a:ln w="12700">
                <a:solidFill>
                  <a:sysClr val="windowText" lastClr="000000"/>
                </a:solidFill>
              </a:ln>
            </c:spPr>
          </c:dPt>
          <c:dPt>
            <c:idx val="2"/>
            <c:bubble3D val="0"/>
            <c:spPr>
              <a:solidFill>
                <a:srgbClr val="92D050"/>
              </a:solidFill>
              <a:ln w="12700">
                <a:solidFill>
                  <a:sysClr val="windowText" lastClr="000000"/>
                </a:solidFill>
              </a:ln>
            </c:spPr>
          </c:dPt>
          <c:dPt>
            <c:idx val="3"/>
            <c:bubble3D val="0"/>
            <c:spPr>
              <a:solidFill>
                <a:srgbClr val="F47710"/>
              </a:solidFill>
              <a:ln w="12700">
                <a:solidFill>
                  <a:sysClr val="windowText" lastClr="000000"/>
                </a:solidFill>
              </a:ln>
            </c:spPr>
          </c:dPt>
          <c:dPt>
            <c:idx val="4"/>
            <c:bubble3D val="0"/>
            <c:spPr>
              <a:solidFill>
                <a:srgbClr val="FF00FF"/>
              </a:solidFill>
              <a:ln w="12700">
                <a:solidFill>
                  <a:sysClr val="windowText" lastClr="000000"/>
                </a:solidFill>
              </a:ln>
            </c:spPr>
          </c:dPt>
          <c:dPt>
            <c:idx val="5"/>
            <c:bubble3D val="0"/>
            <c:spPr>
              <a:solidFill>
                <a:srgbClr val="FFFF00"/>
              </a:solidFill>
              <a:ln w="12700">
                <a:solidFill>
                  <a:sysClr val="windowText" lastClr="000000"/>
                </a:solidFill>
              </a:ln>
            </c:spPr>
          </c:dPt>
          <c:dPt>
            <c:idx val="6"/>
            <c:bubble3D val="0"/>
            <c:spPr>
              <a:solidFill>
                <a:srgbClr val="00B0F0"/>
              </a:solidFill>
              <a:ln w="12700">
                <a:solidFill>
                  <a:sysClr val="windowText" lastClr="000000"/>
                </a:solidFill>
              </a:ln>
            </c:spPr>
          </c:dPt>
          <c:dPt>
            <c:idx val="8"/>
            <c:bubble3D val="0"/>
            <c:spPr>
              <a:solidFill>
                <a:srgbClr val="FFC000"/>
              </a:solidFill>
              <a:ln w="12700">
                <a:solidFill>
                  <a:sysClr val="windowText" lastClr="000000"/>
                </a:solidFill>
              </a:ln>
            </c:spPr>
          </c:dPt>
          <c:dPt>
            <c:idx val="9"/>
            <c:bubble3D val="0"/>
            <c:spPr>
              <a:solidFill>
                <a:srgbClr val="7030A0"/>
              </a:solidFill>
              <a:ln w="12700">
                <a:solidFill>
                  <a:sysClr val="windowText" lastClr="000000"/>
                </a:solidFill>
              </a:ln>
            </c:spPr>
          </c:dPt>
          <c:dPt>
            <c:idx val="10"/>
            <c:bubble3D val="0"/>
            <c:spPr>
              <a:solidFill>
                <a:srgbClr val="2EE6AD"/>
              </a:solidFill>
              <a:ln w="12700">
                <a:solidFill>
                  <a:sysClr val="windowText" lastClr="000000"/>
                </a:solidFill>
              </a:ln>
            </c:spPr>
          </c:dPt>
          <c:dPt>
            <c:idx val="11"/>
            <c:bubble3D val="0"/>
            <c:spPr>
              <a:solidFill>
                <a:srgbClr val="FF0000"/>
              </a:solidFill>
              <a:ln w="12700">
                <a:solidFill>
                  <a:sysClr val="windowText" lastClr="000000"/>
                </a:solidFill>
              </a:ln>
            </c:spPr>
          </c:dPt>
          <c:dPt>
            <c:idx val="12"/>
            <c:bubble3D val="0"/>
            <c:spPr>
              <a:solidFill>
                <a:srgbClr val="A5F3FB"/>
              </a:solidFill>
              <a:ln w="12700">
                <a:solidFill>
                  <a:sysClr val="windowText" lastClr="000000"/>
                </a:solidFill>
              </a:ln>
            </c:spPr>
          </c:dPt>
          <c:dLbls>
            <c:dLbl>
              <c:idx val="0"/>
              <c:layout>
                <c:manualLayout>
                  <c:x val="-5.0826834354015138E-2"/>
                  <c:y val="-5.6776267412141958E-2"/>
                </c:manualLayout>
              </c:layout>
              <c:showLegendKey val="0"/>
              <c:showVal val="0"/>
              <c:showCatName val="1"/>
              <c:showSerName val="0"/>
              <c:showPercent val="1"/>
              <c:showBubbleSize val="0"/>
            </c:dLbl>
            <c:dLbl>
              <c:idx val="1"/>
              <c:layout>
                <c:manualLayout>
                  <c:x val="2.5702464412957461E-2"/>
                  <c:y val="-0.13154133147200323"/>
                </c:manualLayout>
              </c:layout>
              <c:showLegendKey val="0"/>
              <c:showVal val="0"/>
              <c:showCatName val="1"/>
              <c:showSerName val="0"/>
              <c:showPercent val="1"/>
              <c:showBubbleSize val="0"/>
            </c:dLbl>
            <c:dLbl>
              <c:idx val="2"/>
              <c:layout>
                <c:manualLayout>
                  <c:x val="0.13726123434088036"/>
                  <c:y val="-0.1394276174070524"/>
                </c:manualLayout>
              </c:layout>
              <c:showLegendKey val="0"/>
              <c:showVal val="0"/>
              <c:showCatName val="1"/>
              <c:showSerName val="0"/>
              <c:showPercent val="1"/>
              <c:showBubbleSize val="0"/>
            </c:dLbl>
            <c:dLbl>
              <c:idx val="3"/>
              <c:layout>
                <c:manualLayout>
                  <c:x val="0.12441082305810498"/>
                  <c:y val="-2.2409062665435735E-2"/>
                </c:manualLayout>
              </c:layout>
              <c:showLegendKey val="0"/>
              <c:showVal val="0"/>
              <c:showCatName val="1"/>
              <c:showSerName val="0"/>
              <c:showPercent val="1"/>
              <c:showBubbleSize val="0"/>
            </c:dLbl>
            <c:dLbl>
              <c:idx val="4"/>
              <c:layout>
                <c:manualLayout>
                  <c:x val="9.9042146222930047E-2"/>
                  <c:y val="0.1169818076203704"/>
                </c:manualLayout>
              </c:layout>
              <c:showLegendKey val="0"/>
              <c:showVal val="0"/>
              <c:showCatName val="1"/>
              <c:showSerName val="0"/>
              <c:showPercent val="1"/>
              <c:showBubbleSize val="0"/>
            </c:dLbl>
            <c:dLbl>
              <c:idx val="5"/>
              <c:layout>
                <c:manualLayout>
                  <c:x val="4.9480026926297473E-2"/>
                  <c:y val="0.17171202676290875"/>
                </c:manualLayout>
              </c:layout>
              <c:showLegendKey val="0"/>
              <c:showVal val="0"/>
              <c:showCatName val="1"/>
              <c:showSerName val="0"/>
              <c:showPercent val="1"/>
              <c:showBubbleSize val="0"/>
            </c:dLbl>
            <c:dLbl>
              <c:idx val="6"/>
              <c:layout>
                <c:manualLayout>
                  <c:x val="9.8678477022345543E-2"/>
                  <c:y val="8.0395626974666498E-2"/>
                </c:manualLayout>
              </c:layout>
              <c:showLegendKey val="0"/>
              <c:showVal val="0"/>
              <c:showCatName val="1"/>
              <c:showSerName val="0"/>
              <c:showPercent val="1"/>
              <c:showBubbleSize val="0"/>
            </c:dLbl>
            <c:dLbl>
              <c:idx val="7"/>
              <c:layout>
                <c:manualLayout>
                  <c:x val="8.253846027550199E-2"/>
                  <c:y val="0.1029418526915989"/>
                </c:manualLayout>
              </c:layout>
              <c:showLegendKey val="0"/>
              <c:showVal val="0"/>
              <c:showCatName val="1"/>
              <c:showSerName val="0"/>
              <c:showPercent val="1"/>
              <c:showBubbleSize val="0"/>
            </c:dLbl>
            <c:dLbl>
              <c:idx val="8"/>
              <c:layout>
                <c:manualLayout>
                  <c:x val="-3.2899174150754426E-2"/>
                  <c:y val="0.1101316902591654"/>
                </c:manualLayout>
              </c:layout>
              <c:showLegendKey val="0"/>
              <c:showVal val="0"/>
              <c:showCatName val="1"/>
              <c:showSerName val="0"/>
              <c:showPercent val="1"/>
              <c:showBubbleSize val="0"/>
            </c:dLbl>
            <c:dLbl>
              <c:idx val="9"/>
              <c:layout>
                <c:manualLayout>
                  <c:x val="-0.10612113550166648"/>
                  <c:y val="9.6338178844112429E-2"/>
                </c:manualLayout>
              </c:layout>
              <c:showLegendKey val="0"/>
              <c:showVal val="0"/>
              <c:showCatName val="1"/>
              <c:showSerName val="0"/>
              <c:showPercent val="1"/>
              <c:showBubbleSize val="0"/>
            </c:dLbl>
            <c:dLbl>
              <c:idx val="10"/>
              <c:layout>
                <c:manualLayout>
                  <c:x val="-8.790418178534487E-2"/>
                  <c:y val="-4.6736246456457416E-2"/>
                </c:manualLayout>
              </c:layout>
              <c:showLegendKey val="0"/>
              <c:showVal val="0"/>
              <c:showCatName val="1"/>
              <c:showSerName val="0"/>
              <c:showPercent val="1"/>
              <c:showBubbleSize val="0"/>
            </c:dLbl>
            <c:dLbl>
              <c:idx val="11"/>
              <c:layout>
                <c:manualLayout>
                  <c:x val="-0.13480125437141874"/>
                  <c:y val="-8.6665432592220537E-2"/>
                </c:manualLayout>
              </c:layout>
              <c:showLegendKey val="0"/>
              <c:showVal val="0"/>
              <c:showCatName val="1"/>
              <c:showSerName val="0"/>
              <c:showPercent val="1"/>
              <c:showBubbleSize val="0"/>
            </c:dLbl>
            <c:dLbl>
              <c:idx val="12"/>
              <c:layout>
                <c:manualLayout>
                  <c:x val="-0.12500845551414452"/>
                  <c:y val="-3.9350468103302248E-2"/>
                </c:manualLayout>
              </c:layout>
              <c:showLegendKey val="0"/>
              <c:showVal val="0"/>
              <c:showCatName val="1"/>
              <c:showSerName val="0"/>
              <c:showPercent val="1"/>
              <c:showBubbleSize val="0"/>
            </c:dLbl>
            <c:dLbl>
              <c:idx val="13"/>
              <c:layout>
                <c:manualLayout>
                  <c:x val="-6.7639187613903168E-2"/>
                  <c:y val="-0.11269811512814135"/>
                </c:manualLayout>
              </c:layout>
              <c:showLegendKey val="0"/>
              <c:showVal val="0"/>
              <c:showCatName val="1"/>
              <c:showSerName val="0"/>
              <c:showPercent val="1"/>
              <c:showBubbleSize val="0"/>
            </c:dLbl>
            <c:numFmt formatCode="0.0%" sourceLinked="0"/>
            <c:txPr>
              <a:bodyPr/>
              <a:lstStyle/>
              <a:p>
                <a:pPr>
                  <a:defRPr b="1" i="0" baseline="0">
                    <a:latin typeface="Times New Roman" pitchFamily="18" charset="0"/>
                  </a:defRPr>
                </a:pPr>
                <a:endParaRPr lang="ru-RU"/>
              </a:p>
            </c:txPr>
            <c:showLegendKey val="0"/>
            <c:showVal val="0"/>
            <c:showCatName val="1"/>
            <c:showSerName val="0"/>
            <c:showPercent val="1"/>
            <c:showBubbleSize val="0"/>
            <c:showLeaderLines val="1"/>
          </c:dLbls>
          <c:cat>
            <c:strRef>
              <c:f>Лист1!$A$2:$A$15</c:f>
              <c:strCache>
                <c:ptCount val="14"/>
                <c:pt idx="0">
                  <c:v>Развитие с/х и регулирование рынковс/х продукции, сырья и продовольствия </c:v>
                </c:pt>
                <c:pt idx="1">
                  <c:v>Развитие системы социальной защиты населения </c:v>
                </c:pt>
                <c:pt idx="2">
                  <c:v>Развитие и сохранение культуры и искусства </c:v>
                </c:pt>
                <c:pt idx="3">
                  <c:v>Охрана окружающей среды </c:v>
                </c:pt>
                <c:pt idx="4">
                  <c:v>Модернизация ЖКК, энергосбережение и повышение энергетической эффективности</c:v>
                </c:pt>
                <c:pt idx="5">
                  <c:v>Развитие здравоохранения </c:v>
                </c:pt>
                <c:pt idx="6">
                  <c:v>Обесечение доступным и качественным жильем населения </c:v>
                </c:pt>
                <c:pt idx="7">
                  <c:v>Экономическое развитие и инновационная экономика </c:v>
                </c:pt>
                <c:pt idx="8">
                  <c:v>Развитие физической культуры и спорта на территории </c:v>
                </c:pt>
                <c:pt idx="9">
                  <c:v>Повышение эффект-ти деят-ти органов государственной власти и управления </c:v>
                </c:pt>
                <c:pt idx="10">
                  <c:v>Снижение рисков и смягчение последствий чрезвычайных ситуаций природного и техногеннго характера</c:v>
                </c:pt>
                <c:pt idx="11">
                  <c:v>Развитие образования </c:v>
                </c:pt>
                <c:pt idx="12">
                  <c:v>Развитие транспортной системы</c:v>
                </c:pt>
                <c:pt idx="13">
                  <c:v>Непрограммные расходы</c:v>
                </c:pt>
              </c:strCache>
            </c:strRef>
          </c:cat>
          <c:val>
            <c:numRef>
              <c:f>Лист1!$B$2:$B$15</c:f>
              <c:numCache>
                <c:formatCode>General</c:formatCode>
                <c:ptCount val="14"/>
                <c:pt idx="0">
                  <c:v>2194140.4</c:v>
                </c:pt>
                <c:pt idx="1">
                  <c:v>9055640.1999999993</c:v>
                </c:pt>
                <c:pt idx="2">
                  <c:v>278432.8</c:v>
                </c:pt>
                <c:pt idx="3">
                  <c:v>1082517.3999999999</c:v>
                </c:pt>
                <c:pt idx="4">
                  <c:v>2461694.5</c:v>
                </c:pt>
                <c:pt idx="5">
                  <c:v>7491587.9000000004</c:v>
                </c:pt>
                <c:pt idx="6">
                  <c:v>1995581.3</c:v>
                </c:pt>
                <c:pt idx="7">
                  <c:v>1187401.8999999999</c:v>
                </c:pt>
                <c:pt idx="8">
                  <c:v>265496</c:v>
                </c:pt>
                <c:pt idx="9">
                  <c:v>6448611.9000000004</c:v>
                </c:pt>
                <c:pt idx="10">
                  <c:v>847203.6</c:v>
                </c:pt>
                <c:pt idx="11">
                  <c:v>8435965.5999999996</c:v>
                </c:pt>
                <c:pt idx="12">
                  <c:v>5073947.2</c:v>
                </c:pt>
                <c:pt idx="13">
                  <c:v>778611.1</c:v>
                </c:pt>
              </c:numCache>
            </c:numRef>
          </c:val>
        </c:ser>
        <c:dLbls>
          <c:showLegendKey val="0"/>
          <c:showVal val="0"/>
          <c:showCatName val="0"/>
          <c:showSerName val="0"/>
          <c:showPercent val="0"/>
          <c:showBubbleSize val="0"/>
          <c:showLeaderLines val="1"/>
        </c:dLbls>
      </c:pie3DChart>
    </c:plotArea>
    <c:plotVisOnly val="1"/>
    <c:dispBlanksAs val="gap"/>
    <c:showDLblsOverMax val="0"/>
  </c:chart>
  <c:spPr>
    <a:gradFill flip="none" rotWithShape="1">
      <a:gsLst>
        <a:gs pos="50000">
          <a:schemeClr val="accent6">
            <a:lumMod val="20000"/>
            <a:lumOff val="80000"/>
            <a:alpha val="37000"/>
          </a:schemeClr>
        </a:gs>
        <a:gs pos="78000">
          <a:srgbClr val="FEE7F2"/>
        </a:gs>
        <a:gs pos="88000">
          <a:srgbClr val="FBD49C"/>
        </a:gs>
        <a:gs pos="100000">
          <a:srgbClr val="FEE7F2"/>
        </a:gs>
      </a:gsLst>
      <a:lin ang="2700000" scaled="0"/>
      <a:tileRect/>
    </a:gradFill>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8955147081079444E-2"/>
          <c:y val="4.6038948835099319E-2"/>
          <c:w val="0.57722424729857702"/>
          <c:h val="0.86512374842033635"/>
        </c:manualLayout>
      </c:layout>
      <c:pieChart>
        <c:varyColors val="1"/>
        <c:ser>
          <c:idx val="0"/>
          <c:order val="0"/>
          <c:spPr>
            <a:ln>
              <a:solidFill>
                <a:schemeClr val="tx1"/>
              </a:solidFill>
            </a:ln>
          </c:spPr>
          <c:explosion val="53"/>
          <c:dPt>
            <c:idx val="0"/>
            <c:bubble3D val="0"/>
            <c:spPr>
              <a:solidFill>
                <a:srgbClr val="00B050"/>
              </a:solidFill>
              <a:ln>
                <a:solidFill>
                  <a:schemeClr val="tx1"/>
                </a:solidFill>
              </a:ln>
            </c:spPr>
          </c:dPt>
          <c:dPt>
            <c:idx val="2"/>
            <c:bubble3D val="0"/>
            <c:spPr>
              <a:solidFill>
                <a:srgbClr val="FFC000"/>
              </a:solidFill>
              <a:ln>
                <a:solidFill>
                  <a:schemeClr val="tx1"/>
                </a:solidFill>
              </a:ln>
            </c:spPr>
          </c:dPt>
          <c:dPt>
            <c:idx val="3"/>
            <c:bubble3D val="0"/>
            <c:explosion val="33"/>
            <c:spPr>
              <a:gradFill flip="none" rotWithShape="1">
                <a:gsLst>
                  <a:gs pos="0">
                    <a:srgbClr val="03D4A8"/>
                  </a:gs>
                  <a:gs pos="25000">
                    <a:srgbClr val="21D6E0"/>
                  </a:gs>
                  <a:gs pos="75000">
                    <a:srgbClr val="0087E6"/>
                  </a:gs>
                  <a:gs pos="100000">
                    <a:srgbClr val="005CBF"/>
                  </a:gs>
                </a:gsLst>
                <a:lin ang="2700000" scaled="0"/>
                <a:tileRect/>
              </a:gradFill>
              <a:ln>
                <a:solidFill>
                  <a:schemeClr val="tx1"/>
                </a:solidFill>
              </a:ln>
            </c:spPr>
          </c:dPt>
          <c:dPt>
            <c:idx val="4"/>
            <c:bubble3D val="0"/>
            <c:spPr>
              <a:solidFill>
                <a:srgbClr val="FF0000"/>
              </a:solidFill>
              <a:ln>
                <a:solidFill>
                  <a:schemeClr val="tx1"/>
                </a:solidFill>
              </a:ln>
            </c:spPr>
          </c:dPt>
          <c:dLbls>
            <c:dLbl>
              <c:idx val="0"/>
              <c:layout>
                <c:manualLayout>
                  <c:x val="0.20102679115574951"/>
                  <c:y val="-2.3277721472934696E-2"/>
                </c:manualLayout>
              </c:layout>
              <c:tx>
                <c:rich>
                  <a:bodyPr/>
                  <a:lstStyle/>
                  <a:p>
                    <a:r>
                      <a:rPr lang="ru-RU" sz="1050" b="1"/>
                      <a:t>Р</a:t>
                    </a:r>
                    <a:r>
                      <a:rPr lang="ru-RU" b="1"/>
                      <a:t>асходы на обеспечение функций исполнительных органов государственной власти; </a:t>
                    </a:r>
                  </a:p>
                  <a:p>
                    <a:r>
                      <a:rPr lang="ru-RU" b="1"/>
                      <a:t>77,5</a:t>
                    </a:r>
                    <a:endParaRPr lang="ru-RU"/>
                  </a:p>
                </c:rich>
              </c:tx>
              <c:showLegendKey val="0"/>
              <c:showVal val="1"/>
              <c:showCatName val="1"/>
              <c:showSerName val="0"/>
              <c:showPercent val="0"/>
              <c:showBubbleSize val="0"/>
            </c:dLbl>
            <c:dLbl>
              <c:idx val="1"/>
              <c:layout>
                <c:manualLayout>
                  <c:x val="0.13349698934691986"/>
                  <c:y val="0.29510199838881523"/>
                </c:manualLayout>
              </c:layout>
              <c:tx>
                <c:rich>
                  <a:bodyPr/>
                  <a:lstStyle/>
                  <a:p>
                    <a:r>
                      <a:rPr lang="ru-RU" sz="1050" b="1"/>
                      <a:t>П</a:t>
                    </a:r>
                    <a:r>
                      <a:rPr lang="ru-RU" b="1"/>
                      <a:t>ублично-нормативные обязательства; 9,2</a:t>
                    </a:r>
                    <a:endParaRPr lang="ru-RU"/>
                  </a:p>
                </c:rich>
              </c:tx>
              <c:showLegendKey val="0"/>
              <c:showVal val="1"/>
              <c:showCatName val="1"/>
              <c:showSerName val="0"/>
              <c:showPercent val="0"/>
              <c:showBubbleSize val="0"/>
            </c:dLbl>
            <c:dLbl>
              <c:idx val="2"/>
              <c:layout>
                <c:manualLayout>
                  <c:x val="-0.2077324622347903"/>
                  <c:y val="0.19966165120449053"/>
                </c:manualLayout>
              </c:layout>
              <c:tx>
                <c:rich>
                  <a:bodyPr/>
                  <a:lstStyle/>
                  <a:p>
                    <a:r>
                      <a:rPr lang="ru-RU" sz="1050" b="1"/>
                      <a:t>М</a:t>
                    </a:r>
                    <a:r>
                      <a:rPr lang="ru-RU" b="1"/>
                      <a:t>ежбюджетные трансферты; 89,4</a:t>
                    </a:r>
                    <a:endParaRPr lang="ru-RU"/>
                  </a:p>
                </c:rich>
              </c:tx>
              <c:showLegendKey val="0"/>
              <c:showVal val="1"/>
              <c:showCatName val="1"/>
              <c:showSerName val="0"/>
              <c:showPercent val="0"/>
              <c:showBubbleSize val="0"/>
            </c:dLbl>
            <c:dLbl>
              <c:idx val="3"/>
              <c:layout>
                <c:manualLayout>
                  <c:x val="5.8212630828553835E-4"/>
                  <c:y val="-0.33241022649946539"/>
                </c:manualLayout>
              </c:layout>
              <c:tx>
                <c:rich>
                  <a:bodyPr/>
                  <a:lstStyle/>
                  <a:p>
                    <a:r>
                      <a:rPr lang="ru-RU" sz="1050" b="1"/>
                      <a:t>С</a:t>
                    </a:r>
                    <a:r>
                      <a:rPr lang="ru-RU" b="1"/>
                      <a:t>убсидии юридическим лицам; </a:t>
                    </a:r>
                  </a:p>
                  <a:p>
                    <a:r>
                      <a:rPr lang="ru-RU" b="1"/>
                      <a:t>1881,1</a:t>
                    </a:r>
                    <a:endParaRPr lang="ru-RU"/>
                  </a:p>
                </c:rich>
              </c:tx>
              <c:showLegendKey val="0"/>
              <c:showVal val="1"/>
              <c:showCatName val="1"/>
              <c:showSerName val="0"/>
              <c:showPercent val="0"/>
              <c:showBubbleSize val="0"/>
            </c:dLbl>
            <c:dLbl>
              <c:idx val="4"/>
              <c:layout>
                <c:manualLayout>
                  <c:x val="-0.16371273250286439"/>
                  <c:y val="-0.23231101062862192"/>
                </c:manualLayout>
              </c:layout>
              <c:tx>
                <c:rich>
                  <a:bodyPr/>
                  <a:lstStyle/>
                  <a:p>
                    <a:r>
                      <a:rPr lang="ru-RU" sz="1050" b="1"/>
                      <a:t>С</a:t>
                    </a:r>
                    <a:r>
                      <a:rPr lang="ru-RU" b="1"/>
                      <a:t>одержание подведомственной сети учреждений; 127,5</a:t>
                    </a:r>
                    <a:endParaRPr lang="ru-RU"/>
                  </a:p>
                </c:rich>
              </c:tx>
              <c:showLegendKey val="0"/>
              <c:showVal val="1"/>
              <c:showCatName val="1"/>
              <c:showSerName val="0"/>
              <c:showPercent val="0"/>
              <c:showBubbleSize val="0"/>
            </c:dLbl>
            <c:dLbl>
              <c:idx val="5"/>
              <c:layout>
                <c:manualLayout>
                  <c:x val="0.12580466915319796"/>
                  <c:y val="-0.25091655622255138"/>
                </c:manualLayout>
              </c:layout>
              <c:tx>
                <c:rich>
                  <a:bodyPr/>
                  <a:lstStyle/>
                  <a:p>
                    <a:r>
                      <a:rPr lang="ru-RU" sz="1050" b="1"/>
                      <a:t>П</a:t>
                    </a:r>
                    <a:r>
                      <a:rPr lang="ru-RU" b="1"/>
                      <a:t>рочие расходы; 9,4</a:t>
                    </a:r>
                    <a:endParaRPr lang="ru-RU"/>
                  </a:p>
                </c:rich>
              </c:tx>
              <c:showLegendKey val="0"/>
              <c:showVal val="1"/>
              <c:showCatName val="1"/>
              <c:showSerName val="0"/>
              <c:showPercent val="0"/>
              <c:showBubbleSize val="0"/>
            </c:dLbl>
            <c:numFmt formatCode="0.0" sourceLinked="0"/>
            <c:txPr>
              <a:bodyPr/>
              <a:lstStyle/>
              <a:p>
                <a:pPr>
                  <a:defRPr sz="1050" b="1">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dLbls>
          <c:cat>
            <c:strRef>
              <c:f>Лист1!$A$2:$A$7</c:f>
              <c:strCache>
                <c:ptCount val="6"/>
                <c:pt idx="0">
                  <c:v>Расходы на обеспечение функций исполнительных органов государственной власти</c:v>
                </c:pt>
                <c:pt idx="1">
                  <c:v>Публично-нормативные обязательства</c:v>
                </c:pt>
                <c:pt idx="2">
                  <c:v>Межбюджетные трансферты</c:v>
                </c:pt>
                <c:pt idx="3">
                  <c:v>Субсидии юридическим лицам</c:v>
                </c:pt>
                <c:pt idx="4">
                  <c:v>Содержание подведомственной сети учреждений</c:v>
                </c:pt>
                <c:pt idx="5">
                  <c:v>Прочие расходы</c:v>
                </c:pt>
              </c:strCache>
            </c:strRef>
          </c:cat>
          <c:val>
            <c:numRef>
              <c:f>Лист1!$B$2:$B$7</c:f>
              <c:numCache>
                <c:formatCode>0.0</c:formatCode>
                <c:ptCount val="6"/>
                <c:pt idx="0">
                  <c:v>77521.600000000006</c:v>
                </c:pt>
                <c:pt idx="1">
                  <c:v>9167</c:v>
                </c:pt>
                <c:pt idx="2">
                  <c:v>89377.1</c:v>
                </c:pt>
                <c:pt idx="3">
                  <c:v>1881155.7</c:v>
                </c:pt>
                <c:pt idx="4">
                  <c:v>127480.2</c:v>
                </c:pt>
                <c:pt idx="5">
                  <c:v>9438.7000000000007</c:v>
                </c:pt>
              </c:numCache>
            </c:numRef>
          </c:val>
        </c:ser>
        <c:dLbls>
          <c:showLegendKey val="0"/>
          <c:showVal val="0"/>
          <c:showCatName val="0"/>
          <c:showSerName val="0"/>
          <c:showPercent val="0"/>
          <c:showBubbleSize val="0"/>
          <c:showLeaderLines val="1"/>
        </c:dLbls>
        <c:firstSliceAng val="90"/>
      </c:pieChart>
    </c:plotArea>
    <c:plotVisOnly val="1"/>
    <c:dispBlanksAs val="gap"/>
    <c:showDLblsOverMax val="0"/>
  </c:chart>
  <c:spPr>
    <a:noFill/>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10175772064862011"/>
          <c:w val="0.82407407407407407"/>
          <c:h val="0.79656531033621214"/>
        </c:manualLayout>
      </c:layout>
      <c:pie3DChart>
        <c:varyColors val="1"/>
        <c:ser>
          <c:idx val="0"/>
          <c:order val="0"/>
          <c:tx>
            <c:strRef>
              <c:f>Лист1!$B$1</c:f>
              <c:strCache>
                <c:ptCount val="1"/>
                <c:pt idx="0">
                  <c:v>Столбец1</c:v>
                </c:pt>
              </c:strCache>
            </c:strRef>
          </c:tx>
          <c:spPr>
            <a:ln w="12700">
              <a:solidFill>
                <a:sysClr val="windowText" lastClr="000000"/>
              </a:solidFill>
            </a:ln>
          </c:spPr>
          <c:explosion val="25"/>
          <c:dPt>
            <c:idx val="0"/>
            <c:bubble3D val="0"/>
            <c:spPr>
              <a:solidFill>
                <a:schemeClr val="accent5">
                  <a:lumMod val="60000"/>
                  <a:lumOff val="40000"/>
                </a:schemeClr>
              </a:solidFill>
              <a:ln w="12700">
                <a:solidFill>
                  <a:sysClr val="windowText" lastClr="000000"/>
                </a:solidFill>
              </a:ln>
            </c:spPr>
          </c:dPt>
          <c:dPt>
            <c:idx val="2"/>
            <c:bubble3D val="0"/>
            <c:explosion val="18"/>
            <c:spPr>
              <a:solidFill>
                <a:srgbClr val="92D050"/>
              </a:solidFill>
              <a:ln w="12700">
                <a:solidFill>
                  <a:sysClr val="windowText" lastClr="000000"/>
                </a:solidFill>
              </a:ln>
            </c:spPr>
          </c:dPt>
          <c:dPt>
            <c:idx val="3"/>
            <c:bubble3D val="0"/>
            <c:explosion val="6"/>
            <c:spPr>
              <a:solidFill>
                <a:srgbClr val="7030A0"/>
              </a:solidFill>
              <a:ln w="12700">
                <a:solidFill>
                  <a:sysClr val="windowText" lastClr="000000"/>
                </a:solidFill>
              </a:ln>
            </c:spPr>
          </c:dPt>
          <c:dPt>
            <c:idx val="4"/>
            <c:bubble3D val="0"/>
            <c:spPr>
              <a:solidFill>
                <a:srgbClr val="FFC000"/>
              </a:solidFill>
              <a:ln w="12700">
                <a:solidFill>
                  <a:sysClr val="windowText" lastClr="000000"/>
                </a:solidFill>
              </a:ln>
            </c:spPr>
          </c:dPt>
          <c:dLbls>
            <c:dLbl>
              <c:idx val="0"/>
              <c:layout>
                <c:manualLayout>
                  <c:x val="6.5098242927967342E-2"/>
                  <c:y val="1.8717444489828573E-2"/>
                </c:manualLayout>
              </c:layout>
              <c:tx>
                <c:rich>
                  <a:bodyPr/>
                  <a:lstStyle/>
                  <a:p>
                    <a:r>
                      <a:rPr lang="ru-RU"/>
                      <a:t>Расходы на обеспечение деятельности государственных учреждений; 1897,7</a:t>
                    </a:r>
                  </a:p>
                </c:rich>
              </c:tx>
              <c:showLegendKey val="1"/>
              <c:showVal val="1"/>
              <c:showCatName val="1"/>
              <c:showSerName val="0"/>
              <c:showPercent val="0"/>
              <c:showBubbleSize val="0"/>
            </c:dLbl>
            <c:dLbl>
              <c:idx val="1"/>
              <c:layout>
                <c:manualLayout>
                  <c:x val="-1.9721493146689998E-4"/>
                  <c:y val="9.6305497889637964E-2"/>
                </c:manualLayout>
              </c:layout>
              <c:tx>
                <c:rich>
                  <a:bodyPr/>
                  <a:lstStyle/>
                  <a:p>
                    <a:r>
                      <a:rPr lang="ru-RU"/>
                      <a:t>Расходы на обеспечение функций исполнительных органов государственной власти; 54,5</a:t>
                    </a:r>
                  </a:p>
                </c:rich>
              </c:tx>
              <c:showLegendKey val="1"/>
              <c:showVal val="1"/>
              <c:showCatName val="1"/>
              <c:showSerName val="0"/>
              <c:showPercent val="0"/>
              <c:showBubbleSize val="0"/>
            </c:dLbl>
            <c:dLbl>
              <c:idx val="2"/>
              <c:layout>
                <c:manualLayout>
                  <c:x val="-7.9855825313502396E-2"/>
                  <c:y val="0.15179643954482994"/>
                </c:manualLayout>
              </c:layout>
              <c:tx>
                <c:rich>
                  <a:bodyPr/>
                  <a:lstStyle/>
                  <a:p>
                    <a:r>
                      <a:rPr lang="ru-RU"/>
                      <a:t>Социальная поддержка семьи и детей; 2313,0</a:t>
                    </a:r>
                  </a:p>
                </c:rich>
              </c:tx>
              <c:showLegendKey val="1"/>
              <c:showVal val="1"/>
              <c:showCatName val="1"/>
              <c:showSerName val="0"/>
              <c:showPercent val="0"/>
              <c:showBubbleSize val="0"/>
            </c:dLbl>
            <c:dLbl>
              <c:idx val="3"/>
              <c:layout>
                <c:manualLayout>
                  <c:x val="4.0654527559055118E-2"/>
                  <c:y val="0.297379557771424"/>
                </c:manualLayout>
              </c:layout>
              <c:tx>
                <c:rich>
                  <a:bodyPr/>
                  <a:lstStyle/>
                  <a:p>
                    <a:r>
                      <a:rPr lang="ru-RU"/>
                      <a:t>Социальная поддержка отдельных категорий граждан; 4515,0</a:t>
                    </a:r>
                  </a:p>
                </c:rich>
              </c:tx>
              <c:showLegendKey val="1"/>
              <c:showVal val="1"/>
              <c:showCatName val="1"/>
              <c:showSerName val="0"/>
              <c:showPercent val="0"/>
              <c:showBubbleSize val="0"/>
            </c:dLbl>
            <c:dLbl>
              <c:idx val="4"/>
              <c:layout/>
              <c:tx>
                <c:rich>
                  <a:bodyPr/>
                  <a:lstStyle/>
                  <a:p>
                    <a:r>
                      <a:rPr lang="ru-RU"/>
                      <a:t>Реабилитация и обеспечение жизнедеятельности инвалидов; 275,5</a:t>
                    </a:r>
                  </a:p>
                </c:rich>
              </c:tx>
              <c:showLegendKey val="1"/>
              <c:showVal val="1"/>
              <c:showCatName val="1"/>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showLegendKey val="1"/>
            <c:showVal val="1"/>
            <c:showCatName val="1"/>
            <c:showSerName val="0"/>
            <c:showPercent val="0"/>
            <c:showBubbleSize val="0"/>
            <c:showLeaderLines val="1"/>
          </c:dLbls>
          <c:cat>
            <c:strRef>
              <c:f>Лист1!$A$2:$A$6</c:f>
              <c:strCache>
                <c:ptCount val="5"/>
                <c:pt idx="0">
                  <c:v>Расходы на обеспечение деятельности государственных учреждений</c:v>
                </c:pt>
                <c:pt idx="1">
                  <c:v>Расходы на обеспечение функций исполнительных органов государственной власти</c:v>
                </c:pt>
                <c:pt idx="2">
                  <c:v>Социальная поддержка семьи и детей</c:v>
                </c:pt>
                <c:pt idx="3">
                  <c:v>Социальная поддержка отдельных категорий граждан</c:v>
                </c:pt>
                <c:pt idx="4">
                  <c:v>Реабилитация и обеспечение жизнедеятельности инвалидов</c:v>
                </c:pt>
              </c:strCache>
            </c:strRef>
          </c:cat>
          <c:val>
            <c:numRef>
              <c:f>Лист1!$B$2:$B$6</c:f>
              <c:numCache>
                <c:formatCode>General</c:formatCode>
                <c:ptCount val="5"/>
                <c:pt idx="0">
                  <c:v>1897661.9</c:v>
                </c:pt>
                <c:pt idx="1">
                  <c:v>54479.5</c:v>
                </c:pt>
                <c:pt idx="2">
                  <c:v>2313013.7000000002</c:v>
                </c:pt>
                <c:pt idx="3">
                  <c:v>4515023.9000000004</c:v>
                </c:pt>
                <c:pt idx="4">
                  <c:v>275461.2</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80"/>
      <c:rotY val="0"/>
      <c:rAngAx val="0"/>
      <c:perspective val="30"/>
    </c:view3D>
    <c:floor>
      <c:thickness val="0"/>
    </c:floor>
    <c:sideWall>
      <c:thickness val="0"/>
    </c:sideWall>
    <c:backWall>
      <c:thickness val="0"/>
    </c:backWall>
    <c:plotArea>
      <c:layout>
        <c:manualLayout>
          <c:layoutTarget val="inner"/>
          <c:xMode val="edge"/>
          <c:yMode val="edge"/>
          <c:x val="0.17592593949012186"/>
          <c:y val="0.15170912459471977"/>
          <c:w val="0.82407407407407407"/>
          <c:h val="0.79656531033621214"/>
        </c:manualLayout>
      </c:layout>
      <c:pie3DChart>
        <c:varyColors val="1"/>
        <c:ser>
          <c:idx val="0"/>
          <c:order val="0"/>
          <c:tx>
            <c:strRef>
              <c:f>Лист1!$B$1</c:f>
              <c:strCache>
                <c:ptCount val="1"/>
                <c:pt idx="0">
                  <c:v>Столбец1</c:v>
                </c:pt>
              </c:strCache>
            </c:strRef>
          </c:tx>
          <c:spPr>
            <a:ln w="19050">
              <a:solidFill>
                <a:sysClr val="windowText" lastClr="000000"/>
              </a:solidFill>
            </a:ln>
          </c:spPr>
          <c:explosion val="25"/>
          <c:dPt>
            <c:idx val="0"/>
            <c:bubble3D val="0"/>
            <c:explosion val="0"/>
            <c:spPr>
              <a:gradFill>
                <a:gsLst>
                  <a:gs pos="47100">
                    <a:srgbClr val="12B3E3"/>
                  </a:gs>
                  <a:gs pos="0">
                    <a:srgbClr val="03D4A8"/>
                  </a:gs>
                  <a:gs pos="25000">
                    <a:srgbClr val="21D6E0"/>
                  </a:gs>
                  <a:gs pos="75000">
                    <a:srgbClr val="0087E6"/>
                  </a:gs>
                  <a:gs pos="100000">
                    <a:srgbClr val="005CBF"/>
                  </a:gs>
                </a:gsLst>
                <a:lin ang="7200000" scaled="0"/>
              </a:gradFill>
              <a:ln w="19050">
                <a:solidFill>
                  <a:sysClr val="windowText" lastClr="000000"/>
                </a:solidFill>
              </a:ln>
            </c:spPr>
          </c:dPt>
          <c:dPt>
            <c:idx val="1"/>
            <c:bubble3D val="0"/>
            <c:spPr>
              <a:solidFill>
                <a:schemeClr val="accent6">
                  <a:lumMod val="75000"/>
                </a:schemeClr>
              </a:solidFill>
              <a:ln w="19050">
                <a:solidFill>
                  <a:sysClr val="windowText" lastClr="000000"/>
                </a:solidFill>
              </a:ln>
            </c:spPr>
          </c:dPt>
          <c:dPt>
            <c:idx val="2"/>
            <c:bubble3D val="0"/>
            <c:spPr>
              <a:solidFill>
                <a:srgbClr val="00B050"/>
              </a:solidFill>
              <a:ln w="19050">
                <a:solidFill>
                  <a:sysClr val="windowText" lastClr="000000"/>
                </a:solidFill>
              </a:ln>
            </c:spPr>
          </c:dPt>
          <c:dPt>
            <c:idx val="3"/>
            <c:bubble3D val="0"/>
            <c:spPr>
              <a:solidFill>
                <a:schemeClr val="tx2">
                  <a:lumMod val="75000"/>
                </a:schemeClr>
              </a:solidFill>
              <a:ln w="19050">
                <a:solidFill>
                  <a:sysClr val="windowText" lastClr="000000"/>
                </a:solidFill>
              </a:ln>
            </c:spPr>
          </c:dPt>
          <c:dPt>
            <c:idx val="4"/>
            <c:bubble3D val="0"/>
            <c:spPr>
              <a:solidFill>
                <a:srgbClr val="FFC000"/>
              </a:solidFill>
              <a:ln w="19050">
                <a:solidFill>
                  <a:sysClr val="windowText" lastClr="000000"/>
                </a:solidFill>
              </a:ln>
            </c:spPr>
          </c:dPt>
          <c:dLbls>
            <c:dLbl>
              <c:idx val="0"/>
              <c:layout>
                <c:manualLayout>
                  <c:x val="3.6218844737431075E-2"/>
                  <c:y val="-0.16778531025867754"/>
                </c:manualLayout>
              </c:layout>
              <c:tx>
                <c:rich>
                  <a:bodyPr/>
                  <a:lstStyle/>
                  <a:p>
                    <a:r>
                      <a:rPr lang="ru-RU"/>
                      <a:t>Расходы на обеспечение деятельности государственных учреждений; 175,1</a:t>
                    </a:r>
                  </a:p>
                </c:rich>
              </c:tx>
              <c:showLegendKey val="1"/>
              <c:showVal val="1"/>
              <c:showCatName val="1"/>
              <c:showSerName val="0"/>
              <c:showPercent val="0"/>
              <c:showBubbleSize val="0"/>
            </c:dLbl>
            <c:dLbl>
              <c:idx val="1"/>
              <c:layout>
                <c:manualLayout>
                  <c:x val="0.10686915298378401"/>
                  <c:y val="0.14634665319241513"/>
                </c:manualLayout>
              </c:layout>
              <c:tx>
                <c:rich>
                  <a:bodyPr/>
                  <a:lstStyle/>
                  <a:p>
                    <a:r>
                      <a:rPr lang="ru-RU"/>
                      <a:t>Расходы на обеспечение функций исполнительных органов государственной власти; 24,3</a:t>
                    </a:r>
                  </a:p>
                </c:rich>
              </c:tx>
              <c:showLegendKey val="1"/>
              <c:showVal val="1"/>
              <c:showCatName val="1"/>
              <c:showSerName val="0"/>
              <c:showPercent val="0"/>
              <c:showBubbleSize val="0"/>
            </c:dLbl>
            <c:dLbl>
              <c:idx val="2"/>
              <c:layout>
                <c:manualLayout>
                  <c:x val="-0.13346208468127529"/>
                  <c:y val="1.6317599337515965E-2"/>
                </c:manualLayout>
              </c:layout>
              <c:tx>
                <c:rich>
                  <a:bodyPr/>
                  <a:lstStyle/>
                  <a:p>
                    <a:r>
                      <a:rPr lang="ru-RU"/>
                      <a:t>Мероприятия по направлениям реализации государственной программы; 21,3</a:t>
                    </a:r>
                  </a:p>
                </c:rich>
              </c:tx>
              <c:showLegendKey val="1"/>
              <c:showVal val="1"/>
              <c:showCatName val="1"/>
              <c:showSerName val="0"/>
              <c:showPercent val="0"/>
              <c:showBubbleSize val="0"/>
            </c:dLbl>
            <c:dLbl>
              <c:idx val="3"/>
              <c:layout>
                <c:manualLayout>
                  <c:x val="-4.5478036175710612E-2"/>
                  <c:y val="-0.19462012435611323"/>
                </c:manualLayout>
              </c:layout>
              <c:tx>
                <c:rich>
                  <a:bodyPr/>
                  <a:lstStyle/>
                  <a:p>
                    <a:r>
                      <a:rPr lang="ru-RU"/>
                      <a:t>Реализация мероприятий ФЦП "Культура России (2012-2018 годы)"; 7,2</a:t>
                    </a:r>
                  </a:p>
                </c:rich>
              </c:tx>
              <c:showLegendKey val="1"/>
              <c:showVal val="1"/>
              <c:showCatName val="1"/>
              <c:showSerName val="0"/>
              <c:showPercent val="0"/>
              <c:showBubbleSize val="0"/>
            </c:dLbl>
            <c:dLbl>
              <c:idx val="4"/>
              <c:layout>
                <c:manualLayout>
                  <c:x val="0.27680628293556331"/>
                  <c:y val="-1.3368141816497536E-2"/>
                </c:manualLayout>
              </c:layout>
              <c:tx>
                <c:rich>
                  <a:bodyPr/>
                  <a:lstStyle/>
                  <a:p>
                    <a:r>
                      <a:rPr lang="ru-RU"/>
                      <a:t>Капитальные вложения в объекты государственной и муниципальной собственности; 50,6</a:t>
                    </a:r>
                  </a:p>
                </c:rich>
              </c:tx>
              <c:showLegendKey val="1"/>
              <c:showVal val="1"/>
              <c:showCatName val="1"/>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showLegendKey val="1"/>
            <c:showVal val="1"/>
            <c:showCatName val="1"/>
            <c:showSerName val="0"/>
            <c:showPercent val="0"/>
            <c:showBubbleSize val="0"/>
            <c:showLeaderLines val="1"/>
          </c:dLbls>
          <c:cat>
            <c:strRef>
              <c:f>Лист1!$A$2:$A$6</c:f>
              <c:strCache>
                <c:ptCount val="5"/>
                <c:pt idx="0">
                  <c:v>Расходы на обеспечение деятельности государственных учреждений</c:v>
                </c:pt>
                <c:pt idx="1">
                  <c:v>Расходы на обеспечение функций исполнительных органов государственной власти</c:v>
                </c:pt>
                <c:pt idx="2">
                  <c:v>Мероприятия по направлениям реализации государственной программы</c:v>
                </c:pt>
                <c:pt idx="3">
                  <c:v>Реализация мероприятий ФЦП "Культура России (2012-2018 годы)"</c:v>
                </c:pt>
                <c:pt idx="4">
                  <c:v>Капитальные вложения в объекты государственной и муниципальной собственности</c:v>
                </c:pt>
              </c:strCache>
            </c:strRef>
          </c:cat>
          <c:val>
            <c:numRef>
              <c:f>Лист1!$B$2:$B$6</c:f>
              <c:numCache>
                <c:formatCode>General</c:formatCode>
                <c:ptCount val="5"/>
                <c:pt idx="0">
                  <c:v>175066.7</c:v>
                </c:pt>
                <c:pt idx="1">
                  <c:v>24272.6</c:v>
                </c:pt>
                <c:pt idx="2">
                  <c:v>21315.9</c:v>
                </c:pt>
                <c:pt idx="3">
                  <c:v>7175.4</c:v>
                </c:pt>
                <c:pt idx="4">
                  <c:v>50602.3</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28058151064450282"/>
          <c:y val="0.19295648776584107"/>
          <c:w val="0.43663210848643919"/>
          <c:h val="0.70646110624580061"/>
        </c:manualLayout>
      </c:layout>
      <c:pieChart>
        <c:varyColors val="1"/>
        <c:ser>
          <c:idx val="0"/>
          <c:order val="0"/>
          <c:spPr>
            <a:ln w="15875">
              <a:solidFill>
                <a:schemeClr val="tx1"/>
              </a:solidFill>
            </a:ln>
          </c:spPr>
          <c:explosion val="13"/>
          <c:dPt>
            <c:idx val="0"/>
            <c:bubble3D val="0"/>
            <c:spPr>
              <a:solidFill>
                <a:srgbClr val="00B0F0"/>
              </a:solidFill>
              <a:ln w="15875">
                <a:solidFill>
                  <a:schemeClr val="tx1"/>
                </a:solidFill>
              </a:ln>
            </c:spPr>
          </c:dPt>
          <c:dPt>
            <c:idx val="1"/>
            <c:bubble3D val="0"/>
            <c:spPr>
              <a:solidFill>
                <a:srgbClr val="00B050"/>
              </a:solidFill>
              <a:ln w="15875">
                <a:solidFill>
                  <a:schemeClr val="tx1"/>
                </a:solidFill>
              </a:ln>
            </c:spPr>
          </c:dPt>
          <c:dPt>
            <c:idx val="2"/>
            <c:bubble3D val="0"/>
            <c:spPr>
              <a:solidFill>
                <a:schemeClr val="accent2">
                  <a:lumMod val="60000"/>
                  <a:lumOff val="40000"/>
                </a:schemeClr>
              </a:solidFill>
              <a:ln w="15875">
                <a:solidFill>
                  <a:schemeClr val="tx1"/>
                </a:solidFill>
              </a:ln>
            </c:spPr>
          </c:dPt>
          <c:dPt>
            <c:idx val="3"/>
            <c:bubble3D val="0"/>
            <c:spPr>
              <a:gradFill>
                <a:gsLst>
                  <a:gs pos="0">
                    <a:srgbClr val="FFF200"/>
                  </a:gs>
                  <a:gs pos="33000">
                    <a:srgbClr val="FF7A00"/>
                  </a:gs>
                  <a:gs pos="49176">
                    <a:srgbClr val="FF5700"/>
                  </a:gs>
                  <a:gs pos="70016">
                    <a:srgbClr val="FF2B00"/>
                  </a:gs>
                  <a:gs pos="89000">
                    <a:srgbClr val="FF0300"/>
                  </a:gs>
                  <a:gs pos="100000">
                    <a:srgbClr val="4D0808"/>
                  </a:gs>
                </a:gsLst>
                <a:lin ang="7200000" scaled="0"/>
              </a:gradFill>
              <a:ln w="15875">
                <a:solidFill>
                  <a:schemeClr val="tx1"/>
                </a:solidFill>
              </a:ln>
            </c:spPr>
          </c:dPt>
          <c:dPt>
            <c:idx val="4"/>
            <c:bubble3D val="0"/>
            <c:spPr>
              <a:solidFill>
                <a:schemeClr val="tx1"/>
              </a:solidFill>
              <a:ln w="15875">
                <a:solidFill>
                  <a:schemeClr val="tx1"/>
                </a:solidFill>
              </a:ln>
            </c:spPr>
          </c:dPt>
          <c:dLbls>
            <c:dLbl>
              <c:idx val="0"/>
              <c:layout>
                <c:manualLayout>
                  <c:x val="0.1098802417139718"/>
                  <c:y val="4.2304597312155467E-2"/>
                </c:manualLayout>
              </c:layout>
              <c:tx>
                <c:rich>
                  <a:bodyPr/>
                  <a:lstStyle/>
                  <a:p>
                    <a:r>
                      <a:rPr lang="ru-RU" b="1">
                        <a:latin typeface="Times New Roman" pitchFamily="18" charset="0"/>
                        <a:cs typeface="Times New Roman" pitchFamily="18" charset="0"/>
                      </a:rPr>
                      <a:t>Г</a:t>
                    </a:r>
                    <a:r>
                      <a:rPr lang="ru-RU" b="1"/>
                      <a:t>осударственный аппарат; </a:t>
                    </a:r>
                  </a:p>
                  <a:p>
                    <a:r>
                      <a:rPr lang="ru-RU" b="1"/>
                      <a:t>73,1</a:t>
                    </a:r>
                    <a:endParaRPr lang="ru-RU"/>
                  </a:p>
                </c:rich>
              </c:tx>
              <c:showLegendKey val="1"/>
              <c:showVal val="1"/>
              <c:showCatName val="1"/>
              <c:showSerName val="1"/>
              <c:showPercent val="1"/>
              <c:showBubbleSize val="1"/>
            </c:dLbl>
            <c:dLbl>
              <c:idx val="1"/>
              <c:layout>
                <c:manualLayout>
                  <c:x val="0.10930338358867932"/>
                  <c:y val="4.8103542931059118E-2"/>
                </c:manualLayout>
              </c:layout>
              <c:tx>
                <c:rich>
                  <a:bodyPr/>
                  <a:lstStyle/>
                  <a:p>
                    <a:r>
                      <a:rPr lang="ru-RU" b="1">
                        <a:latin typeface="Times New Roman" pitchFamily="18" charset="0"/>
                        <a:cs typeface="Times New Roman" pitchFamily="18" charset="0"/>
                      </a:rPr>
                      <a:t>М</a:t>
                    </a:r>
                    <a:r>
                      <a:rPr lang="ru-RU" b="1"/>
                      <a:t>ежбюджетные трансферты; </a:t>
                    </a:r>
                  </a:p>
                  <a:p>
                    <a:r>
                      <a:rPr lang="ru-RU" b="1"/>
                      <a:t>255,0</a:t>
                    </a:r>
                    <a:endParaRPr lang="ru-RU"/>
                  </a:p>
                </c:rich>
              </c:tx>
              <c:showLegendKey val="1"/>
              <c:showVal val="1"/>
              <c:showCatName val="1"/>
              <c:showSerName val="1"/>
              <c:showPercent val="1"/>
              <c:showBubbleSize val="1"/>
            </c:dLbl>
            <c:dLbl>
              <c:idx val="2"/>
              <c:layout>
                <c:manualLayout>
                  <c:x val="7.1649880974180555E-2"/>
                  <c:y val="-7.6593792538110383E-2"/>
                </c:manualLayout>
              </c:layout>
              <c:tx>
                <c:rich>
                  <a:bodyPr/>
                  <a:lstStyle/>
                  <a:p>
                    <a:r>
                      <a:rPr lang="ru-RU" b="1">
                        <a:latin typeface="Times New Roman" pitchFamily="18" charset="0"/>
                        <a:cs typeface="Times New Roman" pitchFamily="18" charset="0"/>
                      </a:rPr>
                      <a:t>П</a:t>
                    </a:r>
                    <a:r>
                      <a:rPr lang="ru-RU" b="1"/>
                      <a:t>одведомственная сеть; </a:t>
                    </a:r>
                  </a:p>
                  <a:p>
                    <a:r>
                      <a:rPr lang="ru-RU" b="1"/>
                      <a:t>120,9</a:t>
                    </a:r>
                    <a:endParaRPr lang="ru-RU"/>
                  </a:p>
                </c:rich>
              </c:tx>
              <c:showLegendKey val="1"/>
              <c:showVal val="1"/>
              <c:showCatName val="1"/>
              <c:showSerName val="1"/>
              <c:showPercent val="1"/>
              <c:showBubbleSize val="1"/>
            </c:dLbl>
            <c:dLbl>
              <c:idx val="3"/>
              <c:layout>
                <c:manualLayout>
                  <c:x val="-9.146489246983662E-2"/>
                  <c:y val="1.9506501515390805E-2"/>
                </c:manualLayout>
              </c:layout>
              <c:tx>
                <c:rich>
                  <a:bodyPr/>
                  <a:lstStyle/>
                  <a:p>
                    <a:r>
                      <a:rPr lang="ru-RU" b="1">
                        <a:latin typeface="Times New Roman" pitchFamily="18" charset="0"/>
                        <a:cs typeface="Times New Roman" pitchFamily="18" charset="0"/>
                      </a:rPr>
                      <a:t>О</a:t>
                    </a:r>
                    <a:r>
                      <a:rPr lang="ru-RU" b="1"/>
                      <a:t>существление переданных органам государственной власти субъектов РФ полномочий Российской Федерации; </a:t>
                    </a:r>
                  </a:p>
                  <a:p>
                    <a:r>
                      <a:rPr lang="ru-RU" b="1"/>
                      <a:t>627,2</a:t>
                    </a:r>
                    <a:endParaRPr lang="ru-RU"/>
                  </a:p>
                </c:rich>
              </c:tx>
              <c:showLegendKey val="1"/>
              <c:showVal val="1"/>
              <c:showCatName val="1"/>
              <c:showSerName val="1"/>
              <c:showPercent val="1"/>
              <c:showBubbleSize val="1"/>
            </c:dLbl>
            <c:dLbl>
              <c:idx val="4"/>
              <c:layout>
                <c:manualLayout>
                  <c:x val="-0.16936789151356085"/>
                  <c:y val="-1.6016046717047795E-2"/>
                </c:manualLayout>
              </c:layout>
              <c:tx>
                <c:rich>
                  <a:bodyPr/>
                  <a:lstStyle/>
                  <a:p>
                    <a:r>
                      <a:rPr lang="ru-RU" b="1">
                        <a:latin typeface="Times New Roman" pitchFamily="18" charset="0"/>
                        <a:cs typeface="Times New Roman" pitchFamily="18" charset="0"/>
                      </a:rPr>
                      <a:t>П</a:t>
                    </a:r>
                    <a:r>
                      <a:rPr lang="ru-RU" b="1"/>
                      <a:t>рочие расходы; 6,3</a:t>
                    </a:r>
                    <a:endParaRPr lang="ru-RU"/>
                  </a:p>
                </c:rich>
              </c:tx>
              <c:showLegendKey val="1"/>
              <c:showVal val="1"/>
              <c:showCatName val="1"/>
              <c:showSerName val="1"/>
              <c:showPercent val="1"/>
              <c:showBubbleSize val="1"/>
            </c:dLbl>
            <c:txPr>
              <a:bodyPr/>
              <a:lstStyle/>
              <a:p>
                <a:pPr>
                  <a:defRPr b="1">
                    <a:latin typeface="Times New Roman" pitchFamily="18" charset="0"/>
                    <a:cs typeface="Times New Roman" pitchFamily="18" charset="0"/>
                  </a:defRPr>
                </a:pPr>
                <a:endParaRPr lang="ru-RU"/>
              </a:p>
            </c:txPr>
            <c:showLegendKey val="1"/>
            <c:showVal val="1"/>
            <c:showCatName val="1"/>
            <c:showSerName val="1"/>
            <c:showPercent val="1"/>
            <c:showBubbleSize val="1"/>
            <c:showLeaderLines val="1"/>
          </c:dLbls>
          <c:cat>
            <c:strRef>
              <c:f>Лист2!$A$2:$A$6</c:f>
              <c:strCache>
                <c:ptCount val="5"/>
                <c:pt idx="0">
                  <c:v>Государственный аппарат</c:v>
                </c:pt>
                <c:pt idx="1">
                  <c:v>Межбюджетные трансферты</c:v>
                </c:pt>
                <c:pt idx="2">
                  <c:v>Подведомственная сеть</c:v>
                </c:pt>
                <c:pt idx="3">
                  <c:v>Осуществление переданных органам государственной власти субъектов Российской Федерации полномочий Российской Федерации</c:v>
                </c:pt>
                <c:pt idx="4">
                  <c:v>Прочие</c:v>
                </c:pt>
              </c:strCache>
            </c:strRef>
          </c:cat>
          <c:val>
            <c:numRef>
              <c:f>Лист2!$B$2:$B$6</c:f>
              <c:numCache>
                <c:formatCode>0.0</c:formatCode>
                <c:ptCount val="5"/>
                <c:pt idx="0">
                  <c:v>73075.8</c:v>
                </c:pt>
                <c:pt idx="1">
                  <c:v>255000</c:v>
                </c:pt>
                <c:pt idx="2">
                  <c:v>120879.9</c:v>
                </c:pt>
                <c:pt idx="3">
                  <c:v>627226.9</c:v>
                </c:pt>
                <c:pt idx="4">
                  <c:v>6334.9</c:v>
                </c:pt>
              </c:numCache>
            </c:numRef>
          </c:val>
        </c:ser>
        <c:dLbls>
          <c:showLegendKey val="0"/>
          <c:showVal val="0"/>
          <c:showCatName val="0"/>
          <c:showSerName val="0"/>
          <c:showPercent val="0"/>
          <c:showBubbleSize val="0"/>
          <c:showLeaderLines val="1"/>
        </c:dLbls>
        <c:firstSliceAng val="15"/>
      </c:pieChart>
    </c:plotArea>
    <c:plotVisOnly val="1"/>
    <c:dispBlanksAs val="zero"/>
    <c:showDLblsOverMax val="1"/>
  </c:chart>
  <c:spPr>
    <a:noFill/>
    <a:ln>
      <a:noFill/>
    </a:ln>
  </c:spPr>
  <c:externalData r:id="rId1">
    <c:autoUpdate val="1"/>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0"/>
      <c:rAngAx val="0"/>
      <c:perspective val="0"/>
    </c:view3D>
    <c:floor>
      <c:thickness val="0"/>
    </c:floor>
    <c:sideWall>
      <c:thickness val="0"/>
    </c:sideWall>
    <c:backWall>
      <c:thickness val="0"/>
    </c:backWall>
    <c:plotArea>
      <c:layout>
        <c:manualLayout>
          <c:layoutTarget val="inner"/>
          <c:xMode val="edge"/>
          <c:yMode val="edge"/>
          <c:x val="0.22570532915360503"/>
          <c:y val="0"/>
          <c:w val="0.65454768446647493"/>
          <c:h val="0.99037813288044874"/>
        </c:manualLayout>
      </c:layout>
      <c:pie3DChart>
        <c:varyColors val="1"/>
        <c:ser>
          <c:idx val="0"/>
          <c:order val="0"/>
          <c:tx>
            <c:strRef>
              <c:f>Лист1!$B$1</c:f>
              <c:strCache>
                <c:ptCount val="1"/>
                <c:pt idx="0">
                  <c:v>тыс. рублей</c:v>
                </c:pt>
              </c:strCache>
            </c:strRef>
          </c:tx>
          <c:spPr>
            <a:ln w="15875">
              <a:solidFill>
                <a:sysClr val="windowText" lastClr="000000"/>
              </a:solidFill>
            </a:ln>
            <a:effectLst>
              <a:innerShdw blurRad="63500" dist="50800" dir="5400000">
                <a:prstClr val="black">
                  <a:alpha val="50000"/>
                </a:prstClr>
              </a:innerShdw>
            </a:effectLst>
          </c:spPr>
          <c:explosion val="25"/>
          <c:dPt>
            <c:idx val="0"/>
            <c:bubble3D val="0"/>
            <c:spPr>
              <a:solidFill>
                <a:srgbClr val="FFFF00"/>
              </a:solidFill>
              <a:ln w="15875">
                <a:solidFill>
                  <a:sysClr val="windowText" lastClr="000000"/>
                </a:solidFill>
              </a:ln>
              <a:effectLst>
                <a:innerShdw blurRad="63500" dist="50800" dir="5400000">
                  <a:prstClr val="black">
                    <a:alpha val="50000"/>
                  </a:prstClr>
                </a:innerShdw>
              </a:effectLst>
              <a:scene3d>
                <a:camera prst="orthographicFront"/>
                <a:lightRig rig="threePt" dir="t"/>
              </a:scene3d>
              <a:sp3d>
                <a:bevelT/>
              </a:sp3d>
            </c:spPr>
          </c:dPt>
          <c:dPt>
            <c:idx val="1"/>
            <c:bubble3D val="0"/>
            <c:spPr>
              <a:solidFill>
                <a:srgbClr val="00B050"/>
              </a:solidFill>
              <a:ln w="15875">
                <a:solidFill>
                  <a:sysClr val="windowText" lastClr="000000"/>
                </a:solidFill>
              </a:ln>
              <a:effectLst>
                <a:innerShdw blurRad="63500" dist="50800" dir="5400000">
                  <a:prstClr val="black">
                    <a:alpha val="50000"/>
                  </a:prstClr>
                </a:innerShdw>
              </a:effectLst>
              <a:scene3d>
                <a:camera prst="orthographicFront"/>
                <a:lightRig rig="threePt" dir="t"/>
              </a:scene3d>
              <a:sp3d>
                <a:bevelT/>
              </a:sp3d>
            </c:spPr>
          </c:dPt>
          <c:dPt>
            <c:idx val="2"/>
            <c:bubble3D val="0"/>
            <c:spPr>
              <a:solidFill>
                <a:srgbClr val="00B0F0"/>
              </a:solidFill>
              <a:ln w="15875">
                <a:solidFill>
                  <a:sysClr val="windowText" lastClr="000000"/>
                </a:solidFill>
              </a:ln>
              <a:effectLst>
                <a:innerShdw blurRad="63500" dist="50800" dir="5400000">
                  <a:prstClr val="black">
                    <a:alpha val="50000"/>
                  </a:prstClr>
                </a:innerShdw>
              </a:effectLst>
              <a:scene3d>
                <a:camera prst="orthographicFront"/>
                <a:lightRig rig="threePt" dir="t"/>
              </a:scene3d>
              <a:sp3d>
                <a:bevelT/>
              </a:sp3d>
            </c:spPr>
          </c:dPt>
          <c:dPt>
            <c:idx val="3"/>
            <c:bubble3D val="0"/>
            <c:spPr>
              <a:solidFill>
                <a:srgbClr val="FF0000"/>
              </a:solidFill>
              <a:ln w="15875">
                <a:solidFill>
                  <a:sysClr val="windowText" lastClr="000000"/>
                </a:solidFill>
              </a:ln>
              <a:effectLst>
                <a:innerShdw blurRad="63500" dist="50800" dir="5400000">
                  <a:prstClr val="black">
                    <a:alpha val="50000"/>
                  </a:prstClr>
                </a:innerShdw>
              </a:effectLst>
              <a:scene3d>
                <a:camera prst="orthographicFront"/>
                <a:lightRig rig="threePt" dir="t"/>
              </a:scene3d>
              <a:sp3d>
                <a:bevelT/>
              </a:sp3d>
            </c:spPr>
          </c:dPt>
          <c:dPt>
            <c:idx val="4"/>
            <c:bubble3D val="0"/>
            <c:spPr>
              <a:solidFill>
                <a:schemeClr val="tx2"/>
              </a:solidFill>
              <a:ln w="15875">
                <a:solidFill>
                  <a:sysClr val="windowText" lastClr="000000"/>
                </a:solidFill>
              </a:ln>
              <a:effectLst>
                <a:innerShdw blurRad="63500" dist="50800" dir="5400000">
                  <a:prstClr val="black">
                    <a:alpha val="50000"/>
                  </a:prstClr>
                </a:innerShdw>
              </a:effectLst>
            </c:spPr>
          </c:dPt>
          <c:dLbls>
            <c:dLbl>
              <c:idx val="0"/>
              <c:layout>
                <c:manualLayout>
                  <c:x val="-2.0442327154246785E-2"/>
                  <c:y val="0.20776452023251696"/>
                </c:manualLayout>
              </c:layout>
              <c:tx>
                <c:rich>
                  <a:bodyPr/>
                  <a:lstStyle/>
                  <a:p>
                    <a:r>
                      <a:rPr lang="ru-RU"/>
                      <a:t>Субсидии юридическим лицам (кроме некоммерческих организаций); 1427,4; 58%</a:t>
                    </a:r>
                  </a:p>
                </c:rich>
              </c:tx>
              <c:showLegendKey val="0"/>
              <c:showVal val="1"/>
              <c:showCatName val="1"/>
              <c:showSerName val="0"/>
              <c:showPercent val="1"/>
              <c:showBubbleSize val="0"/>
            </c:dLbl>
            <c:dLbl>
              <c:idx val="1"/>
              <c:layout>
                <c:manualLayout>
                  <c:x val="-4.8384140070265515E-2"/>
                  <c:y val="6.4232749594825236E-2"/>
                </c:manualLayout>
              </c:layout>
              <c:tx>
                <c:rich>
                  <a:bodyPr/>
                  <a:lstStyle/>
                  <a:p>
                    <a:r>
                      <a:rPr lang="ru-RU"/>
                      <a:t>Субсидии некоммерческим организациям; 22,1; 1%</a:t>
                    </a:r>
                  </a:p>
                </c:rich>
              </c:tx>
              <c:showLegendKey val="0"/>
              <c:showVal val="1"/>
              <c:showCatName val="1"/>
              <c:showSerName val="0"/>
              <c:showPercent val="1"/>
              <c:showBubbleSize val="0"/>
            </c:dLbl>
            <c:dLbl>
              <c:idx val="2"/>
              <c:layout>
                <c:manualLayout>
                  <c:x val="-5.2489324414385509E-2"/>
                  <c:y val="-7.9736098561450308E-2"/>
                </c:manualLayout>
              </c:layout>
              <c:tx>
                <c:rich>
                  <a:bodyPr/>
                  <a:lstStyle/>
                  <a:p>
                    <a:r>
                      <a:rPr lang="ru-RU"/>
                      <a:t>Межбюджетные трансферты; 954,1; 39%</a:t>
                    </a:r>
                  </a:p>
                </c:rich>
              </c:tx>
              <c:showLegendKey val="0"/>
              <c:showVal val="1"/>
              <c:showCatName val="1"/>
              <c:showSerName val="0"/>
              <c:showPercent val="1"/>
              <c:showBubbleSize val="0"/>
            </c:dLbl>
            <c:dLbl>
              <c:idx val="3"/>
              <c:layout>
                <c:manualLayout>
                  <c:x val="-0.16086211010457549"/>
                  <c:y val="0"/>
                </c:manualLayout>
              </c:layout>
              <c:tx>
                <c:rich>
                  <a:bodyPr/>
                  <a:lstStyle/>
                  <a:p>
                    <a:r>
                      <a:rPr lang="ru-RU"/>
                      <a:t>Обеспечение функций исполнительных органов власти; 54,6; 2%</a:t>
                    </a:r>
                  </a:p>
                </c:rich>
              </c:tx>
              <c:showLegendKey val="0"/>
              <c:showVal val="1"/>
              <c:showCatName val="1"/>
              <c:showSerName val="0"/>
              <c:showPercent val="1"/>
              <c:showBubbleSize val="0"/>
            </c:dLbl>
            <c:dLbl>
              <c:idx val="4"/>
              <c:layout>
                <c:manualLayout>
                  <c:x val="0.13606233390105232"/>
                  <c:y val="3.2786885245901641E-2"/>
                </c:manualLayout>
              </c:layout>
              <c:tx>
                <c:rich>
                  <a:bodyPr/>
                  <a:lstStyle/>
                  <a:p>
                    <a:r>
                      <a:rPr lang="ru-RU"/>
                      <a:t>Прочие мероприятия, влияющие на повышение энергоэффективности ; 3,6; 0%</a:t>
                    </a:r>
                  </a:p>
                </c:rich>
              </c:tx>
              <c:showLegendKey val="0"/>
              <c:showVal val="1"/>
              <c:showCatName val="1"/>
              <c:showSerName val="0"/>
              <c:showPercent val="1"/>
              <c:showBubbleSize val="0"/>
            </c:dLbl>
            <c:txPr>
              <a:bodyPr/>
              <a:lstStyle/>
              <a:p>
                <a:pPr>
                  <a:defRPr sz="1000" b="1" baseline="0">
                    <a:latin typeface="Times New Roman" pitchFamily="18" charset="0"/>
                  </a:defRPr>
                </a:pPr>
                <a:endParaRPr lang="ru-RU"/>
              </a:p>
            </c:txPr>
            <c:showLegendKey val="0"/>
            <c:showVal val="1"/>
            <c:showCatName val="1"/>
            <c:showSerName val="0"/>
            <c:showPercent val="1"/>
            <c:showBubbleSize val="0"/>
            <c:showLeaderLines val="1"/>
          </c:dLbls>
          <c:cat>
            <c:strRef>
              <c:f>Лист1!$A$2:$A$6</c:f>
              <c:strCache>
                <c:ptCount val="5"/>
                <c:pt idx="0">
                  <c:v>Субсидии юридическим лицам (кроме некоммерческих организаций)</c:v>
                </c:pt>
                <c:pt idx="1">
                  <c:v>Субсидии некоммерческим организациям</c:v>
                </c:pt>
                <c:pt idx="2">
                  <c:v>Межбюджетные трансферты</c:v>
                </c:pt>
                <c:pt idx="3">
                  <c:v>Обеспечение функций исполнительных органов власти</c:v>
                </c:pt>
                <c:pt idx="4">
                  <c:v>Прочие мероприятия, влияющие на повышение энергоэффективности </c:v>
                </c:pt>
              </c:strCache>
            </c:strRef>
          </c:cat>
          <c:val>
            <c:numRef>
              <c:f>Лист1!$B$2:$B$6</c:f>
              <c:numCache>
                <c:formatCode>General</c:formatCode>
                <c:ptCount val="5"/>
                <c:pt idx="0">
                  <c:v>1427356.8</c:v>
                </c:pt>
                <c:pt idx="1">
                  <c:v>22086.3</c:v>
                </c:pt>
                <c:pt idx="2">
                  <c:v>954135.2</c:v>
                </c:pt>
                <c:pt idx="3" formatCode="0.0">
                  <c:v>54561</c:v>
                </c:pt>
                <c:pt idx="4" formatCode="0.0">
                  <c:v>3555</c:v>
                </c:pt>
              </c:numCache>
            </c:numRef>
          </c:val>
        </c:ser>
        <c:dLbls>
          <c:showLegendKey val="0"/>
          <c:showVal val="0"/>
          <c:showCatName val="0"/>
          <c:showSerName val="0"/>
          <c:showPercent val="0"/>
          <c:showBubbleSize val="0"/>
          <c:showLeaderLines val="1"/>
        </c:dLbls>
      </c:pie3DChart>
      <c:spPr>
        <a:gradFill>
          <a:gsLst>
            <a:gs pos="0">
              <a:srgbClr val="FFEFD1"/>
            </a:gs>
            <a:gs pos="64999">
              <a:srgbClr val="F0EBD5"/>
            </a:gs>
            <a:gs pos="100000">
              <a:srgbClr val="D1C39F"/>
            </a:gs>
          </a:gsLst>
          <a:lin ang="5400000" scaled="0"/>
        </a:gradFill>
        <a:scene3d>
          <a:camera prst="orthographicFront"/>
          <a:lightRig rig="threePt" dir="t"/>
        </a:scene3d>
        <a:sp3d prstMaterial="translucentPowder"/>
      </c:spPr>
    </c:plotArea>
    <c:plotVisOnly val="1"/>
    <c:dispBlanksAs val="gap"/>
    <c:showDLblsOverMax val="0"/>
  </c:chart>
  <c:spPr>
    <a:noFill/>
    <a:ln>
      <a:noFill/>
    </a:ln>
    <a:effectLst>
      <a:glow rad="228600">
        <a:schemeClr val="accent2">
          <a:satMod val="175000"/>
          <a:alpha val="40000"/>
        </a:schemeClr>
      </a:glow>
    </a:effectLst>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27687780694079922"/>
          <c:y val="0.2732920081095086"/>
          <c:w val="0.43663210848643919"/>
          <c:h val="0.70646110624580061"/>
        </c:manualLayout>
      </c:layout>
      <c:pieChart>
        <c:varyColors val="1"/>
        <c:ser>
          <c:idx val="0"/>
          <c:order val="0"/>
          <c:spPr>
            <a:ln>
              <a:solidFill>
                <a:schemeClr val="tx1"/>
              </a:solidFill>
            </a:ln>
          </c:spPr>
          <c:explosion val="13"/>
          <c:dPt>
            <c:idx val="0"/>
            <c:bubble3D val="0"/>
            <c:spPr>
              <a:solidFill>
                <a:srgbClr val="FFC000"/>
              </a:solidFill>
              <a:ln>
                <a:solidFill>
                  <a:schemeClr val="tx1"/>
                </a:solidFill>
              </a:ln>
            </c:spPr>
          </c:dPt>
          <c:dPt>
            <c:idx val="8"/>
            <c:bubble3D val="0"/>
            <c:spPr>
              <a:solidFill>
                <a:srgbClr val="FF0000"/>
              </a:solidFill>
              <a:ln>
                <a:solidFill>
                  <a:schemeClr val="tx1"/>
                </a:solidFill>
              </a:ln>
            </c:spPr>
          </c:dPt>
          <c:dPt>
            <c:idx val="10"/>
            <c:bubble3D val="0"/>
            <c:spPr>
              <a:gradFill>
                <a:gsLst>
                  <a:gs pos="0">
                    <a:srgbClr val="CCCCFF"/>
                  </a:gs>
                  <a:gs pos="17999">
                    <a:srgbClr val="99CCFF"/>
                  </a:gs>
                  <a:gs pos="36000">
                    <a:srgbClr val="9966FF"/>
                  </a:gs>
                  <a:gs pos="61000">
                    <a:srgbClr val="CC99FF"/>
                  </a:gs>
                  <a:gs pos="82001">
                    <a:srgbClr val="99CCFF"/>
                  </a:gs>
                  <a:gs pos="100000">
                    <a:srgbClr val="CCCCFF"/>
                  </a:gs>
                </a:gsLst>
                <a:lin ang="2700000" scaled="0"/>
              </a:gradFill>
              <a:ln>
                <a:solidFill>
                  <a:schemeClr val="tx1"/>
                </a:solidFill>
              </a:ln>
            </c:spPr>
          </c:dPt>
          <c:dLbls>
            <c:dLbl>
              <c:idx val="0"/>
              <c:layout>
                <c:manualLayout>
                  <c:x val="-0.21499248631362577"/>
                  <c:y val="-0.25384188372757305"/>
                </c:manualLayout>
              </c:layout>
              <c:tx>
                <c:rich>
                  <a:bodyPr/>
                  <a:lstStyle/>
                  <a:p>
                    <a:r>
                      <a:rPr lang="ru-RU" sz="800" b="1">
                        <a:latin typeface="Times New Roman" pitchFamily="18" charset="0"/>
                        <a:cs typeface="Times New Roman" pitchFamily="18" charset="0"/>
                      </a:rPr>
                      <a:t>Л</a:t>
                    </a:r>
                    <a:r>
                      <a:rPr lang="ru-RU" sz="800" b="1"/>
                      <a:t>екарственное обеспечение отдельных категорий граждан;</a:t>
                    </a:r>
                  </a:p>
                  <a:p>
                    <a:r>
                      <a:rPr lang="ru-RU" sz="800" b="1"/>
                      <a:t> 654, 6</a:t>
                    </a:r>
                    <a:endParaRPr lang="ru-RU"/>
                  </a:p>
                </c:rich>
              </c:tx>
              <c:showLegendKey val="1"/>
              <c:showVal val="1"/>
              <c:showCatName val="1"/>
              <c:showSerName val="1"/>
              <c:showPercent val="1"/>
              <c:showBubbleSize val="1"/>
            </c:dLbl>
            <c:dLbl>
              <c:idx val="1"/>
              <c:layout>
                <c:manualLayout>
                  <c:x val="-4.3386440969449727E-2"/>
                  <c:y val="-0.39731625949220412"/>
                </c:manualLayout>
              </c:layout>
              <c:tx>
                <c:rich>
                  <a:bodyPr/>
                  <a:lstStyle/>
                  <a:p>
                    <a:r>
                      <a:rPr lang="ru-RU" sz="800" b="1">
                        <a:latin typeface="Times New Roman" pitchFamily="18" charset="0"/>
                        <a:cs typeface="Times New Roman" pitchFamily="18" charset="0"/>
                      </a:rPr>
                      <a:t>Б</a:t>
                    </a:r>
                    <a:r>
                      <a:rPr lang="ru-RU" sz="800" b="1"/>
                      <a:t>юджетные инвестиции; </a:t>
                    </a:r>
                  </a:p>
                  <a:p>
                    <a:r>
                      <a:rPr lang="ru-RU" sz="800" b="1"/>
                      <a:t>22, 1</a:t>
                    </a:r>
                    <a:endParaRPr lang="ru-RU"/>
                  </a:p>
                </c:rich>
              </c:tx>
              <c:showLegendKey val="1"/>
              <c:showVal val="1"/>
              <c:showCatName val="1"/>
              <c:showSerName val="1"/>
              <c:showPercent val="1"/>
              <c:showBubbleSize val="1"/>
            </c:dLbl>
            <c:dLbl>
              <c:idx val="2"/>
              <c:layout>
                <c:manualLayout>
                  <c:x val="0.1193790869745026"/>
                  <c:y val="-0.12204734722501534"/>
                </c:manualLayout>
              </c:layout>
              <c:tx>
                <c:rich>
                  <a:bodyPr/>
                  <a:lstStyle/>
                  <a:p>
                    <a:r>
                      <a:rPr lang="ru-RU" sz="800" b="1">
                        <a:latin typeface="Times New Roman" pitchFamily="18" charset="0"/>
                        <a:cs typeface="Times New Roman" pitchFamily="18" charset="0"/>
                      </a:rPr>
                      <a:t>М</a:t>
                    </a:r>
                    <a:r>
                      <a:rPr lang="ru-RU" sz="800" b="1"/>
                      <a:t>ероприятия по развитию службы крови; </a:t>
                    </a:r>
                  </a:p>
                  <a:p>
                    <a:r>
                      <a:rPr lang="ru-RU" sz="800" b="1"/>
                      <a:t>0,2</a:t>
                    </a:r>
                    <a:endParaRPr lang="ru-RU" sz="600"/>
                  </a:p>
                </c:rich>
              </c:tx>
              <c:showLegendKey val="1"/>
              <c:showVal val="1"/>
              <c:showCatName val="1"/>
              <c:showSerName val="1"/>
              <c:showPercent val="1"/>
              <c:showBubbleSize val="1"/>
            </c:dLbl>
            <c:dLbl>
              <c:idx val="3"/>
              <c:layout>
                <c:manualLayout>
                  <c:x val="8.3069023548343515E-2"/>
                  <c:y val="-0.2691898581439599"/>
                </c:manualLayout>
              </c:layout>
              <c:tx>
                <c:rich>
                  <a:bodyPr/>
                  <a:lstStyle/>
                  <a:p>
                    <a:r>
                      <a:rPr lang="ru-RU" sz="800" b="1">
                        <a:latin typeface="Times New Roman" pitchFamily="18" charset="0"/>
                        <a:cs typeface="Times New Roman" pitchFamily="18" charset="0"/>
                      </a:rPr>
                      <a:t>М</a:t>
                    </a:r>
                    <a:r>
                      <a:rPr lang="ru-RU" sz="800" b="1"/>
                      <a:t>ероприятия, направленные на формирование здорового образа жизни у населения, включая сокращение потребления алкоголя и табака; </a:t>
                    </a:r>
                  </a:p>
                  <a:p>
                    <a:r>
                      <a:rPr lang="ru-RU" sz="800" b="1"/>
                      <a:t>0,7</a:t>
                    </a:r>
                    <a:endParaRPr lang="ru-RU" sz="600"/>
                  </a:p>
                </c:rich>
              </c:tx>
              <c:showLegendKey val="1"/>
              <c:showVal val="1"/>
              <c:showCatName val="1"/>
              <c:showSerName val="1"/>
              <c:showPercent val="1"/>
              <c:showBubbleSize val="1"/>
            </c:dLbl>
            <c:dLbl>
              <c:idx val="4"/>
              <c:layout>
                <c:manualLayout>
                  <c:x val="9.0589752723967229E-2"/>
                  <c:y val="6.1795811869292854E-3"/>
                </c:manualLayout>
              </c:layout>
              <c:tx>
                <c:rich>
                  <a:bodyPr/>
                  <a:lstStyle/>
                  <a:p>
                    <a:r>
                      <a:rPr lang="ru-RU" sz="800" b="1">
                        <a:latin typeface="Times New Roman" pitchFamily="18" charset="0"/>
                        <a:cs typeface="Times New Roman" pitchFamily="18" charset="0"/>
                      </a:rPr>
                      <a:t>О</a:t>
                    </a:r>
                    <a:r>
                      <a:rPr lang="ru-RU" sz="800" b="1"/>
                      <a:t>беспечение мер социальной поддержки донорам;</a:t>
                    </a:r>
                  </a:p>
                  <a:p>
                    <a:r>
                      <a:rPr lang="ru-RU" sz="800" b="1"/>
                      <a:t> 12,5</a:t>
                    </a:r>
                    <a:endParaRPr lang="ru-RU"/>
                  </a:p>
                </c:rich>
              </c:tx>
              <c:showLegendKey val="1"/>
              <c:showVal val="1"/>
              <c:showCatName val="1"/>
              <c:showSerName val="1"/>
              <c:showPercent val="1"/>
              <c:showBubbleSize val="1"/>
            </c:dLbl>
            <c:dLbl>
              <c:idx val="5"/>
              <c:layout>
                <c:manualLayout>
                  <c:x val="0.11441260170091844"/>
                  <c:y val="8.8299944825167967E-2"/>
                </c:manualLayout>
              </c:layout>
              <c:tx>
                <c:rich>
                  <a:bodyPr/>
                  <a:lstStyle/>
                  <a:p>
                    <a:r>
                      <a:rPr lang="ru-RU" sz="800" b="1">
                        <a:latin typeface="Times New Roman" pitchFamily="18" charset="0"/>
                        <a:cs typeface="Times New Roman" pitchFamily="18" charset="0"/>
                      </a:rPr>
                      <a:t>М</a:t>
                    </a:r>
                    <a:r>
                      <a:rPr lang="ru-RU" sz="800" b="1"/>
                      <a:t>ежбюджетные трансферты; </a:t>
                    </a:r>
                  </a:p>
                  <a:p>
                    <a:r>
                      <a:rPr lang="ru-RU" sz="800" b="1"/>
                      <a:t>15,8</a:t>
                    </a:r>
                    <a:endParaRPr lang="ru-RU"/>
                  </a:p>
                </c:rich>
              </c:tx>
              <c:showLegendKey val="1"/>
              <c:showVal val="1"/>
              <c:showCatName val="1"/>
              <c:showSerName val="1"/>
              <c:showPercent val="1"/>
              <c:showBubbleSize val="1"/>
            </c:dLbl>
            <c:dLbl>
              <c:idx val="6"/>
              <c:layout>
                <c:manualLayout>
                  <c:x val="8.5011526445309779E-2"/>
                  <c:y val="0.21398202434911745"/>
                </c:manualLayout>
              </c:layout>
              <c:tx>
                <c:rich>
                  <a:bodyPr/>
                  <a:lstStyle/>
                  <a:p>
                    <a:r>
                      <a:rPr lang="ru-RU" sz="800" b="1">
                        <a:latin typeface="Times New Roman" pitchFamily="18" charset="0"/>
                        <a:cs typeface="Times New Roman" pitchFamily="18" charset="0"/>
                      </a:rPr>
                      <a:t>О</a:t>
                    </a:r>
                    <a:r>
                      <a:rPr lang="ru-RU" sz="800" b="1"/>
                      <a:t>существление единовременных выплат медицинским работникам; </a:t>
                    </a:r>
                  </a:p>
                  <a:p>
                    <a:r>
                      <a:rPr lang="ru-RU" sz="800" b="1"/>
                      <a:t>45 ,0</a:t>
                    </a:r>
                    <a:endParaRPr lang="ru-RU"/>
                  </a:p>
                </c:rich>
              </c:tx>
              <c:showLegendKey val="1"/>
              <c:showVal val="1"/>
              <c:showCatName val="1"/>
              <c:showSerName val="1"/>
              <c:showPercent val="1"/>
              <c:showBubbleSize val="1"/>
            </c:dLbl>
            <c:dLbl>
              <c:idx val="7"/>
              <c:layout>
                <c:manualLayout>
                  <c:x val="8.5966726858050693E-2"/>
                  <c:y val="0.31713152751780299"/>
                </c:manualLayout>
              </c:layout>
              <c:tx>
                <c:rich>
                  <a:bodyPr/>
                  <a:lstStyle/>
                  <a:p>
                    <a:r>
                      <a:rPr lang="ru-RU" sz="800" b="1">
                        <a:latin typeface="Times New Roman" pitchFamily="18" charset="0"/>
                        <a:cs typeface="Times New Roman" pitchFamily="18" charset="0"/>
                      </a:rPr>
                      <a:t>Р</a:t>
                    </a:r>
                    <a:r>
                      <a:rPr lang="ru-RU" sz="800" b="1"/>
                      <a:t>азвитие медицинской реабилитации, в том числе детей; </a:t>
                    </a:r>
                  </a:p>
                  <a:p>
                    <a:r>
                      <a:rPr lang="ru-RU" sz="800" b="1"/>
                      <a:t>28 ,0</a:t>
                    </a:r>
                    <a:endParaRPr lang="ru-RU"/>
                  </a:p>
                </c:rich>
              </c:tx>
              <c:showLegendKey val="1"/>
              <c:showVal val="1"/>
              <c:showCatName val="1"/>
              <c:showSerName val="1"/>
              <c:showPercent val="1"/>
              <c:showBubbleSize val="1"/>
            </c:dLbl>
            <c:dLbl>
              <c:idx val="8"/>
              <c:layout>
                <c:manualLayout>
                  <c:x val="8.4180312094373544E-2"/>
                  <c:y val="0.20089723558621969"/>
                </c:manualLayout>
              </c:layout>
              <c:tx>
                <c:rich>
                  <a:bodyPr/>
                  <a:lstStyle/>
                  <a:p>
                    <a:r>
                      <a:rPr lang="ru-RU" sz="800" b="1">
                        <a:latin typeface="Times New Roman" pitchFamily="18" charset="0"/>
                        <a:cs typeface="Times New Roman" pitchFamily="18" charset="0"/>
                      </a:rPr>
                      <a:t>С</a:t>
                    </a:r>
                    <a:r>
                      <a:rPr lang="ru-RU" sz="800" b="1"/>
                      <a:t>одержание подведомственных учреждений; </a:t>
                    </a:r>
                  </a:p>
                  <a:p>
                    <a:r>
                      <a:rPr lang="ru-RU" sz="800" b="1"/>
                      <a:t>1 739,2</a:t>
                    </a:r>
                    <a:endParaRPr lang="ru-RU"/>
                  </a:p>
                </c:rich>
              </c:tx>
              <c:showLegendKey val="1"/>
              <c:showVal val="1"/>
              <c:showCatName val="1"/>
              <c:showSerName val="1"/>
              <c:showPercent val="1"/>
              <c:showBubbleSize val="1"/>
            </c:dLbl>
            <c:dLbl>
              <c:idx val="9"/>
              <c:layout>
                <c:manualLayout>
                  <c:x val="-5.7516429791049907E-2"/>
                  <c:y val="-1.325433534953514E-3"/>
                </c:manualLayout>
              </c:layout>
              <c:tx>
                <c:rich>
                  <a:bodyPr/>
                  <a:lstStyle/>
                  <a:p>
                    <a:r>
                      <a:rPr lang="ru-RU" sz="800" b="1">
                        <a:latin typeface="Times New Roman" pitchFamily="18" charset="0"/>
                        <a:cs typeface="Times New Roman" pitchFamily="18" charset="0"/>
                      </a:rPr>
                      <a:t>Р</a:t>
                    </a:r>
                    <a:r>
                      <a:rPr lang="ru-RU" sz="800" b="1"/>
                      <a:t>асходы на обеспечение функций исполнительных органов государственной власти;</a:t>
                    </a:r>
                  </a:p>
                  <a:p>
                    <a:r>
                      <a:rPr lang="ru-RU" sz="800" b="1"/>
                      <a:t> 44,2</a:t>
                    </a:r>
                    <a:endParaRPr lang="ru-RU"/>
                  </a:p>
                </c:rich>
              </c:tx>
              <c:showLegendKey val="1"/>
              <c:showVal val="1"/>
              <c:showCatName val="1"/>
              <c:showSerName val="1"/>
              <c:showPercent val="1"/>
              <c:showBubbleSize val="1"/>
            </c:dLbl>
            <c:dLbl>
              <c:idx val="10"/>
              <c:layout>
                <c:manualLayout>
                  <c:x val="-6.582284078764726E-2"/>
                  <c:y val="3.3477232183759371E-2"/>
                </c:manualLayout>
              </c:layout>
              <c:tx>
                <c:rich>
                  <a:bodyPr/>
                  <a:lstStyle/>
                  <a:p>
                    <a:r>
                      <a:rPr lang="ru-RU" sz="800" b="1">
                        <a:latin typeface="Times New Roman" pitchFamily="18" charset="0"/>
                        <a:cs typeface="Times New Roman" pitchFamily="18" charset="0"/>
                      </a:rPr>
                      <a:t>С</a:t>
                    </a:r>
                    <a:r>
                      <a:rPr lang="ru-RU" sz="800" b="1"/>
                      <a:t>траховые взносы на обязательное медицинское страхование неработающего населения;</a:t>
                    </a:r>
                  </a:p>
                  <a:p>
                    <a:r>
                      <a:rPr lang="ru-RU" sz="800" b="1"/>
                      <a:t> 4 882, 6</a:t>
                    </a:r>
                    <a:endParaRPr lang="ru-RU" sz="600"/>
                  </a:p>
                </c:rich>
              </c:tx>
              <c:showLegendKey val="1"/>
              <c:showVal val="1"/>
              <c:showCatName val="1"/>
              <c:showSerName val="1"/>
              <c:showPercent val="1"/>
              <c:showBubbleSize val="1"/>
            </c:dLbl>
            <c:dLbl>
              <c:idx val="11"/>
              <c:layout>
                <c:manualLayout>
                  <c:x val="-0.46545235667694423"/>
                  <c:y val="7.4870517981967082E-3"/>
                </c:manualLayout>
              </c:layout>
              <c:tx>
                <c:rich>
                  <a:bodyPr/>
                  <a:lstStyle/>
                  <a:p>
                    <a:r>
                      <a:rPr lang="ru-RU" sz="800" b="1">
                        <a:latin typeface="Times New Roman" pitchFamily="18" charset="0"/>
                        <a:cs typeface="Times New Roman" pitchFamily="18" charset="0"/>
                      </a:rPr>
                      <a:t>С</a:t>
                    </a:r>
                    <a:r>
                      <a:rPr lang="ru-RU" sz="800" b="1"/>
                      <a:t>овершенствование оказания медицинской помощи пострадавшим при дорожно-транспортных происшествиях; </a:t>
                    </a:r>
                  </a:p>
                  <a:p>
                    <a:r>
                      <a:rPr lang="ru-RU" sz="800" b="1"/>
                      <a:t>23, 1</a:t>
                    </a:r>
                    <a:endParaRPr lang="ru-RU"/>
                  </a:p>
                </c:rich>
              </c:tx>
              <c:showLegendKey val="1"/>
              <c:showVal val="1"/>
              <c:showCatName val="1"/>
              <c:showSerName val="1"/>
              <c:showPercent val="1"/>
              <c:showBubbleSize val="1"/>
            </c:dLbl>
            <c:dLbl>
              <c:idx val="12"/>
              <c:layout>
                <c:manualLayout>
                  <c:x val="-0.24491669430556751"/>
                  <c:y val="-1.9692261259950335E-2"/>
                </c:manualLayout>
              </c:layout>
              <c:tx>
                <c:rich>
                  <a:bodyPr/>
                  <a:lstStyle/>
                  <a:p>
                    <a:r>
                      <a:rPr lang="ru-RU" sz="800" b="1"/>
                      <a:t>Мероприятия по направлениям реализации государственной программы; </a:t>
                    </a:r>
                  </a:p>
                  <a:p>
                    <a:r>
                      <a:rPr lang="ru-RU" sz="800" b="1"/>
                      <a:t>23,6</a:t>
                    </a:r>
                    <a:endParaRPr lang="ru-RU"/>
                  </a:p>
                </c:rich>
              </c:tx>
              <c:showLegendKey val="1"/>
              <c:showVal val="1"/>
              <c:showCatName val="1"/>
              <c:showSerName val="1"/>
              <c:showPercent val="1"/>
              <c:showBubbleSize val="1"/>
            </c:dLbl>
            <c:txPr>
              <a:bodyPr/>
              <a:lstStyle/>
              <a:p>
                <a:pPr>
                  <a:defRPr sz="800" b="1">
                    <a:latin typeface="Times New Roman" pitchFamily="18" charset="0"/>
                    <a:cs typeface="Times New Roman" pitchFamily="18" charset="0"/>
                  </a:defRPr>
                </a:pPr>
                <a:endParaRPr lang="ru-RU"/>
              </a:p>
            </c:txPr>
            <c:showLegendKey val="1"/>
            <c:showVal val="1"/>
            <c:showCatName val="1"/>
            <c:showSerName val="1"/>
            <c:showPercent val="1"/>
            <c:showBubbleSize val="1"/>
            <c:showLeaderLines val="1"/>
          </c:dLbls>
          <c:cat>
            <c:strRef>
              <c:f>Лист3!$A$2:$A$14</c:f>
              <c:strCache>
                <c:ptCount val="13"/>
                <c:pt idx="0">
                  <c:v>Лекарственное обеспечение отдельных категорий граждан</c:v>
                </c:pt>
                <c:pt idx="1">
                  <c:v>Бюджетные инвестиции</c:v>
                </c:pt>
                <c:pt idx="2">
                  <c:v>Мероприятия по развитию службы крови</c:v>
                </c:pt>
                <c:pt idx="3">
                  <c:v>Мероприятия, направленные на формирование здорового образа жизни у населения, включая сокращение потребления алкоголя и табака</c:v>
                </c:pt>
                <c:pt idx="4">
                  <c:v>Обеспечение мер социальной поддержки донорам</c:v>
                </c:pt>
                <c:pt idx="5">
                  <c:v>Межбюджетные трансферты</c:v>
                </c:pt>
                <c:pt idx="6">
                  <c:v>Осуществление единовременных выплат медицинским работникам</c:v>
                </c:pt>
                <c:pt idx="7">
                  <c:v>Развитие медицинской реабилитации, в том числе детей</c:v>
                </c:pt>
                <c:pt idx="8">
                  <c:v>Содержание подведомственных учреждений</c:v>
                </c:pt>
                <c:pt idx="9">
                  <c:v>Расходы на обеспечение функций исполнительных органов государственной власти</c:v>
                </c:pt>
                <c:pt idx="10">
                  <c:v>Страховые взносы на обязательное медицинское страхование неработающего населения</c:v>
                </c:pt>
                <c:pt idx="11">
                  <c:v>Совершенствование оказания медицинской помощи пострадавшим при дорожно-транспортных происшествиях</c:v>
                </c:pt>
                <c:pt idx="12">
                  <c:v>Мероприятия по направлениям реализации государственной программы</c:v>
                </c:pt>
              </c:strCache>
            </c:strRef>
          </c:cat>
          <c:val>
            <c:numRef>
              <c:f>Лист3!$B$2:$B$14</c:f>
              <c:numCache>
                <c:formatCode>#,##0.0</c:formatCode>
                <c:ptCount val="13"/>
                <c:pt idx="0">
                  <c:v>654653.4</c:v>
                </c:pt>
                <c:pt idx="1">
                  <c:v>22127.599999999999</c:v>
                </c:pt>
                <c:pt idx="2">
                  <c:v>199.4</c:v>
                </c:pt>
                <c:pt idx="3">
                  <c:v>745.1</c:v>
                </c:pt>
                <c:pt idx="4">
                  <c:v>12464.6</c:v>
                </c:pt>
                <c:pt idx="5">
                  <c:v>15788.5</c:v>
                </c:pt>
                <c:pt idx="6">
                  <c:v>45000</c:v>
                </c:pt>
                <c:pt idx="7">
                  <c:v>28001.599999999999</c:v>
                </c:pt>
                <c:pt idx="8">
                  <c:v>1739153.9</c:v>
                </c:pt>
                <c:pt idx="9">
                  <c:v>44173.4</c:v>
                </c:pt>
                <c:pt idx="10">
                  <c:v>4882612</c:v>
                </c:pt>
                <c:pt idx="11">
                  <c:v>23106.5</c:v>
                </c:pt>
                <c:pt idx="12">
                  <c:v>23562</c:v>
                </c:pt>
              </c:numCache>
            </c:numRef>
          </c:val>
        </c:ser>
        <c:dLbls>
          <c:showLegendKey val="0"/>
          <c:showVal val="0"/>
          <c:showCatName val="0"/>
          <c:showSerName val="0"/>
          <c:showPercent val="0"/>
          <c:showBubbleSize val="0"/>
          <c:showLeaderLines val="1"/>
        </c:dLbls>
        <c:firstSliceAng val="29"/>
      </c:pieChart>
    </c:plotArea>
    <c:plotVisOnly val="1"/>
    <c:dispBlanksAs val="zero"/>
    <c:showDLblsOverMax val="1"/>
  </c:chart>
  <c:spPr>
    <a:noFill/>
    <a:ln>
      <a:noFill/>
    </a:ln>
  </c:spPr>
  <c:externalData r:id="rId1">
    <c:autoUpdate val="1"/>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10"/>
    </c:view3D>
    <c:floor>
      <c:thickness val="0"/>
    </c:floor>
    <c:sideWall>
      <c:thickness val="0"/>
    </c:sideWall>
    <c:backWall>
      <c:thickness val="0"/>
    </c:backWall>
    <c:plotArea>
      <c:layout>
        <c:manualLayout>
          <c:layoutTarget val="inner"/>
          <c:xMode val="edge"/>
          <c:yMode val="edge"/>
          <c:x val="0"/>
          <c:y val="3.5675900705784837E-2"/>
          <c:w val="0.66657154613010527"/>
          <c:h val="0.96286760231071"/>
        </c:manualLayout>
      </c:layout>
      <c:pie3DChart>
        <c:varyColors val="1"/>
        <c:ser>
          <c:idx val="0"/>
          <c:order val="0"/>
          <c:tx>
            <c:strRef>
              <c:f>Лист1!$B$1</c:f>
              <c:strCache>
                <c:ptCount val="1"/>
                <c:pt idx="0">
                  <c:v>Столбец2</c:v>
                </c:pt>
              </c:strCache>
            </c:strRef>
          </c:tx>
          <c:spPr>
            <a:scene3d>
              <a:camera prst="orthographicFront"/>
              <a:lightRig rig="threePt" dir="t"/>
            </a:scene3d>
            <a:sp3d>
              <a:bevelT/>
            </a:sp3d>
          </c:spPr>
          <c:explosion val="25"/>
          <c:dPt>
            <c:idx val="0"/>
            <c:bubble3D val="0"/>
            <c:spPr>
              <a:solidFill>
                <a:schemeClr val="accent6">
                  <a:lumMod val="60000"/>
                  <a:lumOff val="40000"/>
                </a:schemeClr>
              </a:solidFill>
              <a:scene3d>
                <a:camera prst="orthographicFront"/>
                <a:lightRig rig="threePt" dir="t"/>
              </a:scene3d>
              <a:sp3d>
                <a:bevelT/>
              </a:sp3d>
            </c:spPr>
          </c:dPt>
          <c:dPt>
            <c:idx val="1"/>
            <c:bubble3D val="0"/>
            <c:spPr>
              <a:solidFill>
                <a:srgbClr val="FFFF00"/>
              </a:solidFill>
              <a:scene3d>
                <a:camera prst="orthographicFront"/>
                <a:lightRig rig="threePt" dir="t"/>
              </a:scene3d>
              <a:sp3d>
                <a:bevelT/>
              </a:sp3d>
            </c:spPr>
          </c:dPt>
          <c:dPt>
            <c:idx val="2"/>
            <c:bubble3D val="0"/>
            <c:spPr>
              <a:solidFill>
                <a:srgbClr val="FF0000"/>
              </a:solidFill>
              <a:scene3d>
                <a:camera prst="orthographicFront"/>
                <a:lightRig rig="threePt" dir="t"/>
              </a:scene3d>
              <a:sp3d>
                <a:bevelT/>
              </a:sp3d>
            </c:spPr>
          </c:dPt>
          <c:dPt>
            <c:idx val="3"/>
            <c:bubble3D val="0"/>
            <c:spPr>
              <a:solidFill>
                <a:srgbClr val="7030A0"/>
              </a:solidFill>
              <a:scene3d>
                <a:camera prst="orthographicFront"/>
                <a:lightRig rig="threePt" dir="t"/>
              </a:scene3d>
              <a:sp3d>
                <a:bevelT/>
              </a:sp3d>
            </c:spPr>
          </c:dPt>
          <c:dPt>
            <c:idx val="4"/>
            <c:bubble3D val="0"/>
            <c:spPr>
              <a:solidFill>
                <a:srgbClr val="00B050"/>
              </a:solidFill>
              <a:scene3d>
                <a:camera prst="orthographicFront"/>
                <a:lightRig rig="threePt" dir="t"/>
              </a:scene3d>
              <a:sp3d>
                <a:bevelT/>
              </a:sp3d>
            </c:spPr>
          </c:dPt>
          <c:dPt>
            <c:idx val="5"/>
            <c:bubble3D val="0"/>
            <c:spPr>
              <a:solidFill>
                <a:srgbClr val="00B0F0"/>
              </a:solidFill>
              <a:scene3d>
                <a:camera prst="orthographicFront"/>
                <a:lightRig rig="threePt" dir="t"/>
              </a:scene3d>
              <a:sp3d>
                <a:bevelT/>
              </a:sp3d>
            </c:spPr>
          </c:dPt>
          <c:dLbls>
            <c:dLbl>
              <c:idx val="0"/>
              <c:layout>
                <c:manualLayout>
                  <c:x val="-9.2479950422863805E-2"/>
                  <c:y val="-1.9499902477082113E-2"/>
                </c:manualLayout>
              </c:layout>
              <c:tx>
                <c:rich>
                  <a:bodyPr/>
                  <a:lstStyle/>
                  <a:p>
                    <a:r>
                      <a:rPr lang="en-US"/>
                      <a:t>15</a:t>
                    </a:r>
                    <a:r>
                      <a:rPr lang="ru-RU"/>
                      <a:t>,</a:t>
                    </a:r>
                    <a:r>
                      <a:rPr lang="en-US"/>
                      <a:t>6</a:t>
                    </a:r>
                  </a:p>
                </c:rich>
              </c:tx>
              <c:showLegendKey val="0"/>
              <c:showVal val="1"/>
              <c:showCatName val="0"/>
              <c:showSerName val="0"/>
              <c:showPercent val="0"/>
              <c:showBubbleSize val="0"/>
            </c:dLbl>
            <c:dLbl>
              <c:idx val="1"/>
              <c:layout>
                <c:manualLayout>
                  <c:x val="-2.9268554972295129E-2"/>
                  <c:y val="-3.2380729471425784E-2"/>
                </c:manualLayout>
              </c:layout>
              <c:tx>
                <c:rich>
                  <a:bodyPr/>
                  <a:lstStyle/>
                  <a:p>
                    <a:r>
                      <a:rPr lang="en-US"/>
                      <a:t>41</a:t>
                    </a:r>
                    <a:r>
                      <a:rPr lang="ru-RU"/>
                      <a:t>,7</a:t>
                    </a:r>
                    <a:endParaRPr lang="en-US"/>
                  </a:p>
                </c:rich>
              </c:tx>
              <c:showLegendKey val="0"/>
              <c:showVal val="1"/>
              <c:showCatName val="0"/>
              <c:showSerName val="0"/>
              <c:showPercent val="0"/>
              <c:showBubbleSize val="0"/>
            </c:dLbl>
            <c:dLbl>
              <c:idx val="2"/>
              <c:layout/>
              <c:tx>
                <c:rich>
                  <a:bodyPr/>
                  <a:lstStyle/>
                  <a:p>
                    <a:r>
                      <a:rPr lang="ru-RU"/>
                      <a:t>0,</a:t>
                    </a:r>
                    <a:r>
                      <a:rPr lang="en-US"/>
                      <a:t>9</a:t>
                    </a:r>
                  </a:p>
                </c:rich>
              </c:tx>
              <c:showLegendKey val="0"/>
              <c:showVal val="1"/>
              <c:showCatName val="0"/>
              <c:showSerName val="0"/>
              <c:showPercent val="0"/>
              <c:showBubbleSize val="0"/>
            </c:dLbl>
            <c:dLbl>
              <c:idx val="3"/>
              <c:layout>
                <c:manualLayout>
                  <c:x val="9.8961978710994467E-3"/>
                  <c:y val="-5.2755997659449973E-3"/>
                </c:manualLayout>
              </c:layout>
              <c:tx>
                <c:rich>
                  <a:bodyPr/>
                  <a:lstStyle/>
                  <a:p>
                    <a:r>
                      <a:rPr lang="en-US"/>
                      <a:t>263</a:t>
                    </a:r>
                    <a:r>
                      <a:rPr lang="ru-RU"/>
                      <a:t>,</a:t>
                    </a:r>
                    <a:r>
                      <a:rPr lang="en-US"/>
                      <a:t>6</a:t>
                    </a:r>
                  </a:p>
                </c:rich>
              </c:tx>
              <c:showLegendKey val="0"/>
              <c:showVal val="1"/>
              <c:showCatName val="0"/>
              <c:showSerName val="0"/>
              <c:showPercent val="0"/>
              <c:showBubbleSize val="0"/>
            </c:dLbl>
            <c:dLbl>
              <c:idx val="4"/>
              <c:layout>
                <c:manualLayout>
                  <c:x val="5.5974773986585012E-3"/>
                  <c:y val="3.182149405110201E-2"/>
                </c:manualLayout>
              </c:layout>
              <c:tx>
                <c:rich>
                  <a:bodyPr/>
                  <a:lstStyle/>
                  <a:p>
                    <a:r>
                      <a:rPr lang="en-US"/>
                      <a:t>1347</a:t>
                    </a:r>
                    <a:r>
                      <a:rPr lang="ru-RU"/>
                      <a:t>,5</a:t>
                    </a:r>
                    <a:endParaRPr lang="en-US"/>
                  </a:p>
                </c:rich>
              </c:tx>
              <c:showLegendKey val="0"/>
              <c:showVal val="1"/>
              <c:showCatName val="0"/>
              <c:showSerName val="0"/>
              <c:showPercent val="0"/>
              <c:showBubbleSize val="0"/>
            </c:dLbl>
            <c:dLbl>
              <c:idx val="5"/>
              <c:layout>
                <c:manualLayout>
                  <c:x val="-2.4476432633420822E-2"/>
                  <c:y val="-7.3976984591378973E-3"/>
                </c:manualLayout>
              </c:layout>
              <c:tx>
                <c:rich>
                  <a:bodyPr/>
                  <a:lstStyle/>
                  <a:p>
                    <a:r>
                      <a:rPr lang="en-US"/>
                      <a:t>326</a:t>
                    </a:r>
                    <a:r>
                      <a:rPr lang="ru-RU"/>
                      <a:t>,3</a:t>
                    </a:r>
                    <a:endParaRPr lang="en-US"/>
                  </a:p>
                </c:rich>
              </c:tx>
              <c:showLegendKey val="0"/>
              <c:showVal val="1"/>
              <c:showCatName val="0"/>
              <c:showSerName val="0"/>
              <c:showPercent val="0"/>
              <c:showBubbleSize val="0"/>
            </c:dLbl>
            <c:txPr>
              <a:bodyPr/>
              <a:lstStyle/>
              <a:p>
                <a:pPr>
                  <a:defRPr sz="1200" b="1" baseline="0">
                    <a:latin typeface="Times New Roman" pitchFamily="18" charset="0"/>
                  </a:defRPr>
                </a:pPr>
                <a:endParaRPr lang="ru-RU"/>
              </a:p>
            </c:txPr>
            <c:showLegendKey val="0"/>
            <c:showVal val="1"/>
            <c:showCatName val="0"/>
            <c:showSerName val="0"/>
            <c:showPercent val="0"/>
            <c:showBubbleSize val="0"/>
            <c:showLeaderLines val="1"/>
          </c:dLbls>
          <c:cat>
            <c:strRef>
              <c:f>Лист1!$A$2:$A$7</c:f>
              <c:strCache>
                <c:ptCount val="6"/>
                <c:pt idx="0">
                  <c:v>Содержание органов государственной власти</c:v>
                </c:pt>
                <c:pt idx="1">
                  <c:v>Содержание подведомственной сети</c:v>
                </c:pt>
                <c:pt idx="2">
                  <c:v>Субсидии юридическим лицам</c:v>
                </c:pt>
                <c:pt idx="3">
                  <c:v>Бюджетные инвестиции</c:v>
                </c:pt>
                <c:pt idx="4">
                  <c:v>Межбюджетные трансферты</c:v>
                </c:pt>
                <c:pt idx="5">
                  <c:v>Меры социальной поддержки</c:v>
                </c:pt>
              </c:strCache>
            </c:strRef>
          </c:cat>
          <c:val>
            <c:numRef>
              <c:f>Лист1!$B$2:$B$7</c:f>
              <c:numCache>
                <c:formatCode>General</c:formatCode>
                <c:ptCount val="6"/>
                <c:pt idx="0" formatCode="0.0">
                  <c:v>15627</c:v>
                </c:pt>
                <c:pt idx="1">
                  <c:v>41657.699999999997</c:v>
                </c:pt>
                <c:pt idx="2" formatCode="0.0">
                  <c:v>900</c:v>
                </c:pt>
                <c:pt idx="3">
                  <c:v>263655.3</c:v>
                </c:pt>
                <c:pt idx="4">
                  <c:v>1347468.4</c:v>
                </c:pt>
                <c:pt idx="5">
                  <c:v>326272.90000000002</c:v>
                </c:pt>
              </c:numCache>
            </c:numRef>
          </c:val>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8324766695829686"/>
          <c:y val="0"/>
          <c:w val="0.30286344415281424"/>
          <c:h val="0.99989171055197967"/>
        </c:manualLayout>
      </c:layout>
      <c:overlay val="0"/>
      <c:txPr>
        <a:bodyPr/>
        <a:lstStyle/>
        <a:p>
          <a:pPr>
            <a:defRPr sz="1100" b="1" baseline="0">
              <a:latin typeface="Times New Roman" pitchFamily="18" charset="0"/>
            </a:defRPr>
          </a:pPr>
          <a:endParaRPr lang="ru-RU"/>
        </a:p>
      </c:txPr>
    </c:legend>
    <c:plotVisOnly val="1"/>
    <c:dispBlanksAs val="gap"/>
    <c:showDLblsOverMax val="0"/>
  </c:chart>
  <c:spPr>
    <a:noFill/>
    <a:ln>
      <a:noFill/>
    </a:ln>
    <a:effectLst>
      <a:glow rad="139700">
        <a:schemeClr val="accent2">
          <a:satMod val="175000"/>
          <a:alpha val="40000"/>
        </a:schemeClr>
      </a:glow>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plotArea>
      <c:layout/>
      <c:areaChart>
        <c:grouping val="standard"/>
        <c:varyColors val="0"/>
        <c:ser>
          <c:idx val="0"/>
          <c:order val="0"/>
          <c:tx>
            <c:strRef>
              <c:f>Лист1!$B$1</c:f>
              <c:strCache>
                <c:ptCount val="1"/>
                <c:pt idx="0">
                  <c:v>Денежные доходы (в среднем на душу населения в месяц), рублей</c:v>
                </c:pt>
              </c:strCache>
            </c:strRef>
          </c:tx>
          <c:spPr>
            <a:effectLst>
              <a:glow rad="139700">
                <a:schemeClr val="accent1">
                  <a:satMod val="175000"/>
                  <a:alpha val="40000"/>
                </a:schemeClr>
              </a:glow>
              <a:softEdge rad="0"/>
            </a:effectLst>
          </c:spPr>
          <c:dLbls>
            <c:dLbl>
              <c:idx val="0"/>
              <c:layout>
                <c:manualLayout>
                  <c:x val="3.9351868346773393E-2"/>
                  <c:y val="-0.24556098591124384"/>
                </c:manualLayout>
              </c:layout>
              <c:showLegendKey val="0"/>
              <c:showVal val="1"/>
              <c:showCatName val="0"/>
              <c:showSerName val="0"/>
              <c:showPercent val="0"/>
              <c:showBubbleSize val="0"/>
            </c:dLbl>
            <c:dLbl>
              <c:idx val="1"/>
              <c:layout>
                <c:manualLayout>
                  <c:x val="2.314778525987419E-3"/>
                  <c:y val="-0.24007386888273316"/>
                </c:manualLayout>
              </c:layout>
              <c:showLegendKey val="0"/>
              <c:showVal val="1"/>
              <c:showCatName val="0"/>
              <c:showSerName val="0"/>
              <c:showPercent val="0"/>
              <c:showBubbleSize val="0"/>
            </c:dLbl>
            <c:dLbl>
              <c:idx val="2"/>
              <c:layout>
                <c:manualLayout>
                  <c:x val="-4.6295570519748379E-3"/>
                  <c:y val="-0.26592797783933519"/>
                </c:manualLayout>
              </c:layout>
              <c:showLegendKey val="0"/>
              <c:showVal val="1"/>
              <c:showCatName val="0"/>
              <c:showSerName val="0"/>
              <c:showPercent val="0"/>
              <c:showBubbleSize val="0"/>
            </c:dLbl>
            <c:dLbl>
              <c:idx val="3"/>
              <c:layout>
                <c:manualLayout>
                  <c:x val="-5.0925925925925923E-2"/>
                  <c:y val="-0.28439519852262235"/>
                </c:manualLayout>
              </c:layout>
              <c:showLegendKey val="0"/>
              <c:showVal val="1"/>
              <c:showCatName val="0"/>
              <c:showSerName val="0"/>
              <c:showPercent val="0"/>
              <c:showBubbleSize val="0"/>
            </c:dLbl>
            <c:txPr>
              <a:bodyPr anchor="t" anchorCtr="0"/>
              <a:lstStyle/>
              <a:p>
                <a:pPr>
                  <a:defRPr sz="1100" b="1"/>
                </a:pPr>
                <a:endParaRPr lang="ru-RU"/>
              </a:p>
            </c:txPr>
            <c:showLegendKey val="0"/>
            <c:showVal val="1"/>
            <c:showCatName val="0"/>
            <c:showSerName val="0"/>
            <c:showPercent val="0"/>
            <c:showBubbleSize val="0"/>
            <c:showLeaderLines val="0"/>
          </c:dLbls>
          <c:cat>
            <c:numRef>
              <c:f>Лист1!$A$2:$A$5</c:f>
              <c:numCache>
                <c:formatCode>General</c:formatCode>
                <c:ptCount val="4"/>
                <c:pt idx="0">
                  <c:v>2012</c:v>
                </c:pt>
                <c:pt idx="1">
                  <c:v>2013</c:v>
                </c:pt>
                <c:pt idx="2">
                  <c:v>2014</c:v>
                </c:pt>
                <c:pt idx="3">
                  <c:v>2015</c:v>
                </c:pt>
              </c:numCache>
            </c:numRef>
          </c:cat>
          <c:val>
            <c:numRef>
              <c:f>Лист1!$B$2:$B$5</c:f>
              <c:numCache>
                <c:formatCode>General</c:formatCode>
                <c:ptCount val="4"/>
                <c:pt idx="0">
                  <c:v>21800.3</c:v>
                </c:pt>
                <c:pt idx="1">
                  <c:v>24671.1</c:v>
                </c:pt>
                <c:pt idx="2">
                  <c:v>26675.3</c:v>
                </c:pt>
                <c:pt idx="3">
                  <c:v>29703.9</c:v>
                </c:pt>
              </c:numCache>
            </c:numRef>
          </c:val>
        </c:ser>
        <c:ser>
          <c:idx val="1"/>
          <c:order val="1"/>
          <c:tx>
            <c:strRef>
              <c:f>Лист1!$C$1</c:f>
              <c:strCache>
                <c:ptCount val="1"/>
                <c:pt idx="0">
                  <c:v>Величина прожиточного минимума (в среднем на душу населения), рублей в месяц</c:v>
                </c:pt>
              </c:strCache>
            </c:strRef>
          </c:tx>
          <c:dLbls>
            <c:dLbl>
              <c:idx val="0"/>
              <c:layout>
                <c:manualLayout>
                  <c:x val="3.7037037037037035E-2"/>
                  <c:y val="-0.11080332409972299"/>
                </c:manualLayout>
              </c:layout>
              <c:showLegendKey val="0"/>
              <c:showVal val="1"/>
              <c:showCatName val="0"/>
              <c:showSerName val="0"/>
              <c:showPercent val="0"/>
              <c:showBubbleSize val="0"/>
            </c:dLbl>
            <c:dLbl>
              <c:idx val="1"/>
              <c:layout>
                <c:manualLayout>
                  <c:x val="4.6296296296296294E-3"/>
                  <c:y val="-0.11449676823638043"/>
                </c:manualLayout>
              </c:layout>
              <c:showLegendKey val="0"/>
              <c:showVal val="1"/>
              <c:showCatName val="0"/>
              <c:showSerName val="0"/>
              <c:showPercent val="0"/>
              <c:showBubbleSize val="0"/>
            </c:dLbl>
            <c:dLbl>
              <c:idx val="2"/>
              <c:layout>
                <c:manualLayout>
                  <c:x val="0"/>
                  <c:y val="-0.11449676823638043"/>
                </c:manualLayout>
              </c:layout>
              <c:showLegendKey val="0"/>
              <c:showVal val="1"/>
              <c:showCatName val="0"/>
              <c:showSerName val="0"/>
              <c:showPercent val="0"/>
              <c:showBubbleSize val="0"/>
            </c:dLbl>
            <c:dLbl>
              <c:idx val="3"/>
              <c:layout>
                <c:manualLayout>
                  <c:x val="-3.0092592592592591E-2"/>
                  <c:y val="-0.12188365650969529"/>
                </c:manualLayout>
              </c:layout>
              <c:showLegendKey val="0"/>
              <c:showVal val="1"/>
              <c:showCatName val="0"/>
              <c:showSerName val="0"/>
              <c:showPercent val="0"/>
              <c:showBubbleSize val="0"/>
            </c:dLbl>
            <c:txPr>
              <a:bodyPr/>
              <a:lstStyle/>
              <a:p>
                <a:pPr>
                  <a:defRPr sz="1100" b="1">
                    <a:solidFill>
                      <a:schemeClr val="bg1"/>
                    </a:solidFill>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2012</c:v>
                </c:pt>
                <c:pt idx="1">
                  <c:v>2013</c:v>
                </c:pt>
                <c:pt idx="2">
                  <c:v>2014</c:v>
                </c:pt>
                <c:pt idx="3">
                  <c:v>2015</c:v>
                </c:pt>
              </c:numCache>
            </c:numRef>
          </c:cat>
          <c:val>
            <c:numRef>
              <c:f>Лист1!$C$2:$C$5</c:f>
              <c:numCache>
                <c:formatCode>General</c:formatCode>
                <c:ptCount val="4"/>
                <c:pt idx="0">
                  <c:v>8217</c:v>
                </c:pt>
                <c:pt idx="1">
                  <c:v>9003</c:v>
                </c:pt>
                <c:pt idx="2">
                  <c:v>9456</c:v>
                </c:pt>
                <c:pt idx="3">
                  <c:v>10740</c:v>
                </c:pt>
              </c:numCache>
            </c:numRef>
          </c:val>
        </c:ser>
        <c:dLbls>
          <c:showLegendKey val="0"/>
          <c:showVal val="1"/>
          <c:showCatName val="0"/>
          <c:showSerName val="0"/>
          <c:showPercent val="0"/>
          <c:showBubbleSize val="0"/>
        </c:dLbls>
        <c:axId val="61110912"/>
        <c:axId val="61113856"/>
      </c:areaChart>
      <c:lineChart>
        <c:grouping val="standard"/>
        <c:varyColors val="0"/>
        <c:ser>
          <c:idx val="2"/>
          <c:order val="2"/>
          <c:tx>
            <c:strRef>
              <c:f>Лист1!$D$1</c:f>
              <c:strCache>
                <c:ptCount val="1"/>
                <c:pt idx="0">
                  <c:v>Доля населения с денежными доходами ниже величины прожиточного минимума в общей численности населения, процентов </c:v>
                </c:pt>
              </c:strCache>
            </c:strRef>
          </c:tx>
          <c:spPr>
            <a:ln>
              <a:solidFill>
                <a:srgbClr val="92D050"/>
              </a:solidFill>
            </a:ln>
          </c:spPr>
          <c:marker>
            <c:symbol val="square"/>
            <c:size val="5"/>
            <c:spPr>
              <a:solidFill>
                <a:srgbClr val="92D050"/>
              </a:solidFill>
            </c:spPr>
          </c:marker>
          <c:dLbls>
            <c:dLbl>
              <c:idx val="0"/>
              <c:layout>
                <c:manualLayout>
                  <c:x val="-1.6782407407407409E-2"/>
                  <c:y val="6.9252077562326875E-2"/>
                </c:manualLayout>
              </c:layout>
              <c:dLblPos val="r"/>
              <c:showLegendKey val="0"/>
              <c:showVal val="1"/>
              <c:showCatName val="0"/>
              <c:showSerName val="0"/>
              <c:showPercent val="0"/>
              <c:showBubbleSize val="0"/>
            </c:dLbl>
            <c:dLbl>
              <c:idx val="1"/>
              <c:layout>
                <c:manualLayout>
                  <c:x val="-4.751139139281798E-2"/>
                  <c:y val="6.0286314626184195E-2"/>
                </c:manualLayout>
              </c:layout>
              <c:dLblPos val="r"/>
              <c:showLegendKey val="0"/>
              <c:showVal val="1"/>
              <c:showCatName val="0"/>
              <c:showSerName val="0"/>
              <c:showPercent val="0"/>
              <c:showBubbleSize val="0"/>
            </c:dLbl>
            <c:dLbl>
              <c:idx val="3"/>
              <c:layout>
                <c:manualLayout>
                  <c:x val="-9.5486111111111105E-2"/>
                  <c:y val="4.7091412742382273E-2"/>
                </c:manualLayout>
              </c:layout>
              <c:dLblPos val="r"/>
              <c:showLegendKey val="0"/>
              <c:showVal val="1"/>
              <c:showCatName val="0"/>
              <c:showSerName val="0"/>
              <c:showPercent val="0"/>
              <c:showBubbleSize val="0"/>
            </c:dLbl>
            <c:numFmt formatCode="0.0%" sourceLinked="0"/>
            <c:spPr>
              <a:solidFill>
                <a:schemeClr val="accent3">
                  <a:lumMod val="60000"/>
                  <a:lumOff val="40000"/>
                </a:schemeClr>
              </a:solidFill>
              <a:ln w="28575">
                <a:solidFill>
                  <a:srgbClr val="00B050"/>
                </a:solidFill>
              </a:ln>
            </c:spPr>
            <c:txPr>
              <a:bodyPr/>
              <a:lstStyle/>
              <a:p>
                <a:pPr>
                  <a:defRPr sz="1100" b="1">
                    <a:solidFill>
                      <a:sysClr val="windowText" lastClr="000000"/>
                    </a:solidFill>
                  </a:defRPr>
                </a:pPr>
                <a:endParaRPr lang="ru-RU"/>
              </a:p>
            </c:txPr>
            <c:dLblPos val="b"/>
            <c:showLegendKey val="0"/>
            <c:showVal val="1"/>
            <c:showCatName val="0"/>
            <c:showSerName val="0"/>
            <c:showPercent val="0"/>
            <c:showBubbleSize val="0"/>
            <c:showLeaderLines val="0"/>
          </c:dLbls>
          <c:cat>
            <c:numRef>
              <c:f>Лист1!$A$2:$A$5</c:f>
              <c:numCache>
                <c:formatCode>General</c:formatCode>
                <c:ptCount val="4"/>
                <c:pt idx="0">
                  <c:v>2012</c:v>
                </c:pt>
                <c:pt idx="1">
                  <c:v>2013</c:v>
                </c:pt>
                <c:pt idx="2">
                  <c:v>2014</c:v>
                </c:pt>
                <c:pt idx="3">
                  <c:v>2015</c:v>
                </c:pt>
              </c:numCache>
            </c:numRef>
          </c:cat>
          <c:val>
            <c:numRef>
              <c:f>Лист1!$D$2:$D$5</c:f>
              <c:numCache>
                <c:formatCode>General</c:formatCode>
                <c:ptCount val="4"/>
                <c:pt idx="0">
                  <c:v>0.16</c:v>
                </c:pt>
                <c:pt idx="1">
                  <c:v>0.151</c:v>
                </c:pt>
                <c:pt idx="2">
                  <c:v>0.14000000000000001</c:v>
                </c:pt>
                <c:pt idx="3">
                  <c:v>0.14499999999999999</c:v>
                </c:pt>
              </c:numCache>
            </c:numRef>
          </c:val>
          <c:smooth val="0"/>
        </c:ser>
        <c:dLbls>
          <c:showLegendKey val="0"/>
          <c:showVal val="1"/>
          <c:showCatName val="0"/>
          <c:showSerName val="0"/>
          <c:showPercent val="0"/>
          <c:showBubbleSize val="0"/>
        </c:dLbls>
        <c:marker val="1"/>
        <c:smooth val="0"/>
        <c:axId val="61117184"/>
        <c:axId val="61115392"/>
      </c:lineChart>
      <c:catAx>
        <c:axId val="61110912"/>
        <c:scaling>
          <c:orientation val="minMax"/>
        </c:scaling>
        <c:delete val="0"/>
        <c:axPos val="b"/>
        <c:numFmt formatCode="General" sourceLinked="1"/>
        <c:majorTickMark val="out"/>
        <c:minorTickMark val="none"/>
        <c:tickLblPos val="nextTo"/>
        <c:txPr>
          <a:bodyPr/>
          <a:lstStyle/>
          <a:p>
            <a:pPr>
              <a:defRPr b="1"/>
            </a:pPr>
            <a:endParaRPr lang="ru-RU"/>
          </a:p>
        </c:txPr>
        <c:crossAx val="61113856"/>
        <c:crosses val="autoZero"/>
        <c:auto val="1"/>
        <c:lblAlgn val="ctr"/>
        <c:lblOffset val="100"/>
        <c:noMultiLvlLbl val="0"/>
      </c:catAx>
      <c:valAx>
        <c:axId val="61113856"/>
        <c:scaling>
          <c:orientation val="minMax"/>
        </c:scaling>
        <c:delete val="0"/>
        <c:axPos val="l"/>
        <c:majorGridlines>
          <c:spPr>
            <a:ln>
              <a:noFill/>
            </a:ln>
          </c:spPr>
        </c:majorGridlines>
        <c:numFmt formatCode="General" sourceLinked="1"/>
        <c:majorTickMark val="none"/>
        <c:minorTickMark val="none"/>
        <c:tickLblPos val="none"/>
        <c:spPr>
          <a:noFill/>
          <a:ln>
            <a:noFill/>
          </a:ln>
        </c:spPr>
        <c:crossAx val="61110912"/>
        <c:crosses val="autoZero"/>
        <c:crossBetween val="between"/>
      </c:valAx>
      <c:valAx>
        <c:axId val="61115392"/>
        <c:scaling>
          <c:orientation val="minMax"/>
          <c:max val="0.24000000000000002"/>
          <c:min val="0"/>
        </c:scaling>
        <c:delete val="0"/>
        <c:axPos val="r"/>
        <c:numFmt formatCode="0.0%" sourceLinked="0"/>
        <c:majorTickMark val="none"/>
        <c:minorTickMark val="none"/>
        <c:tickLblPos val="none"/>
        <c:spPr>
          <a:noFill/>
          <a:ln>
            <a:noFill/>
          </a:ln>
        </c:spPr>
        <c:crossAx val="61117184"/>
        <c:crosses val="max"/>
        <c:crossBetween val="between"/>
        <c:majorUnit val="8.0000000000000016E-2"/>
      </c:valAx>
      <c:catAx>
        <c:axId val="61117184"/>
        <c:scaling>
          <c:orientation val="minMax"/>
        </c:scaling>
        <c:delete val="1"/>
        <c:axPos val="b"/>
        <c:numFmt formatCode="General" sourceLinked="1"/>
        <c:majorTickMark val="out"/>
        <c:minorTickMark val="none"/>
        <c:tickLblPos val="nextTo"/>
        <c:crossAx val="61115392"/>
        <c:crosses val="autoZero"/>
        <c:auto val="1"/>
        <c:lblAlgn val="ctr"/>
        <c:lblOffset val="100"/>
        <c:noMultiLvlLbl val="0"/>
      </c:catAx>
    </c:plotArea>
    <c:legend>
      <c:legendPos val="b"/>
      <c:layout>
        <c:manualLayout>
          <c:xMode val="edge"/>
          <c:yMode val="edge"/>
          <c:x val="0"/>
          <c:y val="0.71441970030754465"/>
          <c:w val="0.99813666520851563"/>
          <c:h val="0.28558029384258005"/>
        </c:manualLayout>
      </c:layout>
      <c:overlay val="0"/>
      <c:txPr>
        <a:bodyPr/>
        <a:lstStyle/>
        <a:p>
          <a:pPr>
            <a:defRPr b="1"/>
          </a:pPr>
          <a:endParaRPr lang="ru-RU"/>
        </a:p>
      </c:txPr>
    </c:legend>
    <c:plotVisOnly val="1"/>
    <c:dispBlanksAs val="gap"/>
    <c:showDLblsOverMax val="0"/>
  </c:chart>
  <c:spPr>
    <a:solidFill>
      <a:schemeClr val="bg1"/>
    </a:solid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8.7549116085930509E-2"/>
          <c:w val="0.82407407407407407"/>
          <c:h val="0.79656531033621214"/>
        </c:manualLayout>
      </c:layout>
      <c:pie3DChart>
        <c:varyColors val="1"/>
        <c:ser>
          <c:idx val="0"/>
          <c:order val="0"/>
          <c:tx>
            <c:strRef>
              <c:f>Лист1!$B$1</c:f>
              <c:strCache>
                <c:ptCount val="1"/>
                <c:pt idx="0">
                  <c:v>Столбец1</c:v>
                </c:pt>
              </c:strCache>
            </c:strRef>
          </c:tx>
          <c:spPr>
            <a:ln w="15875">
              <a:solidFill>
                <a:sysClr val="windowText" lastClr="000000"/>
              </a:solidFill>
            </a:ln>
          </c:spPr>
          <c:explosion val="25"/>
          <c:dPt>
            <c:idx val="0"/>
            <c:bubble3D val="0"/>
            <c:explosion val="0"/>
            <c:spPr>
              <a:solidFill>
                <a:schemeClr val="accent5">
                  <a:lumMod val="60000"/>
                  <a:lumOff val="40000"/>
                </a:schemeClr>
              </a:solidFill>
              <a:ln w="15875">
                <a:solidFill>
                  <a:sysClr val="windowText" lastClr="000000"/>
                </a:solidFill>
              </a:ln>
            </c:spPr>
          </c:dPt>
          <c:dPt>
            <c:idx val="1"/>
            <c:bubble3D val="0"/>
            <c:explosion val="21"/>
            <c:spPr>
              <a:solidFill>
                <a:schemeClr val="accent2">
                  <a:lumMod val="60000"/>
                  <a:lumOff val="40000"/>
                </a:schemeClr>
              </a:solidFill>
              <a:ln w="15875">
                <a:solidFill>
                  <a:sysClr val="windowText" lastClr="000000"/>
                </a:solidFill>
              </a:ln>
            </c:spPr>
          </c:dPt>
          <c:dPt>
            <c:idx val="2"/>
            <c:bubble3D val="0"/>
            <c:spPr>
              <a:solidFill>
                <a:srgbClr val="00B050"/>
              </a:solidFill>
              <a:ln w="15875">
                <a:solidFill>
                  <a:sysClr val="windowText" lastClr="000000"/>
                </a:solidFill>
              </a:ln>
            </c:spPr>
          </c:dPt>
          <c:dPt>
            <c:idx val="3"/>
            <c:bubble3D val="0"/>
            <c:spPr>
              <a:solidFill>
                <a:schemeClr val="tx2">
                  <a:lumMod val="60000"/>
                  <a:lumOff val="40000"/>
                </a:schemeClr>
              </a:solidFill>
              <a:ln w="15875">
                <a:solidFill>
                  <a:sysClr val="windowText" lastClr="000000"/>
                </a:solidFill>
              </a:ln>
            </c:spPr>
          </c:dPt>
          <c:dPt>
            <c:idx val="4"/>
            <c:bubble3D val="0"/>
            <c:spPr>
              <a:solidFill>
                <a:srgbClr val="FFFF00"/>
              </a:solidFill>
              <a:ln w="15875">
                <a:solidFill>
                  <a:sysClr val="windowText" lastClr="000000"/>
                </a:solidFill>
              </a:ln>
            </c:spPr>
          </c:dPt>
          <c:dPt>
            <c:idx val="5"/>
            <c:bubble3D val="0"/>
            <c:explosion val="16"/>
            <c:spPr>
              <a:solidFill>
                <a:srgbClr val="7030A0"/>
              </a:solidFill>
              <a:ln w="15875">
                <a:solidFill>
                  <a:sysClr val="windowText" lastClr="000000"/>
                </a:solidFill>
              </a:ln>
            </c:spPr>
          </c:dPt>
          <c:dPt>
            <c:idx val="6"/>
            <c:bubble3D val="0"/>
            <c:explosion val="6"/>
            <c:spPr>
              <a:solidFill>
                <a:srgbClr val="FFC000"/>
              </a:solidFill>
              <a:ln w="15875">
                <a:solidFill>
                  <a:sysClr val="windowText" lastClr="000000"/>
                </a:solidFill>
              </a:ln>
            </c:spPr>
          </c:dPt>
          <c:dLbls>
            <c:dLbl>
              <c:idx val="0"/>
              <c:layout>
                <c:manualLayout>
                  <c:x val="-8.9984268398375089E-2"/>
                  <c:y val="-1.8573736677075948E-2"/>
                </c:manualLayout>
              </c:layout>
              <c:tx>
                <c:rich>
                  <a:bodyPr/>
                  <a:lstStyle/>
                  <a:p>
                    <a:r>
                      <a:rPr lang="ru-RU"/>
                      <a:t>Расходы на обеспечение деятельности                            государственных учреждений; 193,3</a:t>
                    </a:r>
                  </a:p>
                </c:rich>
              </c:tx>
              <c:showLegendKey val="1"/>
              <c:showVal val="1"/>
              <c:showCatName val="1"/>
              <c:showSerName val="0"/>
              <c:showPercent val="0"/>
              <c:showBubbleSize val="0"/>
            </c:dLbl>
            <c:dLbl>
              <c:idx val="1"/>
              <c:layout>
                <c:manualLayout>
                  <c:x val="-1.328387942117564E-2"/>
                  <c:y val="-0.16752115878563309"/>
                </c:manualLayout>
              </c:layout>
              <c:tx>
                <c:rich>
                  <a:bodyPr/>
                  <a:lstStyle/>
                  <a:p>
                    <a:r>
                      <a:rPr lang="ru-RU"/>
                      <a:t>Расходы на обеспечение функций исполнительных органов государственной власти; 123,4</a:t>
                    </a:r>
                  </a:p>
                </c:rich>
              </c:tx>
              <c:showLegendKey val="1"/>
              <c:showVal val="1"/>
              <c:showCatName val="1"/>
              <c:showSerName val="0"/>
              <c:showPercent val="0"/>
              <c:showBubbleSize val="0"/>
            </c:dLbl>
            <c:dLbl>
              <c:idx val="2"/>
              <c:layout>
                <c:manualLayout>
                  <c:x val="6.2597809076682318E-3"/>
                  <c:y val="-5.8554325094389938E-2"/>
                </c:manualLayout>
              </c:layout>
              <c:tx>
                <c:rich>
                  <a:bodyPr/>
                  <a:lstStyle/>
                  <a:p>
                    <a:r>
                      <a:rPr lang="ru-RU"/>
                      <a:t>Организация и проведение мероприятий по реализации госпрограммы; 3,9</a:t>
                    </a:r>
                  </a:p>
                </c:rich>
              </c:tx>
              <c:showLegendKey val="1"/>
              <c:showVal val="1"/>
              <c:showCatName val="1"/>
              <c:showSerName val="0"/>
              <c:showPercent val="0"/>
              <c:showBubbleSize val="0"/>
            </c:dLbl>
            <c:dLbl>
              <c:idx val="3"/>
              <c:layout>
                <c:manualLayout>
                  <c:x val="-1.8256872820474905E-3"/>
                  <c:y val="0.12268586747512177"/>
                </c:manualLayout>
              </c:layout>
              <c:tx>
                <c:rich>
                  <a:bodyPr/>
                  <a:lstStyle/>
                  <a:p>
                    <a:r>
                      <a:rPr lang="ru-RU"/>
                      <a:t>Развитие субъектов малого и среднего предпринимательства; 105,2</a:t>
                    </a:r>
                  </a:p>
                </c:rich>
              </c:tx>
              <c:showLegendKey val="1"/>
              <c:showVal val="1"/>
              <c:showCatName val="1"/>
              <c:showSerName val="0"/>
              <c:showPercent val="0"/>
              <c:showBubbleSize val="0"/>
            </c:dLbl>
            <c:dLbl>
              <c:idx val="4"/>
              <c:layout>
                <c:manualLayout>
                  <c:x val="-0.15920676582093904"/>
                  <c:y val="0.17915224500680729"/>
                </c:manualLayout>
              </c:layout>
              <c:tx>
                <c:rich>
                  <a:bodyPr/>
                  <a:lstStyle/>
                  <a:p>
                    <a:r>
                      <a:rPr lang="ru-RU"/>
                      <a:t>Организация профессиональной подготовки кадров; 3,6</a:t>
                    </a:r>
                  </a:p>
                </c:rich>
              </c:tx>
              <c:showLegendKey val="1"/>
              <c:showVal val="1"/>
              <c:showCatName val="1"/>
              <c:showSerName val="0"/>
              <c:showPercent val="0"/>
              <c:showBubbleSize val="0"/>
            </c:dLbl>
            <c:dLbl>
              <c:idx val="5"/>
              <c:layout>
                <c:manualLayout>
                  <c:x val="-0.20454663824298958"/>
                  <c:y val="2.9868127797893877E-2"/>
                </c:manualLayout>
              </c:layout>
              <c:tx>
                <c:rich>
                  <a:bodyPr/>
                  <a:lstStyle/>
                  <a:p>
                    <a:r>
                      <a:rPr lang="ru-RU"/>
                      <a:t>Развитие внутреннего и въездного туризма в Амурской области; 21,7</a:t>
                    </a:r>
                  </a:p>
                </c:rich>
              </c:tx>
              <c:showLegendKey val="1"/>
              <c:showVal val="1"/>
              <c:showCatName val="1"/>
              <c:showSerName val="0"/>
              <c:showPercent val="0"/>
              <c:showBubbleSize val="0"/>
            </c:dLbl>
            <c:dLbl>
              <c:idx val="6"/>
              <c:layout>
                <c:manualLayout>
                  <c:x val="3.3385498174230567E-2"/>
                  <c:y val="0.43553256572855398"/>
                </c:manualLayout>
              </c:layout>
              <c:tx>
                <c:rich>
                  <a:bodyPr/>
                  <a:lstStyle/>
                  <a:p>
                    <a:r>
                      <a:rPr lang="ru-RU"/>
                      <a:t>Содействие занятости населения области; 534,7</a:t>
                    </a:r>
                  </a:p>
                </c:rich>
              </c:tx>
              <c:showLegendKey val="1"/>
              <c:showVal val="1"/>
              <c:showCatName val="1"/>
              <c:showSerName val="0"/>
              <c:showPercent val="0"/>
              <c:showBubbleSize val="0"/>
            </c:dLbl>
            <c:dLbl>
              <c:idx val="7"/>
              <c:layout>
                <c:manualLayout>
                  <c:x val="-0.16601651356080491"/>
                  <c:y val="8.913071306816268E-4"/>
                </c:manualLayout>
              </c:layout>
              <c:tx>
                <c:rich>
                  <a:bodyPr/>
                  <a:lstStyle/>
                  <a:p>
                    <a:r>
                      <a:rPr lang="ru-RU"/>
                      <a:t>Иные направления расходов по госпрограмме; 6,3</a:t>
                    </a:r>
                  </a:p>
                </c:rich>
              </c:tx>
              <c:showLegendKey val="1"/>
              <c:showVal val="1"/>
              <c:showCatName val="1"/>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showLegendKey val="1"/>
            <c:showVal val="1"/>
            <c:showCatName val="1"/>
            <c:showSerName val="0"/>
            <c:showPercent val="0"/>
            <c:showBubbleSize val="0"/>
            <c:showLeaderLines val="1"/>
          </c:dLbls>
          <c:cat>
            <c:strRef>
              <c:f>Лист1!$A$2:$A$9</c:f>
              <c:strCache>
                <c:ptCount val="8"/>
                <c:pt idx="0">
                  <c:v>Расходы на обеспечение деятельности                            государственных учреждений</c:v>
                </c:pt>
                <c:pt idx="1">
                  <c:v>Расходы на обеспечение функций исполнительных органов государственной власти</c:v>
                </c:pt>
                <c:pt idx="2">
                  <c:v>Организация и проведение мероприятий по реализации госпрограммы</c:v>
                </c:pt>
                <c:pt idx="3">
                  <c:v>Развитие субъектов малого и среднего предпринимательства</c:v>
                </c:pt>
                <c:pt idx="4">
                  <c:v>Организация профессиональной подготовки кадров</c:v>
                </c:pt>
                <c:pt idx="5">
                  <c:v>Развитие внутреннего и въездного туризма в Амурской области</c:v>
                </c:pt>
                <c:pt idx="6">
                  <c:v>Содействие занятости населения области</c:v>
                </c:pt>
                <c:pt idx="7">
                  <c:v>Иные направления расходов по госпрограмме</c:v>
                </c:pt>
              </c:strCache>
            </c:strRef>
          </c:cat>
          <c:val>
            <c:numRef>
              <c:f>Лист1!$B$2:$B$9</c:f>
              <c:numCache>
                <c:formatCode>General</c:formatCode>
                <c:ptCount val="8"/>
                <c:pt idx="0">
                  <c:v>193271.4</c:v>
                </c:pt>
                <c:pt idx="1">
                  <c:v>123379.2</c:v>
                </c:pt>
                <c:pt idx="2">
                  <c:v>3858.4</c:v>
                </c:pt>
                <c:pt idx="3">
                  <c:v>105220.6</c:v>
                </c:pt>
                <c:pt idx="4">
                  <c:v>3644</c:v>
                </c:pt>
                <c:pt idx="5">
                  <c:v>217040.5</c:v>
                </c:pt>
                <c:pt idx="6">
                  <c:v>534696.30000000005</c:v>
                </c:pt>
                <c:pt idx="7">
                  <c:v>6291.5</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3240740740740741E-2"/>
          <c:y val="4.8356479954179375E-2"/>
          <c:w val="0.82407407407407407"/>
          <c:h val="0.79656531033621214"/>
        </c:manualLayout>
      </c:layout>
      <c:pie3DChart>
        <c:varyColors val="1"/>
        <c:ser>
          <c:idx val="0"/>
          <c:order val="0"/>
          <c:tx>
            <c:strRef>
              <c:f>Лист1!$B$1</c:f>
              <c:strCache>
                <c:ptCount val="1"/>
                <c:pt idx="0">
                  <c:v>Столбец1</c:v>
                </c:pt>
              </c:strCache>
            </c:strRef>
          </c:tx>
          <c:spPr>
            <a:ln w="15875">
              <a:solidFill>
                <a:sysClr val="windowText" lastClr="000000"/>
              </a:solidFill>
            </a:ln>
          </c:spPr>
          <c:explosion val="25"/>
          <c:dPt>
            <c:idx val="0"/>
            <c:bubble3D val="0"/>
            <c:explosion val="0"/>
            <c:spPr>
              <a:blipFill>
                <a:blip xmlns:r="http://schemas.openxmlformats.org/officeDocument/2006/relationships" r:embed="rId2"/>
                <a:tile tx="0" ty="0" sx="100000" sy="100000" flip="none" algn="tl"/>
              </a:blipFill>
              <a:ln w="15875">
                <a:solidFill>
                  <a:sysClr val="windowText" lastClr="000000"/>
                </a:solidFill>
              </a:ln>
            </c:spPr>
          </c:dPt>
          <c:dPt>
            <c:idx val="1"/>
            <c:bubble3D val="0"/>
            <c:explosion val="21"/>
            <c:spPr>
              <a:solidFill>
                <a:srgbClr val="FF0000"/>
              </a:solidFill>
              <a:ln w="15875">
                <a:solidFill>
                  <a:sysClr val="windowText" lastClr="000000"/>
                </a:solidFill>
              </a:ln>
            </c:spPr>
          </c:dPt>
          <c:dPt>
            <c:idx val="2"/>
            <c:bubble3D val="0"/>
            <c:spPr>
              <a:blipFill>
                <a:blip xmlns:r="http://schemas.openxmlformats.org/officeDocument/2006/relationships" r:embed="rId3"/>
                <a:tile tx="0" ty="0" sx="100000" sy="100000" flip="none" algn="tl"/>
              </a:blipFill>
              <a:ln w="15875">
                <a:solidFill>
                  <a:sysClr val="windowText" lastClr="000000"/>
                </a:solidFill>
              </a:ln>
            </c:spPr>
          </c:dPt>
          <c:dPt>
            <c:idx val="3"/>
            <c:bubble3D val="0"/>
            <c:explosion val="0"/>
            <c:spPr>
              <a:solidFill>
                <a:schemeClr val="accent6">
                  <a:lumMod val="60000"/>
                  <a:lumOff val="40000"/>
                </a:schemeClr>
              </a:solidFill>
              <a:ln w="15875">
                <a:solidFill>
                  <a:sysClr val="windowText" lastClr="000000"/>
                </a:solidFill>
              </a:ln>
            </c:spPr>
          </c:dPt>
          <c:dPt>
            <c:idx val="4"/>
            <c:bubble3D val="0"/>
            <c:explosion val="15"/>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a:ln w="15875">
                <a:solidFill>
                  <a:sysClr val="windowText" lastClr="000000"/>
                </a:solidFill>
              </a:ln>
            </c:spPr>
          </c:dPt>
          <c:dPt>
            <c:idx val="5"/>
            <c:bubble3D val="0"/>
            <c:explosion val="16"/>
            <c:spPr>
              <a:solidFill>
                <a:srgbClr val="7030A0"/>
              </a:solidFill>
              <a:ln w="15875">
                <a:solidFill>
                  <a:sysClr val="windowText" lastClr="000000"/>
                </a:solidFill>
              </a:ln>
            </c:spPr>
          </c:dPt>
          <c:dLbls>
            <c:dLbl>
              <c:idx val="0"/>
              <c:layout>
                <c:manualLayout>
                  <c:x val="7.4588477366255138E-2"/>
                  <c:y val="-6.1831637998039951E-2"/>
                </c:manualLayout>
              </c:layout>
              <c:tx>
                <c:rich>
                  <a:bodyPr/>
                  <a:lstStyle/>
                  <a:p>
                    <a:r>
                      <a:rPr lang="ru-RU"/>
                      <a:t>Расходы на обеспечение деятельности                            государственных учреждений; 77,9</a:t>
                    </a:r>
                  </a:p>
                </c:rich>
              </c:tx>
              <c:showLegendKey val="1"/>
              <c:showVal val="1"/>
              <c:showCatName val="1"/>
              <c:showSerName val="0"/>
              <c:showPercent val="0"/>
              <c:showBubbleSize val="0"/>
            </c:dLbl>
            <c:dLbl>
              <c:idx val="1"/>
              <c:layout>
                <c:manualLayout>
                  <c:x val="0"/>
                  <c:y val="0.12606783594110821"/>
                </c:manualLayout>
              </c:layout>
              <c:tx>
                <c:rich>
                  <a:bodyPr/>
                  <a:lstStyle/>
                  <a:p>
                    <a:r>
                      <a:rPr lang="ru-RU"/>
                      <a:t>Обеспечение функций исполнительных органов государственной власти; 10,3</a:t>
                    </a:r>
                  </a:p>
                </c:rich>
              </c:tx>
              <c:showLegendKey val="1"/>
              <c:showVal val="1"/>
              <c:showCatName val="1"/>
              <c:showSerName val="0"/>
              <c:showPercent val="0"/>
              <c:showBubbleSize val="0"/>
            </c:dLbl>
            <c:dLbl>
              <c:idx val="2"/>
              <c:layout>
                <c:manualLayout>
                  <c:x val="-0.14351851851851852"/>
                  <c:y val="0.1755711759206065"/>
                </c:manualLayout>
              </c:layout>
              <c:tx>
                <c:rich>
                  <a:bodyPr/>
                  <a:lstStyle/>
                  <a:p>
                    <a:r>
                      <a:rPr lang="ru-RU"/>
                      <a:t>Капитальные вложения в объекты муниципальной собственности; 33,7</a:t>
                    </a:r>
                  </a:p>
                </c:rich>
              </c:tx>
              <c:showLegendKey val="1"/>
              <c:showVal val="1"/>
              <c:showCatName val="1"/>
              <c:showSerName val="0"/>
              <c:showPercent val="0"/>
              <c:showBubbleSize val="0"/>
            </c:dLbl>
            <c:dLbl>
              <c:idx val="3"/>
              <c:layout>
                <c:manualLayout>
                  <c:x val="-0.21863112018405106"/>
                  <c:y val="9.3850382436101068E-2"/>
                </c:manualLayout>
              </c:layout>
              <c:tx>
                <c:rich>
                  <a:bodyPr/>
                  <a:lstStyle/>
                  <a:p>
                    <a:r>
                      <a:rPr lang="ru-RU"/>
                      <a:t>Поддержка спорт- организаций,     проведение всероссийских массовых спортмероп.</a:t>
                    </a:r>
                    <a:r>
                      <a:rPr lang="en-US"/>
                      <a:t>;</a:t>
                    </a:r>
                    <a:r>
                      <a:rPr lang="ru-RU"/>
                      <a:t> 6,8</a:t>
                    </a:r>
                  </a:p>
                </c:rich>
              </c:tx>
              <c:dLblPos val="bestFit"/>
              <c:showLegendKey val="1"/>
              <c:showVal val="1"/>
              <c:showCatName val="1"/>
              <c:showSerName val="0"/>
              <c:showPercent val="0"/>
              <c:showBubbleSize val="0"/>
            </c:dLbl>
            <c:dLbl>
              <c:idx val="4"/>
              <c:layout>
                <c:manualLayout>
                  <c:x val="1.3117364959009753E-2"/>
                  <c:y val="0.32493979025154046"/>
                </c:manualLayout>
              </c:layout>
              <c:tx>
                <c:rich>
                  <a:bodyPr/>
                  <a:lstStyle/>
                  <a:p>
                    <a:r>
                      <a:rPr lang="ru-RU"/>
                      <a:t>Реализация мероприятий ФЦП "Развитие физической культуры и спорта в Российской Федерации на 2006-2015 годы"; 120,0</a:t>
                    </a:r>
                  </a:p>
                </c:rich>
              </c:tx>
              <c:showLegendKey val="1"/>
              <c:showVal val="1"/>
              <c:showCatName val="1"/>
              <c:showSerName val="0"/>
              <c:showPercent val="0"/>
              <c:showBubbleSize val="0"/>
            </c:dLbl>
            <c:dLbl>
              <c:idx val="5"/>
              <c:layout>
                <c:manualLayout>
                  <c:x val="-0.18708029551861574"/>
                  <c:y val="4.5779685264663805E-2"/>
                </c:manualLayout>
              </c:layout>
              <c:tx>
                <c:rich>
                  <a:bodyPr/>
                  <a:lstStyle/>
                  <a:p>
                    <a:r>
                      <a:rPr lang="ru-RU"/>
                      <a:t>Реализация мероприятий подпрограммы "Развитие футбола в Российской Федерации на 2008-2015 годы"; 16,8</a:t>
                    </a:r>
                  </a:p>
                </c:rich>
              </c:tx>
              <c:showLegendKey val="1"/>
              <c:showVal val="1"/>
              <c:showCatName val="1"/>
              <c:showSerName val="0"/>
              <c:showPercent val="0"/>
              <c:showBubbleSize val="0"/>
            </c:dLbl>
            <c:dLbl>
              <c:idx val="6"/>
              <c:layout>
                <c:manualLayout>
                  <c:x val="-1.3586207121188762E-2"/>
                  <c:y val="-8.9119484001949374E-3"/>
                </c:manualLayout>
              </c:layout>
              <c:showLegendKey val="1"/>
              <c:showVal val="1"/>
              <c:showCatName val="1"/>
              <c:showSerName val="0"/>
              <c:showPercent val="0"/>
              <c:showBubbleSize val="0"/>
            </c:dLbl>
            <c:dLbl>
              <c:idx val="7"/>
              <c:layout>
                <c:manualLayout>
                  <c:x val="-0.16601651356080491"/>
                  <c:y val="8.913071306816268E-4"/>
                </c:manualLayout>
              </c:layout>
              <c:showLegendKey val="1"/>
              <c:showVal val="1"/>
              <c:showCatName val="1"/>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showLegendKey val="1"/>
            <c:showVal val="1"/>
            <c:showCatName val="1"/>
            <c:showSerName val="0"/>
            <c:showPercent val="0"/>
            <c:showBubbleSize val="0"/>
            <c:showLeaderLines val="1"/>
          </c:dLbls>
          <c:cat>
            <c:strRef>
              <c:f>Лист1!$A$2:$A$7</c:f>
              <c:strCache>
                <c:ptCount val="6"/>
                <c:pt idx="0">
                  <c:v>Расходы на обеспечение деятельности                            государственных учреждений</c:v>
                </c:pt>
                <c:pt idx="1">
                  <c:v>Расходы на обеспечение функций исполнительных органов государственной власти</c:v>
                </c:pt>
                <c:pt idx="2">
                  <c:v>Капитальные вложения в объекты муниципальной собственности</c:v>
                </c:pt>
                <c:pt idx="3">
                  <c:v>Поддержка спортивных организаций,проведение всероссийских массовых спортмероприятий</c:v>
                </c:pt>
                <c:pt idx="4">
                  <c:v>Реализация мероприятий ФЦП "Развитие физической культуры и спорта в Российской Федерации на 2006-2015 годы"</c:v>
                </c:pt>
                <c:pt idx="5">
                  <c:v>Реализация мероприятий подпрограммы "Развитие футбола в Российской Федерации на 2008-2015 годы"</c:v>
                </c:pt>
              </c:strCache>
            </c:strRef>
          </c:cat>
          <c:val>
            <c:numRef>
              <c:f>Лист1!$B$2:$B$7</c:f>
              <c:numCache>
                <c:formatCode>General</c:formatCode>
                <c:ptCount val="6"/>
                <c:pt idx="0">
                  <c:v>77913.399999999994</c:v>
                </c:pt>
                <c:pt idx="1">
                  <c:v>10263.4</c:v>
                </c:pt>
                <c:pt idx="2">
                  <c:v>33672.699999999997</c:v>
                </c:pt>
                <c:pt idx="3">
                  <c:v>6804.6</c:v>
                </c:pt>
                <c:pt idx="4">
                  <c:v>120000</c:v>
                </c:pt>
                <c:pt idx="5">
                  <c:v>16842</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70"/>
      <c:rAngAx val="0"/>
      <c:perspective val="50"/>
    </c:view3D>
    <c:floor>
      <c:thickness val="0"/>
    </c:floor>
    <c:sideWall>
      <c:thickness val="0"/>
    </c:sideWall>
    <c:backWall>
      <c:thickness val="0"/>
    </c:backWall>
    <c:plotArea>
      <c:layout>
        <c:manualLayout>
          <c:layoutTarget val="inner"/>
          <c:xMode val="edge"/>
          <c:yMode val="edge"/>
          <c:x val="2.6537316423233363E-2"/>
          <c:y val="0"/>
          <c:w val="0.95896587552662338"/>
          <c:h val="0.56802085578255512"/>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sp3d>
          </c:spPr>
          <c:explosion val="23"/>
          <c:dPt>
            <c:idx val="0"/>
            <c:bubble3D val="0"/>
            <c:spPr>
              <a:solidFill>
                <a:srgbClr val="7030A0"/>
              </a:solidFill>
              <a:scene3d>
                <a:camera prst="orthographicFront"/>
                <a:lightRig rig="threePt" dir="t"/>
              </a:scene3d>
              <a:sp3d>
                <a:bevelT/>
              </a:sp3d>
            </c:spPr>
          </c:dPt>
          <c:dPt>
            <c:idx val="1"/>
            <c:bubble3D val="0"/>
            <c:explosion val="37"/>
            <c:spPr>
              <a:solidFill>
                <a:schemeClr val="tx2">
                  <a:lumMod val="60000"/>
                  <a:lumOff val="40000"/>
                </a:schemeClr>
              </a:solidFill>
              <a:scene3d>
                <a:camera prst="orthographicFront"/>
                <a:lightRig rig="threePt" dir="t"/>
              </a:scene3d>
              <a:sp3d>
                <a:bevelT/>
              </a:sp3d>
            </c:spPr>
          </c:dPt>
          <c:dPt>
            <c:idx val="2"/>
            <c:bubble3D val="0"/>
            <c:spPr>
              <a:solidFill>
                <a:srgbClr val="FF0000"/>
              </a:solidFill>
              <a:scene3d>
                <a:camera prst="orthographicFront"/>
                <a:lightRig rig="threePt" dir="t"/>
              </a:scene3d>
              <a:sp3d>
                <a:bevelT/>
              </a:sp3d>
            </c:spPr>
          </c:dPt>
          <c:dPt>
            <c:idx val="3"/>
            <c:bubble3D val="0"/>
            <c:spPr>
              <a:solidFill>
                <a:srgbClr val="00B050"/>
              </a:solidFill>
              <a:scene3d>
                <a:camera prst="orthographicFront"/>
                <a:lightRig rig="threePt" dir="t"/>
              </a:scene3d>
              <a:sp3d>
                <a:bevelT/>
              </a:sp3d>
            </c:spPr>
          </c:dPt>
          <c:dPt>
            <c:idx val="4"/>
            <c:bubble3D val="0"/>
            <c:spPr>
              <a:solidFill>
                <a:schemeClr val="accent6">
                  <a:lumMod val="60000"/>
                  <a:lumOff val="40000"/>
                </a:schemeClr>
              </a:solidFill>
              <a:effectLst/>
              <a:scene3d>
                <a:camera prst="orthographicFront"/>
                <a:lightRig rig="threePt" dir="t"/>
              </a:scene3d>
              <a:sp3d prstMaterial="flat">
                <a:bevelT/>
              </a:sp3d>
            </c:spPr>
          </c:dPt>
          <c:dPt>
            <c:idx val="5"/>
            <c:bubble3D val="0"/>
            <c:spPr>
              <a:solidFill>
                <a:srgbClr val="0070C0"/>
              </a:solidFill>
              <a:scene3d>
                <a:camera prst="orthographicFront"/>
                <a:lightRig rig="threePt" dir="t"/>
              </a:scene3d>
              <a:sp3d>
                <a:bevelT/>
              </a:sp3d>
            </c:spPr>
          </c:dPt>
          <c:dPt>
            <c:idx val="6"/>
            <c:bubble3D val="0"/>
            <c:explosion val="33"/>
            <c:spPr>
              <a:solidFill>
                <a:srgbClr val="00B0F0"/>
              </a:solidFill>
              <a:effectLst>
                <a:outerShdw blurRad="50800" dist="50800" dir="5400000" algn="ctr" rotWithShape="0">
                  <a:schemeClr val="bg1"/>
                </a:outerShdw>
              </a:effectLst>
              <a:scene3d>
                <a:camera prst="orthographicFront"/>
                <a:lightRig rig="threePt" dir="t"/>
              </a:scene3d>
              <a:sp3d prstMaterial="flat">
                <a:bevelT/>
              </a:sp3d>
            </c:spPr>
          </c:dPt>
          <c:dPt>
            <c:idx val="7"/>
            <c:bubble3D val="0"/>
            <c:spPr>
              <a:solidFill>
                <a:srgbClr val="FFFF00"/>
              </a:solidFill>
              <a:scene3d>
                <a:camera prst="orthographicFront"/>
                <a:lightRig rig="threePt" dir="t"/>
              </a:scene3d>
              <a:sp3d>
                <a:bevelT/>
              </a:sp3d>
            </c:spPr>
          </c:dPt>
          <c:dPt>
            <c:idx val="8"/>
            <c:bubble3D val="0"/>
            <c:spPr>
              <a:solidFill>
                <a:srgbClr val="C00000"/>
              </a:solidFill>
              <a:scene3d>
                <a:camera prst="orthographicFront"/>
                <a:lightRig rig="threePt" dir="t"/>
              </a:scene3d>
              <a:sp3d>
                <a:bevelT/>
              </a:sp3d>
            </c:spPr>
          </c:dPt>
          <c:dPt>
            <c:idx val="9"/>
            <c:bubble3D val="0"/>
            <c:spPr>
              <a:scene3d>
                <a:camera prst="orthographicFront"/>
                <a:lightRig rig="threePt" dir="t"/>
              </a:scene3d>
              <a:sp3d prstMaterial="flat">
                <a:bevelT/>
              </a:sp3d>
            </c:spPr>
          </c:dPt>
          <c:dPt>
            <c:idx val="10"/>
            <c:bubble3D val="0"/>
            <c:spPr>
              <a:solidFill>
                <a:srgbClr val="FFC000"/>
              </a:solidFill>
              <a:scene3d>
                <a:camera prst="orthographicFront"/>
                <a:lightRig rig="threePt" dir="t"/>
              </a:scene3d>
              <a:sp3d>
                <a:bevelT/>
              </a:sp3d>
            </c:spPr>
          </c:dPt>
          <c:dLbls>
            <c:dLbl>
              <c:idx val="0"/>
              <c:layout>
                <c:manualLayout>
                  <c:x val="-1.0871909171975788E-3"/>
                  <c:y val="5.8546975089264375E-2"/>
                </c:manualLayout>
              </c:layout>
              <c:tx>
                <c:rich>
                  <a:bodyPr/>
                  <a:lstStyle/>
                  <a:p>
                    <a:r>
                      <a:rPr lang="en-US"/>
                      <a:t>339</a:t>
                    </a:r>
                    <a:r>
                      <a:rPr lang="ru-RU"/>
                      <a:t>,2</a:t>
                    </a:r>
                    <a:endParaRPr lang="en-US"/>
                  </a:p>
                </c:rich>
              </c:tx>
              <c:showLegendKey val="0"/>
              <c:showVal val="1"/>
              <c:showCatName val="0"/>
              <c:showSerName val="0"/>
              <c:showPercent val="0"/>
              <c:showBubbleSize val="0"/>
            </c:dLbl>
            <c:dLbl>
              <c:idx val="1"/>
              <c:layout>
                <c:manualLayout>
                  <c:x val="-9.1384276329133356E-4"/>
                  <c:y val="1.503064597671089E-2"/>
                </c:manualLayout>
              </c:layout>
              <c:tx>
                <c:rich>
                  <a:bodyPr/>
                  <a:lstStyle/>
                  <a:p>
                    <a:r>
                      <a:rPr lang="en-US"/>
                      <a:t>1</a:t>
                    </a:r>
                    <a:r>
                      <a:rPr lang="ru-RU"/>
                      <a:t>,8</a:t>
                    </a:r>
                    <a:endParaRPr lang="en-US"/>
                  </a:p>
                </c:rich>
              </c:tx>
              <c:showLegendKey val="0"/>
              <c:showVal val="1"/>
              <c:showCatName val="0"/>
              <c:showSerName val="0"/>
              <c:showPercent val="0"/>
              <c:showBubbleSize val="0"/>
            </c:dLbl>
            <c:dLbl>
              <c:idx val="2"/>
              <c:layout>
                <c:manualLayout>
                  <c:x val="-8.2572999278730699E-2"/>
                  <c:y val="5.7752195274714379E-3"/>
                </c:manualLayout>
              </c:layout>
              <c:tx>
                <c:rich>
                  <a:bodyPr/>
                  <a:lstStyle/>
                  <a:p>
                    <a:r>
                      <a:rPr lang="en-US"/>
                      <a:t>84</a:t>
                    </a:r>
                    <a:r>
                      <a:rPr lang="ru-RU"/>
                      <a:t>,4</a:t>
                    </a:r>
                    <a:endParaRPr lang="en-US"/>
                  </a:p>
                </c:rich>
              </c:tx>
              <c:showLegendKey val="0"/>
              <c:showVal val="1"/>
              <c:showCatName val="0"/>
              <c:showSerName val="0"/>
              <c:showPercent val="0"/>
              <c:showBubbleSize val="0"/>
            </c:dLbl>
            <c:dLbl>
              <c:idx val="3"/>
              <c:layout>
                <c:manualLayout>
                  <c:x val="-4.9104629549227515E-4"/>
                  <c:y val="2.1428654716998417E-2"/>
                </c:manualLayout>
              </c:layout>
              <c:tx>
                <c:rich>
                  <a:bodyPr/>
                  <a:lstStyle/>
                  <a:p>
                    <a:r>
                      <a:rPr lang="en-US"/>
                      <a:t>1903</a:t>
                    </a:r>
                    <a:r>
                      <a:rPr lang="ru-RU"/>
                      <a:t>,</a:t>
                    </a:r>
                    <a:r>
                      <a:rPr lang="en-US"/>
                      <a:t>6</a:t>
                    </a:r>
                  </a:p>
                </c:rich>
              </c:tx>
              <c:showLegendKey val="0"/>
              <c:showVal val="1"/>
              <c:showCatName val="0"/>
              <c:showSerName val="0"/>
              <c:showPercent val="0"/>
              <c:showBubbleSize val="0"/>
            </c:dLbl>
            <c:dLbl>
              <c:idx val="4"/>
              <c:layout>
                <c:manualLayout>
                  <c:x val="-1.0014781054232338E-2"/>
                  <c:y val="-2.1098832546118884E-2"/>
                </c:manualLayout>
              </c:layout>
              <c:tx>
                <c:rich>
                  <a:bodyPr/>
                  <a:lstStyle/>
                  <a:p>
                    <a:r>
                      <a:rPr lang="en-US"/>
                      <a:t>227</a:t>
                    </a:r>
                    <a:r>
                      <a:rPr lang="ru-RU"/>
                      <a:t>,</a:t>
                    </a:r>
                    <a:r>
                      <a:rPr lang="en-US"/>
                      <a:t>6</a:t>
                    </a:r>
                  </a:p>
                </c:rich>
              </c:tx>
              <c:showLegendKey val="0"/>
              <c:showVal val="1"/>
              <c:showCatName val="0"/>
              <c:showSerName val="0"/>
              <c:showPercent val="0"/>
              <c:showBubbleSize val="0"/>
            </c:dLbl>
            <c:dLbl>
              <c:idx val="5"/>
              <c:layout>
                <c:manualLayout>
                  <c:x val="3.2487558825423667E-2"/>
                  <c:y val="-1.3222037784627791E-2"/>
                </c:manualLayout>
              </c:layout>
              <c:tx>
                <c:rich>
                  <a:bodyPr/>
                  <a:lstStyle/>
                  <a:p>
                    <a:r>
                      <a:rPr lang="en-US"/>
                      <a:t>3536</a:t>
                    </a:r>
                    <a:r>
                      <a:rPr lang="ru-RU"/>
                      <a:t>,</a:t>
                    </a:r>
                    <a:r>
                      <a:rPr lang="en-US"/>
                      <a:t>7</a:t>
                    </a:r>
                  </a:p>
                </c:rich>
              </c:tx>
              <c:showLegendKey val="0"/>
              <c:showVal val="1"/>
              <c:showCatName val="0"/>
              <c:showSerName val="0"/>
              <c:showPercent val="0"/>
              <c:showBubbleSize val="0"/>
            </c:dLbl>
            <c:dLbl>
              <c:idx val="6"/>
              <c:layout>
                <c:manualLayout>
                  <c:x val="5.6642550659475974E-2"/>
                  <c:y val="-5.081593507500539E-2"/>
                </c:manualLayout>
              </c:layout>
              <c:tx>
                <c:rich>
                  <a:bodyPr/>
                  <a:lstStyle/>
                  <a:p>
                    <a:r>
                      <a:rPr lang="en-US"/>
                      <a:t>6</a:t>
                    </a:r>
                    <a:r>
                      <a:rPr lang="ru-RU"/>
                      <a:t>,</a:t>
                    </a:r>
                    <a:r>
                      <a:rPr lang="en-US"/>
                      <a:t>6</a:t>
                    </a:r>
                  </a:p>
                </c:rich>
              </c:tx>
              <c:showLegendKey val="0"/>
              <c:showVal val="1"/>
              <c:showCatName val="0"/>
              <c:showSerName val="0"/>
              <c:showPercent val="0"/>
              <c:showBubbleSize val="0"/>
            </c:dLbl>
            <c:dLbl>
              <c:idx val="7"/>
              <c:layout>
                <c:manualLayout>
                  <c:x val="2.6846053702040552E-2"/>
                  <c:y val="1.149213715605003E-2"/>
                </c:manualLayout>
              </c:layout>
              <c:tx>
                <c:rich>
                  <a:bodyPr/>
                  <a:lstStyle/>
                  <a:p>
                    <a:r>
                      <a:rPr lang="en-US"/>
                      <a:t>62</a:t>
                    </a:r>
                    <a:r>
                      <a:rPr lang="ru-RU"/>
                      <a:t>,</a:t>
                    </a:r>
                    <a:r>
                      <a:rPr lang="en-US"/>
                      <a:t>7</a:t>
                    </a:r>
                  </a:p>
                </c:rich>
              </c:tx>
              <c:showLegendKey val="0"/>
              <c:showVal val="1"/>
              <c:showCatName val="0"/>
              <c:showSerName val="0"/>
              <c:showPercent val="0"/>
              <c:showBubbleSize val="0"/>
            </c:dLbl>
            <c:dLbl>
              <c:idx val="8"/>
              <c:layout>
                <c:manualLayout>
                  <c:x val="2.6845252647724829E-2"/>
                  <c:y val="5.5010340258210784E-2"/>
                </c:manualLayout>
              </c:layout>
              <c:tx>
                <c:rich>
                  <a:bodyPr/>
                  <a:lstStyle/>
                  <a:p>
                    <a:r>
                      <a:rPr lang="en-US"/>
                      <a:t>4</a:t>
                    </a:r>
                    <a:r>
                      <a:rPr lang="ru-RU"/>
                      <a:t>4,0</a:t>
                    </a:r>
                    <a:endParaRPr lang="en-US"/>
                  </a:p>
                </c:rich>
              </c:tx>
              <c:showLegendKey val="0"/>
              <c:showVal val="1"/>
              <c:showCatName val="0"/>
              <c:showSerName val="0"/>
              <c:showPercent val="0"/>
              <c:showBubbleSize val="0"/>
            </c:dLbl>
            <c:dLbl>
              <c:idx val="9"/>
              <c:layout/>
              <c:tx>
                <c:rich>
                  <a:bodyPr/>
                  <a:lstStyle/>
                  <a:p>
                    <a:r>
                      <a:rPr lang="en-US"/>
                      <a:t>85</a:t>
                    </a:r>
                    <a:r>
                      <a:rPr lang="ru-RU"/>
                      <a:t>,</a:t>
                    </a:r>
                    <a:r>
                      <a:rPr lang="en-US"/>
                      <a:t>9</a:t>
                    </a:r>
                  </a:p>
                </c:rich>
              </c:tx>
              <c:showLegendKey val="0"/>
              <c:showVal val="1"/>
              <c:showCatName val="0"/>
              <c:showSerName val="0"/>
              <c:showPercent val="0"/>
              <c:showBubbleSize val="0"/>
            </c:dLbl>
            <c:dLbl>
              <c:idx val="10"/>
              <c:layout>
                <c:manualLayout>
                  <c:x val="-3.2715699094520247E-2"/>
                  <c:y val="6.3808096801141384E-2"/>
                </c:manualLayout>
              </c:layout>
              <c:tx>
                <c:rich>
                  <a:bodyPr/>
                  <a:lstStyle/>
                  <a:p>
                    <a:r>
                      <a:rPr lang="en-US"/>
                      <a:t>156</a:t>
                    </a:r>
                    <a:r>
                      <a:rPr lang="ru-RU"/>
                      <a:t>,1</a:t>
                    </a:r>
                    <a:endParaRPr lang="en-US"/>
                  </a:p>
                </c:rich>
              </c:tx>
              <c:showLegendKey val="0"/>
              <c:showVal val="1"/>
              <c:showCatName val="0"/>
              <c:showSerName val="0"/>
              <c:showPercent val="0"/>
              <c:showBubbleSize val="0"/>
            </c:dLbl>
            <c:txPr>
              <a:bodyPr/>
              <a:lstStyle/>
              <a:p>
                <a:pPr>
                  <a:defRPr sz="1100" b="1" baseline="0">
                    <a:latin typeface="Times New Roman" pitchFamily="18" charset="0"/>
                  </a:defRPr>
                </a:pPr>
                <a:endParaRPr lang="ru-RU"/>
              </a:p>
            </c:txPr>
            <c:showLegendKey val="0"/>
            <c:showVal val="1"/>
            <c:showCatName val="0"/>
            <c:showSerName val="0"/>
            <c:showPercent val="0"/>
            <c:showBubbleSize val="0"/>
            <c:showLeaderLines val="1"/>
          </c:dLbls>
          <c:cat>
            <c:strRef>
              <c:f>Лист1!$A$2:$A$12</c:f>
              <c:strCache>
                <c:ptCount val="11"/>
                <c:pt idx="0">
                  <c:v>Содержание органов государственной власти</c:v>
                </c:pt>
                <c:pt idx="1">
                  <c:v>Резервный фонд Правительства области</c:v>
                </c:pt>
                <c:pt idx="2">
                  <c:v>Оплата по исполнительным документам</c:v>
                </c:pt>
                <c:pt idx="3">
                  <c:v>Обслуживание государственного долга области</c:v>
                </c:pt>
                <c:pt idx="4">
                  <c:v>Дотации бюджетам муниципальных образований области </c:v>
                </c:pt>
                <c:pt idx="5">
                  <c:v>Поддержка мер по обеспечению сбалансированности</c:v>
                </c:pt>
                <c:pt idx="6">
                  <c:v>Организация и проведение мероприятий по реализации программы</c:v>
                </c:pt>
                <c:pt idx="7">
                  <c:v>Обеспечение деятельности государственных учреждений области</c:v>
                </c:pt>
                <c:pt idx="8">
                  <c:v>Прочие мероприятия в сфере информационных технологий</c:v>
                </c:pt>
                <c:pt idx="9">
                  <c:v>Финансовое обеспечение перерданных государственных полномочий</c:v>
                </c:pt>
                <c:pt idx="10">
                  <c:v>Обеспечение деятельности мировых судей</c:v>
                </c:pt>
              </c:strCache>
            </c:strRef>
          </c:cat>
          <c:val>
            <c:numRef>
              <c:f>Лист1!$B$2:$B$12</c:f>
              <c:numCache>
                <c:formatCode>General</c:formatCode>
                <c:ptCount val="11"/>
                <c:pt idx="0">
                  <c:v>339174.9</c:v>
                </c:pt>
                <c:pt idx="1">
                  <c:v>1770.5</c:v>
                </c:pt>
                <c:pt idx="2">
                  <c:v>84378.6</c:v>
                </c:pt>
                <c:pt idx="3">
                  <c:v>1903647.9</c:v>
                </c:pt>
                <c:pt idx="4">
                  <c:v>227622.9</c:v>
                </c:pt>
                <c:pt idx="5">
                  <c:v>3536677.5</c:v>
                </c:pt>
                <c:pt idx="6">
                  <c:v>6649.2</c:v>
                </c:pt>
                <c:pt idx="7">
                  <c:v>62708.1</c:v>
                </c:pt>
                <c:pt idx="8">
                  <c:v>43978.5</c:v>
                </c:pt>
                <c:pt idx="9">
                  <c:v>85914.7</c:v>
                </c:pt>
                <c:pt idx="10">
                  <c:v>156089.20000000001</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
          <c:y val="0.57679502676207517"/>
          <c:w val="0.99856034518391723"/>
          <c:h val="0.42311083107691105"/>
        </c:manualLayout>
      </c:layout>
      <c:overlay val="0"/>
      <c:spPr>
        <a:noFill/>
      </c:spPr>
      <c:txPr>
        <a:bodyPr/>
        <a:lstStyle/>
        <a:p>
          <a:pPr>
            <a:defRPr sz="1000" b="1" baseline="0">
              <a:latin typeface="Times New Roman" pitchFamily="18" charset="0"/>
            </a:defRPr>
          </a:pPr>
          <a:endParaRPr lang="ru-RU"/>
        </a:p>
      </c:txPr>
    </c:legend>
    <c:plotVisOnly val="1"/>
    <c:dispBlanksAs val="gap"/>
    <c:showDLblsOverMax val="0"/>
  </c:chart>
  <c:spPr>
    <a:noFill/>
    <a:ln>
      <a:noFill/>
    </a:ln>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7.5495998779969015E-2"/>
          <c:y val="5.9357297729088217E-2"/>
          <c:w val="0.56660791254304221"/>
          <c:h val="0.80556864087641222"/>
        </c:manualLayout>
      </c:layout>
      <c:pieChart>
        <c:varyColors val="1"/>
        <c:ser>
          <c:idx val="0"/>
          <c:order val="0"/>
          <c:spPr>
            <a:ln w="12700">
              <a:solidFill>
                <a:sysClr val="windowText" lastClr="000000"/>
              </a:solidFill>
            </a:ln>
          </c:spPr>
          <c:explosion val="20"/>
          <c:dPt>
            <c:idx val="0"/>
            <c:bubble3D val="0"/>
            <c:explosion val="34"/>
            <c:spPr>
              <a:gradFill flip="none" rotWithShape="1">
                <a:gsLst>
                  <a:gs pos="27000">
                    <a:srgbClr val="8488C4"/>
                  </a:gs>
                  <a:gs pos="61000">
                    <a:srgbClr val="D4DEFF"/>
                  </a:gs>
                  <a:gs pos="77000">
                    <a:srgbClr val="D4DEFF"/>
                  </a:gs>
                  <a:gs pos="100000">
                    <a:srgbClr val="96AB94"/>
                  </a:gs>
                </a:gsLst>
                <a:lin ang="18900000" scaled="1"/>
                <a:tileRect/>
              </a:gradFill>
              <a:ln w="12700">
                <a:solidFill>
                  <a:sysClr val="windowText" lastClr="000000"/>
                </a:solidFill>
              </a:ln>
            </c:spPr>
          </c:dPt>
          <c:dPt>
            <c:idx val="1"/>
            <c:bubble3D val="0"/>
            <c:spPr>
              <a:solidFill>
                <a:srgbClr val="00B050"/>
              </a:solidFill>
              <a:ln w="12700">
                <a:solidFill>
                  <a:sysClr val="windowText" lastClr="000000"/>
                </a:solidFill>
              </a:ln>
            </c:spPr>
          </c:dPt>
          <c:dPt>
            <c:idx val="6"/>
            <c:bubble3D val="0"/>
            <c:spPr>
              <a:solidFill>
                <a:srgbClr val="FF0000"/>
              </a:solidFill>
              <a:ln w="12700">
                <a:solidFill>
                  <a:sysClr val="windowText" lastClr="000000"/>
                </a:solidFill>
              </a:ln>
            </c:spPr>
          </c:dPt>
          <c:dLbls>
            <c:dLbl>
              <c:idx val="0"/>
              <c:layout>
                <c:manualLayout>
                  <c:x val="0"/>
                  <c:y val="0.39438228917037554"/>
                </c:manualLayout>
              </c:layout>
              <c:tx>
                <c:rich>
                  <a:bodyPr/>
                  <a:lstStyle/>
                  <a:p>
                    <a:r>
                      <a:rPr lang="ru-RU" sz="800" b="1"/>
                      <a:t>Расходы на обеспечение деятельности (оказания услуг) государственных учреждений; 816 067,0 </a:t>
                    </a:r>
                    <a:endParaRPr lang="ru-RU"/>
                  </a:p>
                </c:rich>
              </c:tx>
              <c:showLegendKey val="1"/>
              <c:showVal val="1"/>
              <c:showCatName val="1"/>
              <c:showSerName val="1"/>
              <c:showPercent val="1"/>
              <c:showBubbleSize val="1"/>
            </c:dLbl>
            <c:dLbl>
              <c:idx val="1"/>
              <c:layout>
                <c:manualLayout>
                  <c:x val="-0.25904131249648837"/>
                  <c:y val="-0.18006778500513523"/>
                </c:manualLayout>
              </c:layout>
              <c:tx>
                <c:rich>
                  <a:bodyPr/>
                  <a:lstStyle/>
                  <a:p>
                    <a:r>
                      <a:rPr lang="ru-RU" sz="800" b="1"/>
                      <a:t>Создание, хранение, использование и восполнение резерва материальных ресурсов для ликвидации чрезвычайных ситуаций межмуниципального и регионального характера на территории Амурской области; 10 928,9 </a:t>
                    </a:r>
                    <a:endParaRPr lang="ru-RU"/>
                  </a:p>
                </c:rich>
              </c:tx>
              <c:showLegendKey val="1"/>
              <c:showVal val="1"/>
              <c:showCatName val="1"/>
              <c:showSerName val="1"/>
              <c:showPercent val="1"/>
              <c:showBubbleSize val="1"/>
            </c:dLbl>
            <c:dLbl>
              <c:idx val="2"/>
              <c:layout>
                <c:manualLayout>
                  <c:x val="0.13165579073258044"/>
                  <c:y val="-6.2162501426452126E-2"/>
                </c:manualLayout>
              </c:layout>
              <c:tx>
                <c:rich>
                  <a:bodyPr/>
                  <a:lstStyle/>
                  <a:p>
                    <a:r>
                      <a:rPr lang="ru-RU" sz="800" b="1"/>
                      <a:t>Подготовка населения и организаций к действиям в чрезвычайной ситуации в мирное и военное время; </a:t>
                    </a:r>
                  </a:p>
                  <a:p>
                    <a:r>
                      <a:rPr lang="ru-RU" sz="800" b="1"/>
                      <a:t>76,4 </a:t>
                    </a:r>
                    <a:endParaRPr lang="ru-RU"/>
                  </a:p>
                </c:rich>
              </c:tx>
              <c:showLegendKey val="1"/>
              <c:showVal val="1"/>
              <c:showCatName val="1"/>
              <c:showSerName val="1"/>
              <c:showPercent val="1"/>
              <c:showBubbleSize val="1"/>
            </c:dLbl>
            <c:dLbl>
              <c:idx val="3"/>
              <c:layout>
                <c:manualLayout>
                  <c:x val="0.12181784616372494"/>
                  <c:y val="0.37458313363003548"/>
                </c:manualLayout>
              </c:layout>
              <c:tx>
                <c:rich>
                  <a:bodyPr/>
                  <a:lstStyle/>
                  <a:p>
                    <a:r>
                      <a:rPr lang="ru-RU" sz="800" b="1"/>
                      <a:t>Обеспечение мобилизационной готовности экономики; </a:t>
                    </a:r>
                  </a:p>
                  <a:p>
                    <a:r>
                      <a:rPr lang="ru-RU" sz="800" b="1"/>
                      <a:t>65,0 </a:t>
                    </a:r>
                    <a:endParaRPr lang="ru-RU"/>
                  </a:p>
                </c:rich>
              </c:tx>
              <c:showLegendKey val="1"/>
              <c:showVal val="1"/>
              <c:showCatName val="1"/>
              <c:showSerName val="1"/>
              <c:showPercent val="1"/>
              <c:showBubbleSize val="1"/>
            </c:dLbl>
            <c:dLbl>
              <c:idx val="4"/>
              <c:layout>
                <c:manualLayout>
                  <c:x val="0.13185468788878454"/>
                  <c:y val="0.17552139678192405"/>
                </c:manualLayout>
              </c:layout>
              <c:tx>
                <c:rich>
                  <a:bodyPr/>
                  <a:lstStyle/>
                  <a:p>
                    <a:r>
                      <a:rPr lang="ru-RU" sz="800" b="1"/>
                      <a:t>Формирование правосознания и несовершеннолетних и молодежи в целях противодействия распространению идеологии терроризма и экстремизма; </a:t>
                    </a:r>
                  </a:p>
                  <a:p>
                    <a:r>
                      <a:rPr lang="ru-RU" sz="800" b="1"/>
                      <a:t>150,0 </a:t>
                    </a:r>
                    <a:endParaRPr lang="ru-RU"/>
                  </a:p>
                </c:rich>
              </c:tx>
              <c:showLegendKey val="1"/>
              <c:showVal val="1"/>
              <c:showCatName val="1"/>
              <c:showSerName val="1"/>
              <c:showPercent val="1"/>
              <c:showBubbleSize val="1"/>
            </c:dLbl>
            <c:dLbl>
              <c:idx val="5"/>
              <c:layout>
                <c:manualLayout>
                  <c:x val="3.0418904059010972E-3"/>
                  <c:y val="-0.30115097569325572"/>
                </c:manualLayout>
              </c:layout>
              <c:tx>
                <c:rich>
                  <a:bodyPr/>
                  <a:lstStyle/>
                  <a:p>
                    <a:r>
                      <a:rPr lang="ru-RU" sz="800" b="1"/>
                      <a:t>Выплата вознаграждения гражданам, добровольно сдающим незаконно хранящиеся у них оружие, боеприпасы, взрывчатые вещества и взрывные устройства; </a:t>
                    </a:r>
                  </a:p>
                  <a:p>
                    <a:r>
                      <a:rPr lang="ru-RU" sz="800" b="1"/>
                      <a:t>200,0 </a:t>
                    </a:r>
                    <a:endParaRPr lang="ru-RU"/>
                  </a:p>
                </c:rich>
              </c:tx>
              <c:showLegendKey val="1"/>
              <c:showVal val="1"/>
              <c:showCatName val="1"/>
              <c:showSerName val="1"/>
              <c:showPercent val="1"/>
              <c:showBubbleSize val="1"/>
            </c:dLbl>
            <c:dLbl>
              <c:idx val="6"/>
              <c:layout>
                <c:manualLayout>
                  <c:x val="-0.19183911644072013"/>
                  <c:y val="0.19458518772110009"/>
                </c:manualLayout>
              </c:layout>
              <c:tx>
                <c:rich>
                  <a:bodyPr/>
                  <a:lstStyle/>
                  <a:p>
                    <a:r>
                      <a:rPr lang="ru-RU" sz="800" b="1"/>
                      <a:t>Капитальные вложения в объекты  государственной (муниципальной) собственности; </a:t>
                    </a:r>
                  </a:p>
                  <a:p>
                    <a:r>
                      <a:rPr lang="ru-RU" sz="800" b="1"/>
                      <a:t>19 716,3 </a:t>
                    </a:r>
                    <a:endParaRPr lang="ru-RU"/>
                  </a:p>
                </c:rich>
              </c:tx>
              <c:showLegendKey val="1"/>
              <c:showVal val="1"/>
              <c:showCatName val="1"/>
              <c:showSerName val="1"/>
              <c:showPercent val="1"/>
              <c:showBubbleSize val="1"/>
            </c:dLbl>
            <c:txPr>
              <a:bodyPr/>
              <a:lstStyle/>
              <a:p>
                <a:pPr>
                  <a:defRPr sz="800" b="1">
                    <a:latin typeface="Times New Roman" pitchFamily="18" charset="0"/>
                    <a:cs typeface="Times New Roman" pitchFamily="18" charset="0"/>
                  </a:defRPr>
                </a:pPr>
                <a:endParaRPr lang="ru-RU"/>
              </a:p>
            </c:txPr>
            <c:showLegendKey val="1"/>
            <c:showVal val="1"/>
            <c:showCatName val="1"/>
            <c:showSerName val="1"/>
            <c:showPercent val="1"/>
            <c:showBubbleSize val="1"/>
            <c:showLeaderLines val="1"/>
          </c:dLbls>
          <c:cat>
            <c:strRef>
              <c:f>Лист5!$A$2:$A$8</c:f>
              <c:strCache>
                <c:ptCount val="7"/>
                <c:pt idx="0">
                  <c:v>Расходы на обеспечение деятельности (оказания услуг) государственных учреждений</c:v>
                </c:pt>
                <c:pt idx="1">
                  <c:v>Создание, хранение, использование и восполнение резерва материальных ресурсов для ликвидации чрезвычайных ситуаций межмуниципального и регионального характера на территории Амурской области</c:v>
                </c:pt>
                <c:pt idx="2">
                  <c:v>Подготовка населения и организаций к действиям в чрезвычайной ситуации в мирное и военное время</c:v>
                </c:pt>
                <c:pt idx="3">
                  <c:v>Обеспечение мобилизационной готовности экономики</c:v>
                </c:pt>
                <c:pt idx="4">
                  <c:v>Формирование правосознания и несовершеннолетних и молодежи в целях противодействия распространению идеологии терроризма и экстремизма</c:v>
                </c:pt>
                <c:pt idx="5">
                  <c:v>Выплата вознаграждения гражданам, добровольно сдающим незаконно хранящиеся у них оружие, боеприпасы, взрывчатые вещества и взрывные устройства</c:v>
                </c:pt>
                <c:pt idx="6">
                  <c:v>Капитальные вложения в объекты  государственной (муниципальной) собственности</c:v>
                </c:pt>
              </c:strCache>
            </c:strRef>
          </c:cat>
          <c:val>
            <c:numRef>
              <c:f>Лист5!$B$2:$B$8</c:f>
              <c:numCache>
                <c:formatCode>#,##0.0</c:formatCode>
                <c:ptCount val="7"/>
                <c:pt idx="0">
                  <c:v>816067</c:v>
                </c:pt>
                <c:pt idx="1">
                  <c:v>10928.9</c:v>
                </c:pt>
                <c:pt idx="2">
                  <c:v>76.400000000000006</c:v>
                </c:pt>
                <c:pt idx="3">
                  <c:v>65</c:v>
                </c:pt>
                <c:pt idx="4">
                  <c:v>150</c:v>
                </c:pt>
                <c:pt idx="5">
                  <c:v>200</c:v>
                </c:pt>
                <c:pt idx="6">
                  <c:v>19716.3</c:v>
                </c:pt>
              </c:numCache>
            </c:numRef>
          </c:val>
        </c:ser>
        <c:dLbls>
          <c:showLegendKey val="0"/>
          <c:showVal val="0"/>
          <c:showCatName val="0"/>
          <c:showSerName val="0"/>
          <c:showPercent val="0"/>
          <c:showBubbleSize val="0"/>
          <c:showLeaderLines val="1"/>
        </c:dLbls>
        <c:firstSliceAng val="90"/>
      </c:pieChart>
    </c:plotArea>
    <c:plotVisOnly val="1"/>
    <c:dispBlanksAs val="zero"/>
    <c:showDLblsOverMax val="1"/>
  </c:chart>
  <c:spPr>
    <a:noFill/>
    <a:ln>
      <a:noFill/>
    </a:ln>
  </c:spPr>
  <c:externalData r:id="rId1">
    <c:autoUpdate val="1"/>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60"/>
      <c:rAngAx val="0"/>
      <c:perspective val="30"/>
    </c:view3D>
    <c:floor>
      <c:thickness val="0"/>
    </c:floor>
    <c:sideWall>
      <c:thickness val="0"/>
    </c:sideWall>
    <c:backWall>
      <c:thickness val="0"/>
    </c:backWall>
    <c:plotArea>
      <c:layout>
        <c:manualLayout>
          <c:layoutTarget val="inner"/>
          <c:xMode val="edge"/>
          <c:yMode val="edge"/>
          <c:x val="0.13354199269692227"/>
          <c:y val="0.18042813455657492"/>
          <c:w val="0.71719772117687164"/>
          <c:h val="0.74923547400611623"/>
        </c:manualLayout>
      </c:layout>
      <c:pie3DChart>
        <c:varyColors val="1"/>
        <c:ser>
          <c:idx val="0"/>
          <c:order val="0"/>
          <c:tx>
            <c:strRef>
              <c:f>Лист1!$B$1</c:f>
              <c:strCache>
                <c:ptCount val="1"/>
                <c:pt idx="0">
                  <c:v>Продажи</c:v>
                </c:pt>
              </c:strCache>
            </c:strRef>
          </c:tx>
          <c:spPr>
            <a:ln w="15875">
              <a:solidFill>
                <a:sysClr val="windowText" lastClr="000000"/>
              </a:solidFill>
            </a:ln>
            <a:scene3d>
              <a:camera prst="orthographicFront"/>
              <a:lightRig rig="threePt" dir="t"/>
            </a:scene3d>
            <a:sp3d>
              <a:bevelT/>
            </a:sp3d>
          </c:spPr>
          <c:explosion val="25"/>
          <c:dPt>
            <c:idx val="0"/>
            <c:bubble3D val="0"/>
            <c:spPr>
              <a:solidFill>
                <a:srgbClr val="7030A0"/>
              </a:solidFill>
              <a:ln w="15875">
                <a:solidFill>
                  <a:sysClr val="windowText" lastClr="000000"/>
                </a:solidFill>
              </a:ln>
              <a:scene3d>
                <a:camera prst="orthographicFront"/>
                <a:lightRig rig="threePt" dir="t"/>
              </a:scene3d>
              <a:sp3d>
                <a:bevelT/>
              </a:sp3d>
            </c:spPr>
          </c:dPt>
          <c:dPt>
            <c:idx val="1"/>
            <c:bubble3D val="0"/>
            <c:spPr>
              <a:solidFill>
                <a:schemeClr val="accent6">
                  <a:lumMod val="20000"/>
                  <a:lumOff val="80000"/>
                </a:schemeClr>
              </a:solidFill>
              <a:ln w="15875">
                <a:solidFill>
                  <a:sysClr val="windowText" lastClr="000000"/>
                </a:solidFill>
              </a:ln>
              <a:scene3d>
                <a:camera prst="orthographicFront"/>
                <a:lightRig rig="threePt" dir="t"/>
              </a:scene3d>
              <a:sp3d prstMaterial="flat">
                <a:bevelT/>
              </a:sp3d>
            </c:spPr>
          </c:dPt>
          <c:dPt>
            <c:idx val="2"/>
            <c:bubble3D val="0"/>
            <c:spPr>
              <a:solidFill>
                <a:srgbClr val="FFC000"/>
              </a:solidFill>
              <a:ln w="15875">
                <a:solidFill>
                  <a:sysClr val="windowText" lastClr="000000"/>
                </a:solidFill>
              </a:ln>
              <a:scene3d>
                <a:camera prst="orthographicFront"/>
                <a:lightRig rig="threePt" dir="t"/>
              </a:scene3d>
              <a:sp3d>
                <a:bevelT/>
              </a:sp3d>
            </c:spPr>
          </c:dPt>
          <c:dPt>
            <c:idx val="3"/>
            <c:bubble3D val="0"/>
            <c:spPr>
              <a:solidFill>
                <a:srgbClr val="FF0000"/>
              </a:solidFill>
              <a:ln w="15875">
                <a:solidFill>
                  <a:sysClr val="windowText" lastClr="000000"/>
                </a:solidFill>
              </a:ln>
              <a:scene3d>
                <a:camera prst="orthographicFront"/>
                <a:lightRig rig="threePt" dir="t"/>
              </a:scene3d>
              <a:sp3d>
                <a:bevelT/>
              </a:sp3d>
            </c:spPr>
          </c:dPt>
          <c:dPt>
            <c:idx val="4"/>
            <c:bubble3D val="0"/>
            <c:spPr>
              <a:solidFill>
                <a:srgbClr val="FFFF00"/>
              </a:solidFill>
              <a:ln w="15875">
                <a:solidFill>
                  <a:sysClr val="windowText" lastClr="000000"/>
                </a:solidFill>
              </a:ln>
              <a:scene3d>
                <a:camera prst="orthographicFront"/>
                <a:lightRig rig="threePt" dir="t"/>
              </a:scene3d>
              <a:sp3d>
                <a:bevelT/>
              </a:sp3d>
            </c:spPr>
          </c:dPt>
          <c:dPt>
            <c:idx val="5"/>
            <c:bubble3D val="0"/>
            <c:spPr>
              <a:solidFill>
                <a:srgbClr val="00B050"/>
              </a:solidFill>
              <a:ln w="15875">
                <a:solidFill>
                  <a:sysClr val="windowText" lastClr="000000"/>
                </a:solidFill>
              </a:ln>
              <a:scene3d>
                <a:camera prst="orthographicFront"/>
                <a:lightRig rig="threePt" dir="t"/>
              </a:scene3d>
              <a:sp3d>
                <a:bevelT/>
              </a:sp3d>
            </c:spPr>
          </c:dPt>
          <c:dPt>
            <c:idx val="6"/>
            <c:bubble3D val="0"/>
            <c:spPr>
              <a:solidFill>
                <a:srgbClr val="00B0F0"/>
              </a:solidFill>
              <a:ln w="15875">
                <a:solidFill>
                  <a:sysClr val="windowText" lastClr="000000"/>
                </a:solidFill>
              </a:ln>
              <a:scene3d>
                <a:camera prst="orthographicFront"/>
                <a:lightRig rig="threePt" dir="t"/>
              </a:scene3d>
              <a:sp3d>
                <a:bevelT w="165100" prst="coolSlant"/>
              </a:sp3d>
            </c:spPr>
          </c:dPt>
          <c:dLbls>
            <c:dLbl>
              <c:idx val="0"/>
              <c:layout>
                <c:manualLayout>
                  <c:x val="-1.7813266299459046E-3"/>
                  <c:y val="-4.1808134074983773E-2"/>
                </c:manualLayout>
              </c:layout>
              <c:showLegendKey val="0"/>
              <c:showVal val="1"/>
              <c:showCatName val="1"/>
              <c:showSerName val="0"/>
              <c:showPercent val="1"/>
              <c:showBubbleSize val="0"/>
            </c:dLbl>
            <c:dLbl>
              <c:idx val="1"/>
              <c:layout>
                <c:manualLayout>
                  <c:x val="-0.17576265408138544"/>
                  <c:y val="0.15253365118351031"/>
                </c:manualLayout>
              </c:layout>
              <c:showLegendKey val="0"/>
              <c:showVal val="1"/>
              <c:showCatName val="1"/>
              <c:showSerName val="0"/>
              <c:showPercent val="1"/>
              <c:showBubbleSize val="0"/>
            </c:dLbl>
            <c:dLbl>
              <c:idx val="2"/>
              <c:layout>
                <c:manualLayout>
                  <c:x val="-0.10383612846516252"/>
                  <c:y val="-0.10973054973632883"/>
                </c:manualLayout>
              </c:layout>
              <c:showLegendKey val="0"/>
              <c:showVal val="1"/>
              <c:showCatName val="1"/>
              <c:showSerName val="0"/>
              <c:showPercent val="1"/>
              <c:showBubbleSize val="0"/>
            </c:dLbl>
            <c:dLbl>
              <c:idx val="3"/>
              <c:layout>
                <c:manualLayout>
                  <c:x val="-6.3650635219893281E-2"/>
                  <c:y val="0.1312439500108358"/>
                </c:manualLayout>
              </c:layout>
              <c:showLegendKey val="0"/>
              <c:showVal val="1"/>
              <c:showCatName val="1"/>
              <c:showSerName val="0"/>
              <c:showPercent val="1"/>
              <c:showBubbleSize val="0"/>
            </c:dLbl>
            <c:dLbl>
              <c:idx val="4"/>
              <c:layout>
                <c:manualLayout>
                  <c:x val="-5.02699838576516E-2"/>
                  <c:y val="3.0581039755351682E-3"/>
                </c:manualLayout>
              </c:layout>
              <c:showLegendKey val="0"/>
              <c:showVal val="1"/>
              <c:showCatName val="1"/>
              <c:showSerName val="0"/>
              <c:showPercent val="1"/>
              <c:showBubbleSize val="0"/>
            </c:dLbl>
            <c:dLbl>
              <c:idx val="5"/>
              <c:layout>
                <c:manualLayout>
                  <c:x val="9.6977478754122867E-2"/>
                  <c:y val="-7.6113559199595476E-2"/>
                </c:manualLayout>
              </c:layout>
              <c:showLegendKey val="0"/>
              <c:showVal val="1"/>
              <c:showCatName val="1"/>
              <c:showSerName val="0"/>
              <c:showPercent val="1"/>
              <c:showBubbleSize val="0"/>
            </c:dLbl>
            <c:dLbl>
              <c:idx val="6"/>
              <c:layout>
                <c:manualLayout>
                  <c:x val="4.5603571853987737E-2"/>
                  <c:y val="2.9877916636567221E-3"/>
                </c:manualLayout>
              </c:layout>
              <c:showLegendKey val="0"/>
              <c:showVal val="1"/>
              <c:showCatName val="1"/>
              <c:showSerName val="0"/>
              <c:showPercent val="1"/>
              <c:showBubbleSize val="0"/>
            </c:dLbl>
            <c:dLbl>
              <c:idx val="7"/>
              <c:layout>
                <c:manualLayout>
                  <c:x val="7.919937237892212E-2"/>
                  <c:y val="-0.12268029569698283"/>
                </c:manualLayout>
              </c:layout>
              <c:showLegendKey val="0"/>
              <c:showVal val="1"/>
              <c:showCatName val="1"/>
              <c:showSerName val="0"/>
              <c:showPercent val="1"/>
              <c:showBubbleSize val="0"/>
            </c:dLbl>
            <c:txPr>
              <a:bodyPr/>
              <a:lstStyle/>
              <a:p>
                <a:pPr>
                  <a:defRPr sz="1000" b="1" baseline="0">
                    <a:latin typeface="Times New Roman" pitchFamily="18" charset="0"/>
                  </a:defRPr>
                </a:pPr>
                <a:endParaRPr lang="ru-RU"/>
              </a:p>
            </c:txPr>
            <c:showLegendKey val="0"/>
            <c:showVal val="1"/>
            <c:showCatName val="1"/>
            <c:showSerName val="0"/>
            <c:showPercent val="1"/>
            <c:showBubbleSize val="0"/>
            <c:showLeaderLines val="1"/>
          </c:dLbls>
          <c:cat>
            <c:strRef>
              <c:f>Лист1!$A$2:$A$9</c:f>
              <c:strCache>
                <c:ptCount val="8"/>
                <c:pt idx="0">
                  <c:v>Обеспечение гос.гарантий реализации прав на получение дошкольного образования</c:v>
                </c:pt>
                <c:pt idx="1">
                  <c:v>Обеспечение функций органов государственной власти</c:v>
                </c:pt>
                <c:pt idx="2">
                  <c:v>Обеспечение гос.гарантий реализации прав на получение общего образования</c:v>
                </c:pt>
                <c:pt idx="3">
                  <c:v>Оздоровление детей </c:v>
                </c:pt>
                <c:pt idx="4">
                  <c:v>Выплата компенсации части родительской платы, взимаемой за присмотр и уход за детьми</c:v>
                </c:pt>
                <c:pt idx="5">
                  <c:v>Социальное обеспечение</c:v>
                </c:pt>
                <c:pt idx="6">
                  <c:v>Обеспечение деятельности государственных учреждений</c:v>
                </c:pt>
                <c:pt idx="7">
                  <c:v>Прочие мероприятия</c:v>
                </c:pt>
              </c:strCache>
            </c:strRef>
          </c:cat>
          <c:val>
            <c:numRef>
              <c:f>Лист1!$B$2:$B$9</c:f>
              <c:numCache>
                <c:formatCode>General</c:formatCode>
                <c:ptCount val="8"/>
                <c:pt idx="0">
                  <c:v>1361.2</c:v>
                </c:pt>
                <c:pt idx="1">
                  <c:v>40.1</c:v>
                </c:pt>
                <c:pt idx="2">
                  <c:v>4356.3999999999996</c:v>
                </c:pt>
                <c:pt idx="3" formatCode="0.0">
                  <c:v>151.19999999999999</c:v>
                </c:pt>
                <c:pt idx="4">
                  <c:v>239.5</c:v>
                </c:pt>
                <c:pt idx="5">
                  <c:v>226</c:v>
                </c:pt>
                <c:pt idx="6">
                  <c:v>1811.7</c:v>
                </c:pt>
                <c:pt idx="7" formatCode="0.0">
                  <c:v>249.9</c:v>
                </c:pt>
              </c:numCache>
            </c:numRef>
          </c:val>
        </c:ser>
        <c:dLbls>
          <c:showLegendKey val="0"/>
          <c:showVal val="0"/>
          <c:showCatName val="0"/>
          <c:showSerName val="0"/>
          <c:showPercent val="0"/>
          <c:showBubbleSize val="0"/>
          <c:showLeaderLines val="1"/>
        </c:dLbls>
      </c:pie3DChart>
      <c:spPr>
        <a:noFill/>
        <a:ln>
          <a:noFill/>
        </a:ln>
      </c:spPr>
    </c:plotArea>
    <c:plotVisOnly val="1"/>
    <c:dispBlanksAs val="gap"/>
    <c:showDLblsOverMax val="0"/>
  </c:chart>
  <c:spPr>
    <a:noFill/>
    <a:ln>
      <a:noFill/>
    </a:ln>
    <a:effectLst>
      <a:glow rad="101600">
        <a:schemeClr val="accent3">
          <a:satMod val="175000"/>
          <a:alpha val="40000"/>
        </a:schemeClr>
      </a:glow>
    </a:effectLst>
    <a:scene3d>
      <a:camera prst="orthographicFront"/>
      <a:lightRig rig="threePt" dir="t"/>
    </a:scene3d>
    <a:sp3d>
      <a:bevelT/>
    </a:sp3d>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1421951251151268"/>
          <c:y val="0.18109647931939557"/>
          <c:w val="0.47398426926453041"/>
          <c:h val="0.62006131776631368"/>
        </c:manualLayout>
      </c:layout>
      <c:pieChart>
        <c:varyColors val="1"/>
        <c:ser>
          <c:idx val="0"/>
          <c:order val="0"/>
          <c:spPr>
            <a:ln w="15875">
              <a:solidFill>
                <a:sysClr val="windowText" lastClr="000000"/>
              </a:solidFill>
            </a:ln>
          </c:spPr>
          <c:explosion val="5"/>
          <c:dPt>
            <c:idx val="0"/>
            <c:bubble3D val="0"/>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18900000" scaled="0"/>
              </a:gradFill>
              <a:ln w="15875">
                <a:solidFill>
                  <a:sysClr val="windowText" lastClr="000000"/>
                </a:solidFill>
              </a:ln>
            </c:spPr>
          </c:dPt>
          <c:dPt>
            <c:idx val="1"/>
            <c:bubble3D val="0"/>
            <c:spPr>
              <a:solidFill>
                <a:schemeClr val="accent4">
                  <a:lumMod val="75000"/>
                </a:schemeClr>
              </a:solidFill>
              <a:ln w="15875">
                <a:solidFill>
                  <a:sysClr val="windowText" lastClr="000000"/>
                </a:solidFill>
              </a:ln>
            </c:spPr>
          </c:dPt>
          <c:dPt>
            <c:idx val="2"/>
            <c:bubble3D val="0"/>
            <c:spPr>
              <a:solidFill>
                <a:srgbClr val="FFFF00"/>
              </a:solidFill>
              <a:ln w="15875">
                <a:solidFill>
                  <a:sysClr val="windowText" lastClr="000000"/>
                </a:solidFill>
              </a:ln>
            </c:spPr>
          </c:dPt>
          <c:dPt>
            <c:idx val="3"/>
            <c:bubble3D val="0"/>
            <c:spPr>
              <a:gradFill>
                <a:gsLst>
                  <a:gs pos="0">
                    <a:srgbClr val="FFF200"/>
                  </a:gs>
                  <a:gs pos="8764">
                    <a:srgbClr val="FFCC00"/>
                  </a:gs>
                  <a:gs pos="28000">
                    <a:srgbClr val="FF7A00"/>
                  </a:gs>
                  <a:gs pos="82000">
                    <a:srgbClr val="FF0300"/>
                  </a:gs>
                  <a:gs pos="100000">
                    <a:srgbClr val="4D0808"/>
                  </a:gs>
                </a:gsLst>
                <a:lin ang="18900000" scaled="0"/>
              </a:gradFill>
              <a:ln w="15875">
                <a:solidFill>
                  <a:sysClr val="windowText" lastClr="000000"/>
                </a:solidFill>
              </a:ln>
            </c:spPr>
          </c:dPt>
          <c:dPt>
            <c:idx val="4"/>
            <c:bubble3D val="0"/>
            <c:spPr>
              <a:gradFill>
                <a:gsLst>
                  <a:gs pos="79600">
                    <a:srgbClr val="4C8A38"/>
                  </a:gs>
                  <a:gs pos="0">
                    <a:srgbClr val="DDEBCF"/>
                  </a:gs>
                  <a:gs pos="52097">
                    <a:srgbClr val="77A355"/>
                  </a:gs>
                  <a:gs pos="17080">
                    <a:srgbClr val="B5CC94"/>
                  </a:gs>
                  <a:gs pos="28000">
                    <a:srgbClr val="9CB86E"/>
                  </a:gs>
                  <a:gs pos="100000">
                    <a:srgbClr val="156B13"/>
                  </a:gs>
                </a:gsLst>
                <a:lin ang="18900000" scaled="0"/>
              </a:gradFill>
              <a:ln w="15875">
                <a:solidFill>
                  <a:sysClr val="windowText" lastClr="000000"/>
                </a:solidFill>
              </a:ln>
            </c:spPr>
          </c:dPt>
          <c:dLbls>
            <c:dLbl>
              <c:idx val="0"/>
              <c:layout>
                <c:manualLayout>
                  <c:x val="7.927256770922203E-2"/>
                  <c:y val="-0.12696786235053953"/>
                </c:manualLayout>
              </c:layout>
              <c:tx>
                <c:rich>
                  <a:bodyPr/>
                  <a:lstStyle/>
                  <a:p>
                    <a:pPr>
                      <a:defRPr sz="1000" b="1">
                        <a:latin typeface="Times New Roman" pitchFamily="18" charset="0"/>
                        <a:cs typeface="Times New Roman" pitchFamily="18" charset="0"/>
                      </a:defRPr>
                    </a:pPr>
                    <a:r>
                      <a:rPr lang="ru-RU" sz="1000" b="1"/>
                      <a:t>Обеспечение содержания, ремонта автомобильных дорог общего пользования регионального или межмуниципального значения; </a:t>
                    </a:r>
                  </a:p>
                  <a:p>
                    <a:pPr>
                      <a:defRPr sz="1000" b="1">
                        <a:latin typeface="Times New Roman" pitchFamily="18" charset="0"/>
                        <a:cs typeface="Times New Roman" pitchFamily="18" charset="0"/>
                      </a:defRPr>
                    </a:pPr>
                    <a:r>
                      <a:rPr lang="ru-RU" sz="1000" b="1"/>
                      <a:t>815,6</a:t>
                    </a:r>
                    <a:endParaRPr lang="ru-RU" sz="1000"/>
                  </a:p>
                </c:rich>
              </c:tx>
              <c:spPr/>
              <c:showLegendKey val="1"/>
              <c:showVal val="1"/>
              <c:showCatName val="1"/>
              <c:showSerName val="1"/>
              <c:showPercent val="1"/>
              <c:showBubbleSize val="1"/>
            </c:dLbl>
            <c:dLbl>
              <c:idx val="1"/>
              <c:layout>
                <c:manualLayout>
                  <c:x val="5.2983431250660233E-2"/>
                  <c:y val="0"/>
                </c:manualLayout>
              </c:layout>
              <c:tx>
                <c:rich>
                  <a:bodyPr/>
                  <a:lstStyle/>
                  <a:p>
                    <a:pPr>
                      <a:defRPr sz="1000" b="1">
                        <a:latin typeface="Times New Roman" pitchFamily="18" charset="0"/>
                        <a:cs typeface="Times New Roman" pitchFamily="18" charset="0"/>
                      </a:defRPr>
                    </a:pPr>
                    <a:r>
                      <a:rPr lang="ru-RU" sz="1000" b="1"/>
                      <a:t>Расходы на обеспечение деятельности (оказание услуг) государственных учреждений; </a:t>
                    </a:r>
                  </a:p>
                  <a:p>
                    <a:pPr>
                      <a:defRPr sz="1000" b="1">
                        <a:latin typeface="Times New Roman" pitchFamily="18" charset="0"/>
                        <a:cs typeface="Times New Roman" pitchFamily="18" charset="0"/>
                      </a:defRPr>
                    </a:pPr>
                    <a:r>
                      <a:rPr lang="ru-RU" sz="1000" b="1"/>
                      <a:t>385 ,4</a:t>
                    </a:r>
                    <a:endParaRPr lang="ru-RU" sz="1000"/>
                  </a:p>
                </c:rich>
              </c:tx>
              <c:spPr/>
              <c:showLegendKey val="1"/>
              <c:showVal val="1"/>
              <c:showCatName val="1"/>
              <c:showSerName val="1"/>
              <c:showPercent val="1"/>
              <c:showBubbleSize val="1"/>
            </c:dLbl>
            <c:dLbl>
              <c:idx val="2"/>
              <c:layout>
                <c:manualLayout>
                  <c:x val="-8.2773051201417161E-2"/>
                  <c:y val="-2.8761738116068825E-3"/>
                </c:manualLayout>
              </c:layout>
              <c:tx>
                <c:rich>
                  <a:bodyPr/>
                  <a:lstStyle/>
                  <a:p>
                    <a:pPr>
                      <a:defRPr sz="900" b="1">
                        <a:latin typeface="Times New Roman" pitchFamily="18" charset="0"/>
                        <a:cs typeface="Times New Roman" pitchFamily="18" charset="0"/>
                      </a:defRPr>
                    </a:pPr>
                    <a:r>
                      <a:rPr lang="ru-RU" sz="900" b="1"/>
                      <a:t>Осуществление муниципальными образованиями дорожной деятельности в отношении автомобильных дорог местного значения и сооружений на них; </a:t>
                    </a:r>
                  </a:p>
                  <a:p>
                    <a:pPr>
                      <a:defRPr sz="900" b="1">
                        <a:latin typeface="Times New Roman" pitchFamily="18" charset="0"/>
                        <a:cs typeface="Times New Roman" pitchFamily="18" charset="0"/>
                      </a:defRPr>
                    </a:pPr>
                    <a:r>
                      <a:rPr lang="ru-RU" sz="900" b="1"/>
                      <a:t>726 ,3</a:t>
                    </a:r>
                    <a:endParaRPr lang="ru-RU" sz="900"/>
                  </a:p>
                </c:rich>
              </c:tx>
              <c:spPr/>
              <c:showLegendKey val="1"/>
              <c:showVal val="1"/>
              <c:showCatName val="1"/>
              <c:showSerName val="1"/>
              <c:showPercent val="1"/>
              <c:showBubbleSize val="1"/>
            </c:dLbl>
            <c:dLbl>
              <c:idx val="3"/>
              <c:layout>
                <c:manualLayout>
                  <c:x val="0"/>
                  <c:y val="-1.7088830562846311E-2"/>
                </c:manualLayout>
              </c:layout>
              <c:tx>
                <c:rich>
                  <a:bodyPr/>
                  <a:lstStyle/>
                  <a:p>
                    <a:pPr>
                      <a:defRPr sz="900" b="1">
                        <a:latin typeface="Times New Roman" pitchFamily="18" charset="0"/>
                        <a:cs typeface="Times New Roman" pitchFamily="18" charset="0"/>
                      </a:defRPr>
                    </a:pPr>
                    <a:r>
                      <a:rPr lang="ru-RU" sz="900" b="1"/>
                      <a:t>Финансовое обеспечение мероприятий по экономическому и социальному развитию Дальнего Востока и Забайкалья на период до 2013 года; </a:t>
                    </a:r>
                  </a:p>
                  <a:p>
                    <a:pPr>
                      <a:defRPr sz="900" b="1">
                        <a:latin typeface="Times New Roman" pitchFamily="18" charset="0"/>
                        <a:cs typeface="Times New Roman" pitchFamily="18" charset="0"/>
                      </a:defRPr>
                    </a:pPr>
                    <a:r>
                      <a:rPr lang="ru-RU" sz="900" b="1"/>
                      <a:t>2 082,0</a:t>
                    </a:r>
                    <a:endParaRPr lang="ru-RU" sz="900"/>
                  </a:p>
                </c:rich>
              </c:tx>
              <c:spPr/>
              <c:showLegendKey val="1"/>
              <c:showVal val="1"/>
              <c:showCatName val="1"/>
              <c:showSerName val="1"/>
              <c:showPercent val="1"/>
              <c:showBubbleSize val="1"/>
            </c:dLbl>
            <c:dLbl>
              <c:idx val="4"/>
              <c:layout>
                <c:manualLayout>
                  <c:x val="3.6768646953186657E-2"/>
                  <c:y val="-4.6047477398658498E-2"/>
                </c:manualLayout>
              </c:layout>
              <c:tx>
                <c:rich>
                  <a:bodyPr/>
                  <a:lstStyle/>
                  <a:p>
                    <a:pPr>
                      <a:defRPr sz="1000" b="1">
                        <a:latin typeface="Times New Roman" pitchFamily="18" charset="0"/>
                        <a:cs typeface="Times New Roman" pitchFamily="18" charset="0"/>
                      </a:defRPr>
                    </a:pPr>
                    <a:r>
                      <a:rPr lang="ru-RU" sz="1000" b="1"/>
                      <a:t>Прочие расходы; </a:t>
                    </a:r>
                  </a:p>
                  <a:p>
                    <a:pPr>
                      <a:defRPr sz="1000" b="1">
                        <a:latin typeface="Times New Roman" pitchFamily="18" charset="0"/>
                        <a:cs typeface="Times New Roman" pitchFamily="18" charset="0"/>
                      </a:defRPr>
                    </a:pPr>
                    <a:r>
                      <a:rPr lang="ru-RU" sz="1000" b="1"/>
                      <a:t>1 064,7</a:t>
                    </a:r>
                    <a:endParaRPr lang="ru-RU" sz="1000"/>
                  </a:p>
                </c:rich>
              </c:tx>
              <c:spPr/>
              <c:showLegendKey val="1"/>
              <c:showVal val="1"/>
              <c:showCatName val="1"/>
              <c:showSerName val="1"/>
              <c:showPercent val="1"/>
              <c:showBubbleSize val="1"/>
            </c:dLbl>
            <c:txPr>
              <a:bodyPr/>
              <a:lstStyle/>
              <a:p>
                <a:pPr>
                  <a:defRPr sz="800" b="1">
                    <a:latin typeface="Times New Roman" pitchFamily="18" charset="0"/>
                    <a:cs typeface="Times New Roman" pitchFamily="18" charset="0"/>
                  </a:defRPr>
                </a:pPr>
                <a:endParaRPr lang="ru-RU"/>
              </a:p>
            </c:txPr>
            <c:showLegendKey val="1"/>
            <c:showVal val="1"/>
            <c:showCatName val="1"/>
            <c:showSerName val="1"/>
            <c:showPercent val="1"/>
            <c:showBubbleSize val="1"/>
            <c:showLeaderLines val="1"/>
          </c:dLbls>
          <c:cat>
            <c:strRef>
              <c:f>Лист6!$A$2:$A$6</c:f>
              <c:strCache>
                <c:ptCount val="5"/>
                <c:pt idx="0">
                  <c:v>Обеспечение содержания, ремонта автомобильных дорог общего пользования регионального или межмуниципального значения</c:v>
                </c:pt>
                <c:pt idx="1">
                  <c:v>Расходы на обеспечение деятельности (оказание услуг) государственных учреждений</c:v>
                </c:pt>
                <c:pt idx="2">
                  <c:v>Осуществление муниципальными образованиями дорожной деятельности в отношении автомобильных дорог местного значения и сооружений на них</c:v>
                </c:pt>
                <c:pt idx="3">
                  <c:v>Финансовое обеспечение мероприятий по экономическому и социальному развитию Дальнего Востока и Забайкалья на период до 2013 года</c:v>
                </c:pt>
                <c:pt idx="4">
                  <c:v>Прочие расходы</c:v>
                </c:pt>
              </c:strCache>
            </c:strRef>
          </c:cat>
          <c:val>
            <c:numRef>
              <c:f>Лист6!$B$2:$B$6</c:f>
              <c:numCache>
                <c:formatCode>#,##0.0</c:formatCode>
                <c:ptCount val="5"/>
                <c:pt idx="0">
                  <c:v>815586.7</c:v>
                </c:pt>
                <c:pt idx="1">
                  <c:v>385377.5</c:v>
                </c:pt>
                <c:pt idx="2">
                  <c:v>726278.8</c:v>
                </c:pt>
                <c:pt idx="3">
                  <c:v>2081962.6</c:v>
                </c:pt>
                <c:pt idx="4">
                  <c:v>1064741.6000000001</c:v>
                </c:pt>
              </c:numCache>
            </c:numRef>
          </c:val>
        </c:ser>
        <c:dLbls>
          <c:showLegendKey val="0"/>
          <c:showVal val="0"/>
          <c:showCatName val="0"/>
          <c:showSerName val="0"/>
          <c:showPercent val="0"/>
          <c:showBubbleSize val="0"/>
          <c:showLeaderLines val="1"/>
        </c:dLbls>
        <c:firstSliceAng val="90"/>
      </c:pieChart>
    </c:plotArea>
    <c:plotVisOnly val="1"/>
    <c:dispBlanksAs val="zero"/>
    <c:showDLblsOverMax val="1"/>
  </c:chart>
  <c:spPr>
    <a:noFill/>
    <a:ln>
      <a:noFill/>
    </a:ln>
  </c:spPr>
  <c:externalData r:id="rId1">
    <c:autoUpdate val="1"/>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1916552958702124E-2"/>
          <c:y val="3.5567673443804591E-2"/>
          <c:w val="0.91525423728814126"/>
          <c:h val="0.76993865030675368"/>
        </c:manualLayout>
      </c:layout>
      <c:area3DChart>
        <c:grouping val="stacked"/>
        <c:varyColors val="0"/>
        <c:ser>
          <c:idx val="0"/>
          <c:order val="0"/>
          <c:tx>
            <c:strRef>
              <c:f>Sheet1!$A$2</c:f>
              <c:strCache>
                <c:ptCount val="1"/>
                <c:pt idx="0">
                  <c:v>Бюджетные кредиты</c:v>
                </c:pt>
              </c:strCache>
            </c:strRef>
          </c:tx>
          <c:spPr>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path path="circle">
                <a:fillToRect l="50000" t="50000" r="50000" b="50000"/>
              </a:path>
              <a:tileRect/>
            </a:gradFill>
            <a:ln w="12662">
              <a:solidFill>
                <a:srgbClr val="000000"/>
              </a:solidFill>
              <a:prstDash val="solid"/>
            </a:ln>
          </c:spPr>
          <c:dLbls>
            <c:dLbl>
              <c:idx val="0"/>
              <c:layout>
                <c:manualLayout>
                  <c:x val="6.3381636848750769E-2"/>
                  <c:y val="4.3772050131834266E-2"/>
                </c:manualLayout>
              </c:layout>
              <c:showLegendKey val="0"/>
              <c:showVal val="1"/>
              <c:showCatName val="0"/>
              <c:showSerName val="0"/>
              <c:showPercent val="0"/>
              <c:showBubbleSize val="0"/>
            </c:dLbl>
            <c:dLbl>
              <c:idx val="1"/>
              <c:layout>
                <c:manualLayout>
                  <c:x val="5.2940038831111758E-2"/>
                  <c:y val="2.3856560805125212E-2"/>
                </c:manualLayout>
              </c:layout>
              <c:showLegendKey val="0"/>
              <c:showVal val="1"/>
              <c:showCatName val="0"/>
              <c:showSerName val="0"/>
              <c:showPercent val="0"/>
              <c:showBubbleSize val="0"/>
            </c:dLbl>
            <c:dLbl>
              <c:idx val="2"/>
              <c:layout>
                <c:manualLayout>
                  <c:x val="3.3285026488253384E-2"/>
                  <c:y val="1.5920398009950248E-2"/>
                </c:manualLayout>
              </c:layout>
              <c:showLegendKey val="0"/>
              <c:showVal val="1"/>
              <c:showCatName val="0"/>
              <c:showSerName val="0"/>
              <c:showPercent val="0"/>
              <c:showBubbleSize val="0"/>
            </c:dLbl>
            <c:dLbl>
              <c:idx val="3"/>
              <c:layout>
                <c:manualLayout>
                  <c:x val="1.6701092013736769E-2"/>
                  <c:y val="1.1940298507462735E-2"/>
                </c:manualLayout>
              </c:layout>
              <c:showLegendKey val="0"/>
              <c:showVal val="1"/>
              <c:showCatName val="0"/>
              <c:showSerName val="0"/>
              <c:showPercent val="0"/>
              <c:showBubbleSize val="0"/>
            </c:dLbl>
            <c:dLbl>
              <c:idx val="4"/>
              <c:layout>
                <c:manualLayout>
                  <c:x val="-2.0246944489649685E-2"/>
                  <c:y val="3.9800995024875906E-2"/>
                </c:manualLayout>
              </c:layout>
              <c:showLegendKey val="0"/>
              <c:showVal val="1"/>
              <c:showCatName val="0"/>
              <c:showSerName val="0"/>
              <c:showPercent val="0"/>
              <c:showBubbleSize val="0"/>
            </c:dLbl>
            <c:dLbl>
              <c:idx val="5"/>
              <c:layout>
                <c:manualLayout>
                  <c:x val="-5.1127469396385072E-2"/>
                  <c:y val="-7.9661957306836218E-3"/>
                </c:manualLayout>
              </c:layout>
              <c:tx>
                <c:rich>
                  <a:bodyPr/>
                  <a:lstStyle/>
                  <a:p>
                    <a:r>
                      <a:rPr lang="en-US"/>
                      <a:t>10574,</a:t>
                    </a:r>
                    <a:r>
                      <a:rPr lang="ru-RU"/>
                      <a:t>1</a:t>
                    </a:r>
                    <a:endParaRPr lang="en-US"/>
                  </a:p>
                </c:rich>
              </c:tx>
              <c:showLegendKey val="0"/>
              <c:showVal val="1"/>
              <c:showCatName val="0"/>
              <c:showSerName val="0"/>
              <c:showPercent val="0"/>
              <c:showBubbleSize val="0"/>
            </c:dLbl>
            <c:spPr>
              <a:solidFill>
                <a:srgbClr val="FFFFCC"/>
              </a:solidFill>
              <a:ln>
                <a:solidFill>
                  <a:schemeClr val="tx1"/>
                </a:solidFill>
              </a:ln>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2010</c:v>
                </c:pt>
                <c:pt idx="1">
                  <c:v>2011</c:v>
                </c:pt>
                <c:pt idx="2">
                  <c:v>2012</c:v>
                </c:pt>
                <c:pt idx="3">
                  <c:v>2013</c:v>
                </c:pt>
                <c:pt idx="4">
                  <c:v>2014</c:v>
                </c:pt>
                <c:pt idx="5">
                  <c:v>2015</c:v>
                </c:pt>
              </c:numCache>
            </c:numRef>
          </c:cat>
          <c:val>
            <c:numRef>
              <c:f>Sheet1!$B$2:$G$2</c:f>
              <c:numCache>
                <c:formatCode>General</c:formatCode>
                <c:ptCount val="6"/>
                <c:pt idx="0">
                  <c:v>1763.3</c:v>
                </c:pt>
                <c:pt idx="1">
                  <c:v>3413.3</c:v>
                </c:pt>
                <c:pt idx="2">
                  <c:v>5090.2</c:v>
                </c:pt>
                <c:pt idx="3">
                  <c:v>9133.2000000000007</c:v>
                </c:pt>
                <c:pt idx="4">
                  <c:v>10493</c:v>
                </c:pt>
                <c:pt idx="5">
                  <c:v>10574.2</c:v>
                </c:pt>
              </c:numCache>
            </c:numRef>
          </c:val>
        </c:ser>
        <c:ser>
          <c:idx val="1"/>
          <c:order val="1"/>
          <c:tx>
            <c:strRef>
              <c:f>Sheet1!$A$3</c:f>
              <c:strCache>
                <c:ptCount val="1"/>
                <c:pt idx="0">
                  <c:v>Государственные гарантии</c:v>
                </c:pt>
              </c:strCache>
            </c:strRef>
          </c:tx>
          <c:spPr>
            <a:solidFill>
              <a:srgbClr val="FFFF00"/>
            </a:solidFill>
            <a:ln w="12662">
              <a:solidFill>
                <a:srgbClr val="000000"/>
              </a:solidFill>
              <a:prstDash val="solid"/>
            </a:ln>
          </c:spPr>
          <c:dLbls>
            <c:dLbl>
              <c:idx val="0"/>
              <c:layout>
                <c:manualLayout>
                  <c:x val="5.8523641583395986E-2"/>
                  <c:y val="-2.7869767126771968E-2"/>
                </c:manualLayout>
              </c:layout>
              <c:showLegendKey val="0"/>
              <c:showVal val="1"/>
              <c:showCatName val="0"/>
              <c:showSerName val="0"/>
              <c:showPercent val="0"/>
              <c:showBubbleSize val="0"/>
            </c:dLbl>
            <c:dLbl>
              <c:idx val="1"/>
              <c:layout>
                <c:manualLayout>
                  <c:x val="2.9676735559088521E-2"/>
                  <c:y val="-1.9900497512437842E-2"/>
                </c:manualLayout>
              </c:layout>
              <c:showLegendKey val="0"/>
              <c:showVal val="1"/>
              <c:showCatName val="0"/>
              <c:showSerName val="0"/>
              <c:showPercent val="0"/>
              <c:showBubbleSize val="0"/>
            </c:dLbl>
            <c:dLbl>
              <c:idx val="2"/>
              <c:layout>
                <c:manualLayout>
                  <c:x val="-6.9298015013624136E-3"/>
                  <c:y val="-3.1840796019900461E-2"/>
                </c:manualLayout>
              </c:layout>
              <c:showLegendKey val="0"/>
              <c:showVal val="1"/>
              <c:showCatName val="0"/>
              <c:showSerName val="0"/>
              <c:showPercent val="0"/>
              <c:showBubbleSize val="0"/>
            </c:dLbl>
            <c:dLbl>
              <c:idx val="3"/>
              <c:layout>
                <c:manualLayout>
                  <c:x val="-6.8346623603687106E-3"/>
                  <c:y val="-1.9901124299761076E-2"/>
                </c:manualLayout>
              </c:layout>
              <c:showLegendKey val="0"/>
              <c:showVal val="1"/>
              <c:showCatName val="0"/>
              <c:showSerName val="0"/>
              <c:showPercent val="0"/>
              <c:showBubbleSize val="0"/>
            </c:dLbl>
            <c:dLbl>
              <c:idx val="4"/>
              <c:layout>
                <c:manualLayout>
                  <c:x val="-4.6226439501103694E-2"/>
                  <c:y val="-1.19406119011243E-2"/>
                </c:manualLayout>
              </c:layout>
              <c:showLegendKey val="0"/>
              <c:showVal val="1"/>
              <c:showCatName val="0"/>
              <c:showSerName val="0"/>
              <c:showPercent val="0"/>
              <c:showBubbleSize val="0"/>
            </c:dLbl>
            <c:dLbl>
              <c:idx val="5"/>
              <c:layout>
                <c:manualLayout>
                  <c:x val="-4.4963689354781573E-2"/>
                  <c:y val="-3.9800995024875619E-3"/>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2010</c:v>
                </c:pt>
                <c:pt idx="1">
                  <c:v>2011</c:v>
                </c:pt>
                <c:pt idx="2">
                  <c:v>2012</c:v>
                </c:pt>
                <c:pt idx="3">
                  <c:v>2013</c:v>
                </c:pt>
                <c:pt idx="4">
                  <c:v>2014</c:v>
                </c:pt>
                <c:pt idx="5">
                  <c:v>2015</c:v>
                </c:pt>
              </c:numCache>
            </c:numRef>
          </c:cat>
          <c:val>
            <c:numRef>
              <c:f>Sheet1!$B$3:$G$3</c:f>
              <c:numCache>
                <c:formatCode>General</c:formatCode>
                <c:ptCount val="6"/>
                <c:pt idx="0">
                  <c:v>1278.0999999999999</c:v>
                </c:pt>
                <c:pt idx="1">
                  <c:v>953.5</c:v>
                </c:pt>
                <c:pt idx="2">
                  <c:v>633.29999999999995</c:v>
                </c:pt>
                <c:pt idx="3">
                  <c:v>320.89999999999998</c:v>
                </c:pt>
                <c:pt idx="4">
                  <c:v>207</c:v>
                </c:pt>
                <c:pt idx="5">
                  <c:v>142</c:v>
                </c:pt>
              </c:numCache>
            </c:numRef>
          </c:val>
        </c:ser>
        <c:ser>
          <c:idx val="2"/>
          <c:order val="2"/>
          <c:tx>
            <c:strRef>
              <c:f>Sheet1!$A$4</c:f>
              <c:strCache>
                <c:ptCount val="1"/>
                <c:pt idx="0">
                  <c:v>Кредиты коммерческих банков</c:v>
                </c:pt>
              </c:strCache>
            </c:strRef>
          </c:tx>
          <c:spPr>
            <a:gradFill flip="none" rotWithShape="1">
              <a:gsLst>
                <a:gs pos="0">
                  <a:srgbClr val="4BACC6">
                    <a:lumMod val="60000"/>
                    <a:lumOff val="40000"/>
                    <a:shade val="30000"/>
                    <a:satMod val="115000"/>
                  </a:srgbClr>
                </a:gs>
                <a:gs pos="50000">
                  <a:srgbClr val="4BACC6">
                    <a:lumMod val="60000"/>
                    <a:lumOff val="40000"/>
                    <a:shade val="67500"/>
                    <a:satMod val="115000"/>
                  </a:srgbClr>
                </a:gs>
                <a:gs pos="100000">
                  <a:srgbClr val="4BACC6">
                    <a:lumMod val="60000"/>
                    <a:lumOff val="40000"/>
                    <a:shade val="100000"/>
                    <a:satMod val="115000"/>
                  </a:srgbClr>
                </a:gs>
              </a:gsLst>
              <a:path path="circle">
                <a:fillToRect l="50000" t="50000" r="50000" b="50000"/>
              </a:path>
              <a:tileRect/>
            </a:gradFill>
            <a:ln w="12662">
              <a:solidFill>
                <a:srgbClr val="000000"/>
              </a:solidFill>
              <a:prstDash val="solid"/>
            </a:ln>
          </c:spPr>
          <c:dLbls>
            <c:dLbl>
              <c:idx val="0"/>
              <c:layout>
                <c:manualLayout>
                  <c:x val="6.2456350426225958E-2"/>
                  <c:y val="-8.7559154491821001E-2"/>
                </c:manualLayout>
              </c:layout>
              <c:showLegendKey val="0"/>
              <c:showVal val="1"/>
              <c:showCatName val="0"/>
              <c:showSerName val="0"/>
              <c:showPercent val="0"/>
              <c:showBubbleSize val="0"/>
            </c:dLbl>
            <c:dLbl>
              <c:idx val="1"/>
              <c:layout>
                <c:manualLayout>
                  <c:x val="6.3593004769475405E-3"/>
                  <c:y val="-0.10348321385199979"/>
                </c:manualLayout>
              </c:layout>
              <c:showLegendKey val="0"/>
              <c:showVal val="1"/>
              <c:showCatName val="0"/>
              <c:showSerName val="0"/>
              <c:showPercent val="0"/>
              <c:showBubbleSize val="0"/>
            </c:dLbl>
            <c:dLbl>
              <c:idx val="2"/>
              <c:layout>
                <c:manualLayout>
                  <c:x val="-1.614339781728379E-2"/>
                  <c:y val="-0.12339511734927659"/>
                </c:manualLayout>
              </c:layout>
              <c:showLegendKey val="0"/>
              <c:showVal val="1"/>
              <c:showCatName val="0"/>
              <c:showSerName val="0"/>
              <c:showPercent val="0"/>
              <c:showBubbleSize val="0"/>
            </c:dLbl>
            <c:dLbl>
              <c:idx val="3"/>
              <c:layout>
                <c:manualLayout>
                  <c:x val="-3.3563452571180305E-2"/>
                  <c:y val="-0.147273318607371"/>
                </c:manualLayout>
              </c:layout>
              <c:showLegendKey val="0"/>
              <c:showVal val="1"/>
              <c:showCatName val="0"/>
              <c:showSerName val="0"/>
              <c:showPercent val="0"/>
              <c:showBubbleSize val="0"/>
            </c:dLbl>
            <c:dLbl>
              <c:idx val="4"/>
              <c:layout>
                <c:manualLayout>
                  <c:x val="-5.0391233837077123E-2"/>
                  <c:y val="-0.1910569730400728"/>
                </c:manualLayout>
              </c:layout>
              <c:showLegendKey val="0"/>
              <c:showVal val="1"/>
              <c:showCatName val="0"/>
              <c:showSerName val="0"/>
              <c:showPercent val="0"/>
              <c:showBubbleSize val="0"/>
            </c:dLbl>
            <c:dLbl>
              <c:idx val="5"/>
              <c:layout>
                <c:manualLayout>
                  <c:x val="-3.8753655614061841E-2"/>
                  <c:y val="-0.23882090267033781"/>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2010</c:v>
                </c:pt>
                <c:pt idx="1">
                  <c:v>2011</c:v>
                </c:pt>
                <c:pt idx="2">
                  <c:v>2012</c:v>
                </c:pt>
                <c:pt idx="3">
                  <c:v>2013</c:v>
                </c:pt>
                <c:pt idx="4">
                  <c:v>2014</c:v>
                </c:pt>
                <c:pt idx="5">
                  <c:v>2015</c:v>
                </c:pt>
              </c:numCache>
            </c:numRef>
          </c:cat>
          <c:val>
            <c:numRef>
              <c:f>Sheet1!$B$4:$G$4</c:f>
              <c:numCache>
                <c:formatCode>General</c:formatCode>
                <c:ptCount val="6"/>
                <c:pt idx="0">
                  <c:v>3700</c:v>
                </c:pt>
                <c:pt idx="1">
                  <c:v>7192</c:v>
                </c:pt>
                <c:pt idx="2">
                  <c:v>9334.9</c:v>
                </c:pt>
                <c:pt idx="3">
                  <c:v>13361.8</c:v>
                </c:pt>
                <c:pt idx="4">
                  <c:v>17527.8</c:v>
                </c:pt>
                <c:pt idx="5">
                  <c:v>19768.8</c:v>
                </c:pt>
              </c:numCache>
            </c:numRef>
          </c:val>
        </c:ser>
        <c:dLbls>
          <c:showLegendKey val="0"/>
          <c:showVal val="0"/>
          <c:showCatName val="0"/>
          <c:showSerName val="0"/>
          <c:showPercent val="0"/>
          <c:showBubbleSize val="0"/>
        </c:dLbls>
        <c:gapDepth val="0"/>
        <c:axId val="148257792"/>
        <c:axId val="148271872"/>
        <c:axId val="0"/>
      </c:area3DChart>
      <c:catAx>
        <c:axId val="148257792"/>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972" b="1" i="0" u="none" strike="noStrike" baseline="0">
                <a:solidFill>
                  <a:srgbClr val="000000"/>
                </a:solidFill>
                <a:latin typeface="Times New Roman"/>
                <a:ea typeface="Times New Roman"/>
                <a:cs typeface="Times New Roman"/>
              </a:defRPr>
            </a:pPr>
            <a:endParaRPr lang="ru-RU"/>
          </a:p>
        </c:txPr>
        <c:crossAx val="148271872"/>
        <c:crosses val="autoZero"/>
        <c:auto val="1"/>
        <c:lblAlgn val="ctr"/>
        <c:lblOffset val="100"/>
        <c:tickLblSkip val="1"/>
        <c:tickMarkSkip val="1"/>
        <c:noMultiLvlLbl val="0"/>
      </c:catAx>
      <c:valAx>
        <c:axId val="148271872"/>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972" b="1" i="0" u="none" strike="noStrike" baseline="0">
                <a:solidFill>
                  <a:srgbClr val="000000"/>
                </a:solidFill>
                <a:latin typeface="Times New Roman"/>
                <a:ea typeface="Times New Roman"/>
                <a:cs typeface="Times New Roman"/>
              </a:defRPr>
            </a:pPr>
            <a:endParaRPr lang="ru-RU"/>
          </a:p>
        </c:txPr>
        <c:crossAx val="148257792"/>
        <c:crosses val="autoZero"/>
        <c:crossBetween val="midCat"/>
      </c:valAx>
      <c:spPr>
        <a:noFill/>
        <a:ln w="25324">
          <a:noFill/>
        </a:ln>
      </c:spPr>
    </c:plotArea>
    <c:legend>
      <c:legendPos val="b"/>
      <c:layout>
        <c:manualLayout>
          <c:xMode val="edge"/>
          <c:yMode val="edge"/>
          <c:x val="2.0338983050847428E-2"/>
          <c:y val="0.91104294478527559"/>
          <c:w val="0.95932203389830562"/>
          <c:h val="7.9754601226994598E-2"/>
        </c:manualLayout>
      </c:layout>
      <c:overlay val="0"/>
      <c:spPr>
        <a:noFill/>
        <a:ln w="3166">
          <a:noFill/>
          <a:prstDash val="solid"/>
        </a:ln>
      </c:spPr>
      <c:txPr>
        <a:bodyPr/>
        <a:lstStyle/>
        <a:p>
          <a:pPr>
            <a:defRPr sz="1052"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42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spPr>
        <a:solidFill>
          <a:srgbClr val="FFC000"/>
        </a:solidFill>
        <a:ln>
          <a:solidFill>
            <a:schemeClr val="tx1">
              <a:lumMod val="95000"/>
              <a:lumOff val="5000"/>
            </a:schemeClr>
          </a:solidFill>
        </a:ln>
      </c:spPr>
    </c:floor>
    <c:sideWall>
      <c:thickness val="0"/>
      <c:spPr>
        <a:gradFill flip="none" rotWithShape="1">
          <a:gsLst>
            <a:gs pos="0">
              <a:srgbClr val="F79646">
                <a:lumMod val="20000"/>
                <a:lumOff val="80000"/>
                <a:shade val="30000"/>
                <a:satMod val="115000"/>
              </a:srgbClr>
            </a:gs>
            <a:gs pos="50000">
              <a:srgbClr val="F79646">
                <a:lumMod val="20000"/>
                <a:lumOff val="80000"/>
                <a:shade val="67500"/>
                <a:satMod val="115000"/>
              </a:srgbClr>
            </a:gs>
            <a:gs pos="100000">
              <a:srgbClr val="F79646">
                <a:lumMod val="20000"/>
                <a:lumOff val="80000"/>
                <a:shade val="100000"/>
                <a:satMod val="115000"/>
              </a:srgbClr>
            </a:gs>
          </a:gsLst>
          <a:path path="circle">
            <a:fillToRect l="100000" t="100000"/>
          </a:path>
          <a:tileRect r="-100000" b="-100000"/>
        </a:gradFill>
      </c:spPr>
    </c:sideWall>
    <c:backWall>
      <c:thickness val="0"/>
      <c:spPr>
        <a:solidFill>
          <a:srgbClr val="F79646">
            <a:lumMod val="20000"/>
            <a:lumOff val="80000"/>
          </a:srgbClr>
        </a:solidFill>
      </c:spPr>
    </c:backWall>
    <c:plotArea>
      <c:layout>
        <c:manualLayout>
          <c:layoutTarget val="inner"/>
          <c:xMode val="edge"/>
          <c:yMode val="edge"/>
          <c:x val="0"/>
          <c:y val="4.3650793650793648E-2"/>
          <c:w val="0.91825457019273637"/>
          <c:h val="0.75633264591926008"/>
        </c:manualLayout>
      </c:layout>
      <c:bar3DChart>
        <c:barDir val="col"/>
        <c:grouping val="clustered"/>
        <c:varyColors val="0"/>
        <c:ser>
          <c:idx val="0"/>
          <c:order val="0"/>
          <c:tx>
            <c:strRef>
              <c:f>Лист1!$B$1</c:f>
              <c:strCache>
                <c:ptCount val="1"/>
                <c:pt idx="0">
                  <c:v>Государственный долг </c:v>
                </c:pt>
              </c:strCache>
            </c:strRef>
          </c:tx>
          <c:spPr>
            <a:gradFill flip="none" rotWithShape="1">
              <a:gsLst>
                <a:gs pos="0">
                  <a:srgbClr val="FFF200"/>
                </a:gs>
                <a:gs pos="45000">
                  <a:srgbClr val="FF7A00"/>
                </a:gs>
                <a:gs pos="70000">
                  <a:srgbClr val="FF0300"/>
                </a:gs>
                <a:gs pos="100000">
                  <a:srgbClr val="4D0808"/>
                </a:gs>
              </a:gsLst>
              <a:lin ang="5400000" scaled="1"/>
              <a:tileRect/>
            </a:gradFill>
            <a:ln w="19073">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0"/>
              <c:layout>
                <c:manualLayout>
                  <c:x val="-1.1837331367198847E-2"/>
                  <c:y val="5.8382772548690263E-3"/>
                </c:manualLayout>
              </c:layout>
              <c:showLegendKey val="0"/>
              <c:showVal val="1"/>
              <c:showCatName val="0"/>
              <c:showSerName val="0"/>
              <c:showPercent val="0"/>
              <c:showBubbleSize val="0"/>
            </c:dLbl>
            <c:dLbl>
              <c:idx val="1"/>
              <c:layout>
                <c:manualLayout>
                  <c:x val="-2.2070628176125543E-2"/>
                  <c:y val="-7.6378521590929511E-4"/>
                </c:manualLayout>
              </c:layout>
              <c:showLegendKey val="0"/>
              <c:showVal val="1"/>
              <c:showCatName val="0"/>
              <c:showSerName val="0"/>
              <c:showPercent val="0"/>
              <c:showBubbleSize val="0"/>
            </c:dLbl>
            <c:dLbl>
              <c:idx val="2"/>
              <c:layout>
                <c:manualLayout>
                  <c:x val="-2.9320834895638047E-2"/>
                  <c:y val="1.1009984576670184E-2"/>
                </c:manualLayout>
              </c:layout>
              <c:showLegendKey val="0"/>
              <c:showVal val="1"/>
              <c:showCatName val="0"/>
              <c:showSerName val="0"/>
              <c:showPercent val="0"/>
              <c:showBubbleSize val="0"/>
            </c:dLbl>
            <c:dLbl>
              <c:idx val="3"/>
              <c:layout>
                <c:manualLayout>
                  <c:x val="-2.8306961629796276E-2"/>
                  <c:y val="5.0688096977569031E-3"/>
                </c:manualLayout>
              </c:layout>
              <c:showLegendKey val="0"/>
              <c:showVal val="1"/>
              <c:showCatName val="0"/>
              <c:showSerName val="0"/>
              <c:showPercent val="0"/>
              <c:showBubbleSize val="0"/>
            </c:dLbl>
            <c:dLbl>
              <c:idx val="4"/>
              <c:layout>
                <c:manualLayout>
                  <c:x val="-6.0860211785662692E-2"/>
                  <c:y val="1.9170883571640169E-2"/>
                </c:manualLayout>
              </c:layout>
              <c:showLegendKey val="0"/>
              <c:showVal val="1"/>
              <c:showCatName val="0"/>
              <c:showSerName val="0"/>
              <c:showPercent val="0"/>
              <c:showBubbleSize val="0"/>
            </c:dLbl>
            <c:dLbl>
              <c:idx val="5"/>
              <c:layout>
                <c:manualLayout>
                  <c:x val="-3.4853310002916305E-2"/>
                  <c:y val="1.5107936250236762E-2"/>
                </c:manualLayout>
              </c:layout>
              <c:showLegendKey val="0"/>
              <c:showVal val="1"/>
              <c:showCatName val="0"/>
              <c:showSerName val="0"/>
              <c:showPercent val="0"/>
              <c:showBubbleSize val="0"/>
            </c:dLbl>
            <c:dLbl>
              <c:idx val="6"/>
              <c:layout>
                <c:manualLayout>
                  <c:x val="-9.2592637252655822E-3"/>
                  <c:y val="-3.3591245779743907E-4"/>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2010 год</c:v>
                </c:pt>
                <c:pt idx="1">
                  <c:v>2011 год</c:v>
                </c:pt>
                <c:pt idx="2">
                  <c:v>2012 год </c:v>
                </c:pt>
                <c:pt idx="3">
                  <c:v>2013 год </c:v>
                </c:pt>
                <c:pt idx="4">
                  <c:v>2014 год</c:v>
                </c:pt>
                <c:pt idx="5">
                  <c:v>2015 год</c:v>
                </c:pt>
              </c:strCache>
            </c:strRef>
          </c:cat>
          <c:val>
            <c:numRef>
              <c:f>Лист1!$B$2:$B$7</c:f>
              <c:numCache>
                <c:formatCode>General</c:formatCode>
                <c:ptCount val="6"/>
                <c:pt idx="0">
                  <c:v>6741.4</c:v>
                </c:pt>
                <c:pt idx="1">
                  <c:v>11558.8</c:v>
                </c:pt>
                <c:pt idx="2">
                  <c:v>15058.4</c:v>
                </c:pt>
                <c:pt idx="3">
                  <c:v>22815.8</c:v>
                </c:pt>
                <c:pt idx="4" formatCode="0.0">
                  <c:v>28227.8</c:v>
                </c:pt>
                <c:pt idx="5" formatCode="0.0">
                  <c:v>30484.9</c:v>
                </c:pt>
              </c:numCache>
            </c:numRef>
          </c:val>
        </c:ser>
        <c:ser>
          <c:idx val="1"/>
          <c:order val="1"/>
          <c:tx>
            <c:strRef>
              <c:f>Лист1!$C$1</c:f>
              <c:strCache>
                <c:ptCount val="1"/>
                <c:pt idx="0">
                  <c:v>Объем доходов областного бюджета без учета объема безвозмездных поступлений</c:v>
                </c:pt>
              </c:strCache>
            </c:strRef>
          </c:tx>
          <c:spPr>
            <a:gradFill flip="none" rotWithShape="1">
              <a:gsLst>
                <a:gs pos="0">
                  <a:srgbClr val="DDEBCF"/>
                </a:gs>
                <a:gs pos="4169">
                  <a:srgbClr val="D3E3C0"/>
                </a:gs>
                <a:gs pos="12906">
                  <a:srgbClr val="BED3A1"/>
                </a:gs>
                <a:gs pos="27000">
                  <a:srgbClr val="9CB86E"/>
                </a:gs>
                <a:gs pos="81000">
                  <a:srgbClr val="156B13"/>
                </a:gs>
              </a:gsLst>
              <a:lin ang="5400000" scaled="1"/>
              <a:tileRect/>
            </a:gradFill>
            <a:ln w="15875">
              <a:solidFill>
                <a:sysClr val="windowText" lastClr="000000"/>
              </a:solidFill>
            </a:ln>
          </c:spPr>
          <c:invertIfNegative val="0"/>
          <c:dLbls>
            <c:dLbl>
              <c:idx val="0"/>
              <c:layout>
                <c:manualLayout>
                  <c:x val="0"/>
                  <c:y val="8.2474226804123713E-3"/>
                </c:manualLayout>
              </c:layout>
              <c:showLegendKey val="0"/>
              <c:showVal val="1"/>
              <c:showCatName val="0"/>
              <c:showSerName val="0"/>
              <c:showPercent val="0"/>
              <c:showBubbleSize val="0"/>
            </c:dLbl>
            <c:dLbl>
              <c:idx val="1"/>
              <c:layout>
                <c:manualLayout>
                  <c:x val="-1.2345983075103507E-3"/>
                  <c:y val="1.6276187742417195E-2"/>
                </c:manualLayout>
              </c:layout>
              <c:showLegendKey val="0"/>
              <c:showVal val="1"/>
              <c:showCatName val="0"/>
              <c:showSerName val="0"/>
              <c:showPercent val="0"/>
              <c:showBubbleSize val="0"/>
            </c:dLbl>
            <c:dLbl>
              <c:idx val="2"/>
              <c:layout>
                <c:manualLayout>
                  <c:x val="-5.1956361456427708E-2"/>
                  <c:y val="8.5054670392000053E-3"/>
                </c:manualLayout>
              </c:layout>
              <c:showLegendKey val="0"/>
              <c:showVal val="1"/>
              <c:showCatName val="0"/>
              <c:showSerName val="0"/>
              <c:showPercent val="0"/>
              <c:showBubbleSize val="0"/>
            </c:dLbl>
            <c:dLbl>
              <c:idx val="3"/>
              <c:layout>
                <c:manualLayout>
                  <c:x val="-3.7185723725615245E-2"/>
                  <c:y val="7.6025458950096164E-3"/>
                </c:manualLayout>
              </c:layout>
              <c:showLegendKey val="0"/>
              <c:showVal val="1"/>
              <c:showCatName val="0"/>
              <c:showSerName val="0"/>
              <c:showPercent val="0"/>
              <c:showBubbleSize val="0"/>
            </c:dLbl>
            <c:dLbl>
              <c:idx val="4"/>
              <c:layout>
                <c:manualLayout>
                  <c:x val="-2.0469563081807429E-2"/>
                  <c:y val="-3.570319841326546E-4"/>
                </c:manualLayout>
              </c:layout>
              <c:showLegendKey val="0"/>
              <c:showVal val="1"/>
              <c:showCatName val="0"/>
              <c:showSerName val="0"/>
              <c:showPercent val="0"/>
              <c:showBubbleSize val="0"/>
            </c:dLbl>
            <c:dLbl>
              <c:idx val="5"/>
              <c:layout>
                <c:manualLayout>
                  <c:x val="-8.4655923844778082E-3"/>
                  <c:y val="2.4609928455720724E-3"/>
                </c:manualLayout>
              </c:layout>
              <c:showLegendKey val="0"/>
              <c:showVal val="1"/>
              <c:showCatName val="0"/>
              <c:showSerName val="0"/>
              <c:showPercent val="0"/>
              <c:showBubbleSize val="0"/>
            </c:dLbl>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2010 год</c:v>
                </c:pt>
                <c:pt idx="1">
                  <c:v>2011 год</c:v>
                </c:pt>
                <c:pt idx="2">
                  <c:v>2012 год </c:v>
                </c:pt>
                <c:pt idx="3">
                  <c:v>2013 год </c:v>
                </c:pt>
                <c:pt idx="4">
                  <c:v>2014 год</c:v>
                </c:pt>
                <c:pt idx="5">
                  <c:v>2015 год</c:v>
                </c:pt>
              </c:strCache>
            </c:strRef>
          </c:cat>
          <c:val>
            <c:numRef>
              <c:f>Лист1!$C$2:$C$7</c:f>
              <c:numCache>
                <c:formatCode>General</c:formatCode>
                <c:ptCount val="6"/>
                <c:pt idx="0">
                  <c:v>20928.599999999999</c:v>
                </c:pt>
                <c:pt idx="1">
                  <c:v>23496.3</c:v>
                </c:pt>
                <c:pt idx="2">
                  <c:v>26464.400000000001</c:v>
                </c:pt>
                <c:pt idx="3">
                  <c:v>26541</c:v>
                </c:pt>
                <c:pt idx="4">
                  <c:v>28781.3</c:v>
                </c:pt>
                <c:pt idx="5">
                  <c:v>31969.599999999999</c:v>
                </c:pt>
              </c:numCache>
            </c:numRef>
          </c:val>
        </c:ser>
        <c:ser>
          <c:idx val="2"/>
          <c:order val="2"/>
          <c:tx>
            <c:strRef>
              <c:f>Лист1!$D$1</c:f>
              <c:strCache>
                <c:ptCount val="1"/>
                <c:pt idx="0">
                  <c:v>Ряд 3</c:v>
                </c:pt>
              </c:strCache>
            </c:strRef>
          </c:tx>
          <c:invertIfNegative val="0"/>
          <c:cat>
            <c:strRef>
              <c:f>Лист1!$A$2:$A$7</c:f>
              <c:strCache>
                <c:ptCount val="6"/>
                <c:pt idx="0">
                  <c:v>2010 год</c:v>
                </c:pt>
                <c:pt idx="1">
                  <c:v>2011 год</c:v>
                </c:pt>
                <c:pt idx="2">
                  <c:v>2012 год </c:v>
                </c:pt>
                <c:pt idx="3">
                  <c:v>2013 год </c:v>
                </c:pt>
                <c:pt idx="4">
                  <c:v>2014 год</c:v>
                </c:pt>
                <c:pt idx="5">
                  <c:v>2015 год</c:v>
                </c:pt>
              </c:strCache>
            </c:strRef>
          </c:cat>
          <c:val>
            <c:numRef>
              <c:f>Лист1!$D$2:$D$7</c:f>
            </c:numRef>
          </c:val>
          <c:shape val="cylinder"/>
        </c:ser>
        <c:dLbls>
          <c:showLegendKey val="0"/>
          <c:showVal val="0"/>
          <c:showCatName val="0"/>
          <c:showSerName val="0"/>
          <c:showPercent val="0"/>
          <c:showBubbleSize val="0"/>
        </c:dLbls>
        <c:gapWidth val="150"/>
        <c:shape val="box"/>
        <c:axId val="148356096"/>
        <c:axId val="148382464"/>
        <c:axId val="0"/>
      </c:bar3DChart>
      <c:catAx>
        <c:axId val="148356096"/>
        <c:scaling>
          <c:orientation val="minMax"/>
        </c:scaling>
        <c:delete val="0"/>
        <c:axPos val="b"/>
        <c:numFmt formatCode="General" sourceLinked="1"/>
        <c:majorTickMark val="out"/>
        <c:minorTickMark val="none"/>
        <c:tickLblPos val="nextTo"/>
        <c:spPr>
          <a:ln>
            <a:solidFill>
              <a:srgbClr val="0070C0"/>
            </a:solidFill>
          </a:ln>
        </c:spPr>
        <c:txPr>
          <a:bodyPr/>
          <a:lstStyle/>
          <a:p>
            <a:pPr>
              <a:defRPr b="1" baseline="0">
                <a:latin typeface="Times New Roman" pitchFamily="18" charset="0"/>
              </a:defRPr>
            </a:pPr>
            <a:endParaRPr lang="ru-RU"/>
          </a:p>
        </c:txPr>
        <c:crossAx val="148382464"/>
        <c:crosses val="autoZero"/>
        <c:auto val="1"/>
        <c:lblAlgn val="ctr"/>
        <c:lblOffset val="100"/>
        <c:noMultiLvlLbl val="0"/>
      </c:catAx>
      <c:valAx>
        <c:axId val="148382464"/>
        <c:scaling>
          <c:orientation val="minMax"/>
        </c:scaling>
        <c:delete val="0"/>
        <c:axPos val="r"/>
        <c:majorGridlines>
          <c:spPr>
            <a:ln>
              <a:solidFill>
                <a:srgbClr val="002060"/>
              </a:solidFill>
            </a:ln>
          </c:spPr>
        </c:majorGridlines>
        <c:numFmt formatCode="General" sourceLinked="1"/>
        <c:majorTickMark val="out"/>
        <c:minorTickMark val="none"/>
        <c:tickLblPos val="nextTo"/>
        <c:txPr>
          <a:bodyPr/>
          <a:lstStyle/>
          <a:p>
            <a:pPr>
              <a:defRPr b="1" baseline="0">
                <a:latin typeface="Times New Roman" pitchFamily="18" charset="0"/>
              </a:defRPr>
            </a:pPr>
            <a:endParaRPr lang="ru-RU"/>
          </a:p>
        </c:txPr>
        <c:crossAx val="148356096"/>
        <c:crosses val="max"/>
        <c:crossBetween val="between"/>
      </c:valAx>
      <c:spPr>
        <a:noFill/>
        <a:ln w="25431">
          <a:noFill/>
        </a:ln>
      </c:spPr>
    </c:plotArea>
    <c:legend>
      <c:legendPos val="b"/>
      <c:layout/>
      <c:overlay val="0"/>
      <c:txPr>
        <a:bodyPr/>
        <a:lstStyle/>
        <a:p>
          <a:pPr>
            <a:defRPr sz="1001" b="1" baseline="0">
              <a:latin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20"/>
      <c:depthPercent val="100"/>
      <c:rAngAx val="1"/>
    </c:view3D>
    <c:floor>
      <c:thickness val="0"/>
      <c:spPr>
        <a:solidFill>
          <a:srgbClr val="C0504D">
            <a:lumMod val="20000"/>
            <a:lumOff val="80000"/>
          </a:srgbClr>
        </a:solidFill>
        <a:ln w="3175">
          <a:solidFill>
            <a:srgbClr val="000000"/>
          </a:solidFill>
          <a:prstDash val="solid"/>
        </a:ln>
      </c:spPr>
    </c:floor>
    <c:sideWall>
      <c:thickness val="0"/>
      <c:spPr>
        <a:gradFill flip="none" rotWithShape="1">
          <a:gsLst>
            <a:gs pos="0">
              <a:srgbClr val="FFEFD1"/>
            </a:gs>
            <a:gs pos="64999">
              <a:srgbClr val="F0EBD5"/>
            </a:gs>
            <a:gs pos="100000">
              <a:srgbClr val="D1C39F"/>
            </a:gs>
          </a:gsLst>
          <a:lin ang="2700000" scaled="1"/>
          <a:tileRect/>
        </a:gradFill>
        <a:ln w="12700">
          <a:solidFill>
            <a:srgbClr val="808080"/>
          </a:solidFill>
          <a:prstDash val="solid"/>
        </a:ln>
      </c:spPr>
    </c:sideWall>
    <c:backWall>
      <c:thickness val="0"/>
      <c:spPr>
        <a:gradFill flip="none" rotWithShape="1">
          <a:gsLst>
            <a:gs pos="0">
              <a:srgbClr val="FFEFD1"/>
            </a:gs>
            <a:gs pos="64999">
              <a:srgbClr val="F0EBD5"/>
            </a:gs>
            <a:gs pos="100000">
              <a:srgbClr val="D1C39F"/>
            </a:gs>
          </a:gsLst>
          <a:lin ang="2700000" scaled="1"/>
          <a:tileRect/>
        </a:gradFill>
        <a:ln w="12700">
          <a:solidFill>
            <a:srgbClr val="808080"/>
          </a:solidFill>
          <a:prstDash val="solid"/>
        </a:ln>
      </c:spPr>
    </c:backWall>
    <c:plotArea>
      <c:layout>
        <c:manualLayout>
          <c:layoutTarget val="inner"/>
          <c:xMode val="edge"/>
          <c:yMode val="edge"/>
          <c:x val="5.2017639760708535E-2"/>
          <c:y val="3.5856573705179452E-2"/>
          <c:w val="0.9479823602392915"/>
          <c:h val="0.79753962333655659"/>
        </c:manualLayout>
      </c:layout>
      <c:bar3DChart>
        <c:barDir val="col"/>
        <c:grouping val="stacked"/>
        <c:varyColors val="0"/>
        <c:ser>
          <c:idx val="0"/>
          <c:order val="0"/>
          <c:tx>
            <c:strRef>
              <c:f>Sheet1!$A$2</c:f>
              <c:strCache>
                <c:ptCount val="1"/>
                <c:pt idx="0">
                  <c:v>Кредиты коммерческих банков</c:v>
                </c:pt>
              </c:strCache>
            </c:strRef>
          </c:tx>
          <c:spPr>
            <a:solidFill>
              <a:srgbClr val="F79646">
                <a:lumMod val="60000"/>
                <a:lumOff val="40000"/>
              </a:srgbClr>
            </a:solidFill>
            <a:ln w="12700">
              <a:solidFill>
                <a:srgbClr val="000000"/>
              </a:solidFill>
              <a:prstDash val="solid"/>
            </a:ln>
          </c:spPr>
          <c:invertIfNegative val="0"/>
          <c:dLbls>
            <c:dLbl>
              <c:idx val="0"/>
              <c:layout>
                <c:manualLayout>
                  <c:x val="6.9774592972784322E-2"/>
                  <c:y val="2.1119295106658661E-2"/>
                </c:manualLayout>
              </c:layout>
              <c:showLegendKey val="0"/>
              <c:showVal val="1"/>
              <c:showCatName val="0"/>
              <c:showSerName val="0"/>
              <c:showPercent val="0"/>
              <c:showBubbleSize val="0"/>
            </c:dLbl>
            <c:dLbl>
              <c:idx val="1"/>
              <c:layout>
                <c:manualLayout>
                  <c:x val="6.0550186908454671E-2"/>
                  <c:y val="4.5919489948814216E-2"/>
                </c:manualLayout>
              </c:layout>
              <c:showLegendKey val="0"/>
              <c:showVal val="1"/>
              <c:showCatName val="0"/>
              <c:showSerName val="0"/>
              <c:showPercent val="0"/>
              <c:showBubbleSize val="0"/>
            </c:dLbl>
            <c:dLbl>
              <c:idx val="2"/>
              <c:layout>
                <c:manualLayout>
                  <c:x val="6.9315135608049014E-2"/>
                  <c:y val="3.1180365612193253E-2"/>
                </c:manualLayout>
              </c:layout>
              <c:showLegendKey val="0"/>
              <c:showVal val="1"/>
              <c:showCatName val="0"/>
              <c:showSerName val="0"/>
              <c:showPercent val="0"/>
              <c:showBubbleSize val="0"/>
            </c:dLbl>
            <c:dLbl>
              <c:idx val="3"/>
              <c:layout>
                <c:manualLayout>
                  <c:x val="5.576771653543354E-2"/>
                  <c:y val="3.9933628986031942E-2"/>
                </c:manualLayout>
              </c:layout>
              <c:showLegendKey val="0"/>
              <c:showVal val="1"/>
              <c:showCatName val="0"/>
              <c:showSerName val="0"/>
              <c:showPercent val="0"/>
              <c:showBubbleSize val="0"/>
            </c:dLbl>
            <c:dLbl>
              <c:idx val="4"/>
              <c:layout>
                <c:manualLayout>
                  <c:x val="3.8687807882816609E-2"/>
                  <c:y val="3.542905879724223E-2"/>
                </c:manualLayout>
              </c:layout>
              <c:showLegendKey val="0"/>
              <c:showVal val="1"/>
              <c:showCatName val="0"/>
              <c:showSerName val="0"/>
              <c:showPercent val="0"/>
              <c:showBubbleSize val="0"/>
            </c:dLbl>
            <c:spPr>
              <a:solidFill>
                <a:srgbClr val="4F81BD">
                  <a:lumMod val="40000"/>
                  <a:lumOff val="60000"/>
                </a:srgbClr>
              </a:solidFill>
              <a:ln w="25400">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2010</c:v>
                </c:pt>
                <c:pt idx="1">
                  <c:v>2011</c:v>
                </c:pt>
                <c:pt idx="2">
                  <c:v>2012</c:v>
                </c:pt>
                <c:pt idx="3">
                  <c:v>2013</c:v>
                </c:pt>
                <c:pt idx="4">
                  <c:v>2014</c:v>
                </c:pt>
                <c:pt idx="5">
                  <c:v>2015</c:v>
                </c:pt>
              </c:numCache>
            </c:numRef>
          </c:cat>
          <c:val>
            <c:numRef>
              <c:f>Sheet1!$B$2:$G$2</c:f>
              <c:numCache>
                <c:formatCode>General</c:formatCode>
                <c:ptCount val="6"/>
                <c:pt idx="0">
                  <c:v>54.9</c:v>
                </c:pt>
                <c:pt idx="1">
                  <c:v>62.2</c:v>
                </c:pt>
                <c:pt idx="2">
                  <c:v>62</c:v>
                </c:pt>
                <c:pt idx="3">
                  <c:v>58.6</c:v>
                </c:pt>
                <c:pt idx="4">
                  <c:v>62.1</c:v>
                </c:pt>
                <c:pt idx="5">
                  <c:v>64.8</c:v>
                </c:pt>
              </c:numCache>
            </c:numRef>
          </c:val>
        </c:ser>
        <c:ser>
          <c:idx val="1"/>
          <c:order val="1"/>
          <c:tx>
            <c:strRef>
              <c:f>Sheet1!$A$3</c:f>
              <c:strCache>
                <c:ptCount val="1"/>
                <c:pt idx="0">
                  <c:v>Государственные гарантии</c:v>
                </c:pt>
              </c:strCache>
            </c:strRef>
          </c:tx>
          <c:spPr>
            <a:solidFill>
              <a:srgbClr val="7030A0"/>
            </a:solidFill>
            <a:ln w="12700">
              <a:solidFill>
                <a:srgbClr val="000000"/>
              </a:solidFill>
              <a:prstDash val="solid"/>
            </a:ln>
          </c:spPr>
          <c:invertIfNegative val="0"/>
          <c:dLbls>
            <c:dLbl>
              <c:idx val="0"/>
              <c:layout>
                <c:manualLayout>
                  <c:x val="6.967226596675416E-2"/>
                  <c:y val="-1.3384905834139161E-2"/>
                </c:manualLayout>
              </c:layout>
              <c:showLegendKey val="0"/>
              <c:showVal val="1"/>
              <c:showCatName val="0"/>
              <c:showSerName val="0"/>
              <c:showPercent val="0"/>
              <c:showBubbleSize val="0"/>
            </c:dLbl>
            <c:dLbl>
              <c:idx val="1"/>
              <c:layout>
                <c:manualLayout>
                  <c:x val="7.6141207349081363E-2"/>
                  <c:y val="-2.3328820739512784E-2"/>
                </c:manualLayout>
              </c:layout>
              <c:showLegendKey val="0"/>
              <c:showVal val="1"/>
              <c:showCatName val="0"/>
              <c:showSerName val="0"/>
              <c:showPercent val="0"/>
              <c:showBubbleSize val="0"/>
            </c:dLbl>
            <c:dLbl>
              <c:idx val="2"/>
              <c:layout>
                <c:manualLayout>
                  <c:x val="7.4848818897637809E-2"/>
                  <c:y val="-6.6451167288299456E-3"/>
                </c:manualLayout>
              </c:layout>
              <c:showLegendKey val="0"/>
              <c:showVal val="1"/>
              <c:showCatName val="0"/>
              <c:showSerName val="0"/>
              <c:showPercent val="0"/>
              <c:showBubbleSize val="0"/>
            </c:dLbl>
            <c:dLbl>
              <c:idx val="3"/>
              <c:layout>
                <c:manualLayout>
                  <c:x val="7.6427296587926519E-2"/>
                  <c:y val="-2.3047013860109617E-2"/>
                </c:manualLayout>
              </c:layout>
              <c:showLegendKey val="0"/>
              <c:showVal val="1"/>
              <c:showCatName val="0"/>
              <c:showSerName val="0"/>
              <c:showPercent val="0"/>
              <c:showBubbleSize val="0"/>
            </c:dLbl>
            <c:dLbl>
              <c:idx val="4"/>
              <c:layout>
                <c:manualLayout>
                  <c:x val="5.7738208860256122E-2"/>
                  <c:y val="4.879275148078258E-4"/>
                </c:manualLayout>
              </c:layout>
              <c:showLegendKey val="0"/>
              <c:showVal val="1"/>
              <c:showCatName val="0"/>
              <c:showSerName val="0"/>
              <c:showPercent val="0"/>
              <c:showBubbleSize val="0"/>
            </c:dLbl>
            <c:dLbl>
              <c:idx val="5"/>
              <c:layout>
                <c:manualLayout>
                  <c:x val="7.1111111111111111E-2"/>
                  <c:y val="0"/>
                </c:manualLayout>
              </c:layout>
              <c:showLegendKey val="0"/>
              <c:showVal val="1"/>
              <c:showCatName val="0"/>
              <c:showSerName val="0"/>
              <c:showPercent val="0"/>
              <c:showBubbleSize val="0"/>
            </c:dLbl>
            <c:spPr>
              <a:solidFill>
                <a:srgbClr val="8064A2">
                  <a:lumMod val="20000"/>
                  <a:lumOff val="80000"/>
                </a:srgbClr>
              </a:solidFill>
              <a:ln w="25400">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2010</c:v>
                </c:pt>
                <c:pt idx="1">
                  <c:v>2011</c:v>
                </c:pt>
                <c:pt idx="2">
                  <c:v>2012</c:v>
                </c:pt>
                <c:pt idx="3">
                  <c:v>2013</c:v>
                </c:pt>
                <c:pt idx="4">
                  <c:v>2014</c:v>
                </c:pt>
                <c:pt idx="5">
                  <c:v>2015</c:v>
                </c:pt>
              </c:numCache>
            </c:numRef>
          </c:cat>
          <c:val>
            <c:numRef>
              <c:f>Sheet1!$B$3:$G$3</c:f>
              <c:numCache>
                <c:formatCode>General</c:formatCode>
                <c:ptCount val="6"/>
                <c:pt idx="0">
                  <c:v>18.899999999999999</c:v>
                </c:pt>
                <c:pt idx="1">
                  <c:v>8.3000000000000007</c:v>
                </c:pt>
                <c:pt idx="2">
                  <c:v>4.2</c:v>
                </c:pt>
                <c:pt idx="3">
                  <c:v>1.4</c:v>
                </c:pt>
                <c:pt idx="4">
                  <c:v>0.7</c:v>
                </c:pt>
                <c:pt idx="5">
                  <c:v>0.5</c:v>
                </c:pt>
              </c:numCache>
            </c:numRef>
          </c:val>
        </c:ser>
        <c:ser>
          <c:idx val="2"/>
          <c:order val="2"/>
          <c:tx>
            <c:strRef>
              <c:f>Sheet1!$A$4</c:f>
              <c:strCache>
                <c:ptCount val="1"/>
                <c:pt idx="0">
                  <c:v>Бюджетные кредиты</c:v>
                </c:pt>
              </c:strCache>
            </c:strRef>
          </c:tx>
          <c:spPr>
            <a:solidFill>
              <a:srgbClr val="00B0F0"/>
            </a:solidFill>
            <a:ln w="12700">
              <a:solidFill>
                <a:srgbClr val="000000"/>
              </a:solidFill>
              <a:prstDash val="solid"/>
            </a:ln>
          </c:spPr>
          <c:invertIfNegative val="0"/>
          <c:dLbls>
            <c:dLbl>
              <c:idx val="0"/>
              <c:layout>
                <c:manualLayout>
                  <c:x val="2.3079423964360149E-2"/>
                  <c:y val="-2.3827232122300503E-2"/>
                </c:manualLayout>
              </c:layout>
              <c:showLegendKey val="0"/>
              <c:showVal val="1"/>
              <c:showCatName val="0"/>
              <c:showSerName val="0"/>
              <c:showPercent val="0"/>
              <c:showBubbleSize val="0"/>
            </c:dLbl>
            <c:dLbl>
              <c:idx val="1"/>
              <c:layout>
                <c:manualLayout>
                  <c:x val="1.1386876640419971E-2"/>
                  <c:y val="-5.1403048303172577E-3"/>
                </c:manualLayout>
              </c:layout>
              <c:showLegendKey val="0"/>
              <c:showVal val="1"/>
              <c:showCatName val="0"/>
              <c:showSerName val="0"/>
              <c:showPercent val="0"/>
              <c:showBubbleSize val="0"/>
            </c:dLbl>
            <c:dLbl>
              <c:idx val="2"/>
              <c:layout>
                <c:manualLayout>
                  <c:x val="1.5980402449693801E-2"/>
                  <c:y val="-1.4635907353686053E-2"/>
                </c:manualLayout>
              </c:layout>
              <c:showLegendKey val="0"/>
              <c:showVal val="1"/>
              <c:showCatName val="0"/>
              <c:showSerName val="0"/>
              <c:showPercent val="0"/>
              <c:showBubbleSize val="0"/>
            </c:dLbl>
            <c:dLbl>
              <c:idx val="3"/>
              <c:layout>
                <c:manualLayout>
                  <c:x val="3.7962729658792653E-2"/>
                  <c:y val="-1.031413178615832E-2"/>
                </c:manualLayout>
              </c:layout>
              <c:showLegendKey val="0"/>
              <c:showVal val="1"/>
              <c:showCatName val="0"/>
              <c:showSerName val="0"/>
              <c:showPercent val="0"/>
              <c:showBubbleSize val="0"/>
            </c:dLbl>
            <c:dLbl>
              <c:idx val="4"/>
              <c:layout>
                <c:manualLayout>
                  <c:x val="4.4470166229221397E-2"/>
                  <c:y val="-5.4014458718975922E-2"/>
                </c:manualLayout>
              </c:layout>
              <c:showLegendKey val="0"/>
              <c:showVal val="1"/>
              <c:showCatName val="0"/>
              <c:showSerName val="0"/>
              <c:showPercent val="0"/>
              <c:showBubbleSize val="0"/>
            </c:dLbl>
            <c:spPr>
              <a:solidFill>
                <a:srgbClr val="4BACC6">
                  <a:lumMod val="20000"/>
                  <a:lumOff val="80000"/>
                </a:srgbClr>
              </a:solidFill>
              <a:ln w="25400">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2010</c:v>
                </c:pt>
                <c:pt idx="1">
                  <c:v>2011</c:v>
                </c:pt>
                <c:pt idx="2">
                  <c:v>2012</c:v>
                </c:pt>
                <c:pt idx="3">
                  <c:v>2013</c:v>
                </c:pt>
                <c:pt idx="4">
                  <c:v>2014</c:v>
                </c:pt>
                <c:pt idx="5">
                  <c:v>2015</c:v>
                </c:pt>
              </c:numCache>
            </c:numRef>
          </c:cat>
          <c:val>
            <c:numRef>
              <c:f>Sheet1!$B$4:$G$4</c:f>
              <c:numCache>
                <c:formatCode>General</c:formatCode>
                <c:ptCount val="6"/>
                <c:pt idx="0">
                  <c:v>26.2</c:v>
                </c:pt>
                <c:pt idx="1">
                  <c:v>29.5</c:v>
                </c:pt>
                <c:pt idx="2">
                  <c:v>33.799999999999997</c:v>
                </c:pt>
                <c:pt idx="3">
                  <c:v>40</c:v>
                </c:pt>
                <c:pt idx="4">
                  <c:v>37.200000000000003</c:v>
                </c:pt>
                <c:pt idx="5">
                  <c:v>34.700000000000003</c:v>
                </c:pt>
              </c:numCache>
            </c:numRef>
          </c:val>
        </c:ser>
        <c:dLbls>
          <c:showLegendKey val="0"/>
          <c:showVal val="1"/>
          <c:showCatName val="0"/>
          <c:showSerName val="0"/>
          <c:showPercent val="0"/>
          <c:showBubbleSize val="0"/>
        </c:dLbls>
        <c:gapWidth val="150"/>
        <c:gapDepth val="0"/>
        <c:shape val="box"/>
        <c:axId val="148418560"/>
        <c:axId val="148420096"/>
        <c:axId val="0"/>
      </c:bar3DChart>
      <c:catAx>
        <c:axId val="1484185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48420096"/>
        <c:crosses val="autoZero"/>
        <c:auto val="1"/>
        <c:lblAlgn val="ctr"/>
        <c:lblOffset val="100"/>
        <c:tickLblSkip val="1"/>
        <c:tickMarkSkip val="1"/>
        <c:noMultiLvlLbl val="0"/>
      </c:catAx>
      <c:valAx>
        <c:axId val="1484200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48418560"/>
        <c:crosses val="autoZero"/>
        <c:crossBetween val="between"/>
      </c:valAx>
      <c:spPr>
        <a:noFill/>
        <a:ln w="25400">
          <a:noFill/>
        </a:ln>
      </c:spPr>
    </c:plotArea>
    <c:legend>
      <c:legendPos val="b"/>
      <c:layout>
        <c:manualLayout>
          <c:xMode val="edge"/>
          <c:yMode val="edge"/>
          <c:x val="1.7408123791102521E-2"/>
          <c:y val="0.88844621513944222"/>
          <c:w val="0.95938104448742745"/>
          <c:h val="9.5617529880478225E-2"/>
        </c:manualLayout>
      </c:layout>
      <c:overlay val="0"/>
      <c:spPr>
        <a:noFill/>
        <a:ln w="3175">
          <a:noFill/>
          <a:prstDash val="solid"/>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12139427060348E-2"/>
          <c:y val="2.9147878254348641E-2"/>
          <c:w val="0.90862944162436565"/>
          <c:h val="0.71681681203991154"/>
        </c:manualLayout>
      </c:layout>
      <c:barChart>
        <c:barDir val="col"/>
        <c:grouping val="stacked"/>
        <c:varyColors val="0"/>
        <c:ser>
          <c:idx val="0"/>
          <c:order val="0"/>
          <c:tx>
            <c:strRef>
              <c:f>Sheet1!$A$2</c:f>
              <c:strCache>
                <c:ptCount val="1"/>
                <c:pt idx="0">
                  <c:v>Расходы на обслуживание долга, млн. руб.</c:v>
                </c:pt>
              </c:strCache>
            </c:strRef>
          </c:tx>
          <c:spPr>
            <a:solidFill>
              <a:srgbClr val="0070C0"/>
            </a:solidFill>
            <a:ln w="12700">
              <a:solidFill>
                <a:srgbClr val="000000"/>
              </a:solidFill>
              <a:prstDash val="solid"/>
            </a:ln>
          </c:spPr>
          <c:invertIfNegative val="0"/>
          <c:dLbls>
            <c:dLbl>
              <c:idx val="0"/>
              <c:layout>
                <c:manualLayout>
                  <c:x val="-3.2911847253305052E-3"/>
                  <c:y val="-9.2874569432334894E-2"/>
                </c:manualLayout>
              </c:layout>
              <c:dLblPos val="ctr"/>
              <c:showLegendKey val="0"/>
              <c:showVal val="1"/>
              <c:showCatName val="0"/>
              <c:showSerName val="0"/>
              <c:showPercent val="0"/>
              <c:showBubbleSize val="0"/>
            </c:dLbl>
            <c:dLbl>
              <c:idx val="1"/>
              <c:layout>
                <c:manualLayout>
                  <c:x val="-2.898293879701163E-2"/>
                  <c:y val="-8.2572223938193745E-2"/>
                </c:manualLayout>
              </c:layout>
              <c:dLblPos val="ctr"/>
              <c:showLegendKey val="0"/>
              <c:showVal val="1"/>
              <c:showCatName val="0"/>
              <c:showSerName val="0"/>
              <c:showPercent val="0"/>
              <c:showBubbleSize val="0"/>
            </c:dLbl>
            <c:dLbl>
              <c:idx val="2"/>
              <c:layout>
                <c:manualLayout>
                  <c:x val="3.000825063798538E-2"/>
                  <c:y val="-0.13760831798733483"/>
                </c:manualLayout>
              </c:layout>
              <c:dLblPos val="ctr"/>
              <c:showLegendKey val="0"/>
              <c:showVal val="1"/>
              <c:showCatName val="0"/>
              <c:showSerName val="0"/>
              <c:showPercent val="0"/>
              <c:showBubbleSize val="0"/>
            </c:dLbl>
            <c:dLbl>
              <c:idx val="3"/>
              <c:layout>
                <c:manualLayout>
                  <c:x val="5.3319555985734422E-2"/>
                  <c:y val="-0.11396944947099011"/>
                </c:manualLayout>
              </c:layout>
              <c:dLblPos val="ctr"/>
              <c:showLegendKey val="0"/>
              <c:showVal val="1"/>
              <c:showCatName val="0"/>
              <c:showSerName val="0"/>
              <c:showPercent val="0"/>
              <c:showBubbleSize val="0"/>
            </c:dLbl>
            <c:dLbl>
              <c:idx val="4"/>
              <c:layout>
                <c:manualLayout>
                  <c:x val="2.5941175957656454E-2"/>
                  <c:y val="-0.19768344174369509"/>
                </c:manualLayout>
              </c:layout>
              <c:dLblPos val="ctr"/>
              <c:showLegendKey val="0"/>
              <c:showVal val="1"/>
              <c:showCatName val="0"/>
              <c:showSerName val="0"/>
              <c:showPercent val="0"/>
              <c:showBubbleSize val="0"/>
            </c:dLbl>
            <c:dLbl>
              <c:idx val="5"/>
              <c:layout>
                <c:manualLayout>
                  <c:x val="-6.6458627324089596E-3"/>
                  <c:y val="-0.26076500617098114"/>
                </c:manualLayout>
              </c:layout>
              <c:showLegendKey val="0"/>
              <c:showVal val="1"/>
              <c:showCatName val="0"/>
              <c:showSerName val="0"/>
              <c:showPercent val="0"/>
              <c:showBubbleSize val="0"/>
            </c:dLbl>
            <c:spPr>
              <a:solidFill>
                <a:srgbClr val="99CCFF"/>
              </a:solidFill>
              <a:ln w="25400">
                <a:noFill/>
              </a:ln>
            </c:spPr>
            <c:txPr>
              <a:bodyPr/>
              <a:lstStyle/>
              <a:p>
                <a:pPr>
                  <a:defRPr sz="11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Sheet1!$B$1:$G$1</c:f>
              <c:numCache>
                <c:formatCode>General</c:formatCode>
                <c:ptCount val="6"/>
                <c:pt idx="0">
                  <c:v>2010</c:v>
                </c:pt>
                <c:pt idx="1">
                  <c:v>2011</c:v>
                </c:pt>
                <c:pt idx="2">
                  <c:v>2012</c:v>
                </c:pt>
                <c:pt idx="3">
                  <c:v>2013</c:v>
                </c:pt>
                <c:pt idx="4">
                  <c:v>2014</c:v>
                </c:pt>
                <c:pt idx="5">
                  <c:v>2015</c:v>
                </c:pt>
              </c:numCache>
            </c:numRef>
          </c:cat>
          <c:val>
            <c:numRef>
              <c:f>Sheet1!$B$2:$G$2</c:f>
              <c:numCache>
                <c:formatCode>General</c:formatCode>
                <c:ptCount val="6"/>
                <c:pt idx="0">
                  <c:v>131.5</c:v>
                </c:pt>
                <c:pt idx="1">
                  <c:v>233.2</c:v>
                </c:pt>
                <c:pt idx="2">
                  <c:v>522.4</c:v>
                </c:pt>
                <c:pt idx="3">
                  <c:v>1089.2</c:v>
                </c:pt>
                <c:pt idx="4">
                  <c:v>1396</c:v>
                </c:pt>
                <c:pt idx="5">
                  <c:v>1903.6</c:v>
                </c:pt>
              </c:numCache>
            </c:numRef>
          </c:val>
        </c:ser>
        <c:dLbls>
          <c:showLegendKey val="0"/>
          <c:showVal val="1"/>
          <c:showCatName val="0"/>
          <c:showSerName val="0"/>
          <c:showPercent val="0"/>
          <c:showBubbleSize val="0"/>
        </c:dLbls>
        <c:gapWidth val="150"/>
        <c:overlap val="100"/>
        <c:axId val="148535168"/>
        <c:axId val="148554496"/>
      </c:barChart>
      <c:lineChart>
        <c:grouping val="stacked"/>
        <c:varyColors val="0"/>
        <c:ser>
          <c:idx val="2"/>
          <c:order val="1"/>
          <c:tx>
            <c:strRef>
              <c:f>Sheet1!$A$3</c:f>
              <c:strCache>
                <c:ptCount val="1"/>
                <c:pt idx="0">
                  <c:v>Доля расходов на обслуживание долга в расходах бюджета без учёта субвенций, %</c:v>
                </c:pt>
              </c:strCache>
            </c:strRef>
          </c:tx>
          <c:spPr>
            <a:ln w="38100">
              <a:solidFill>
                <a:srgbClr val="C00000"/>
              </a:solidFill>
              <a:prstDash val="solid"/>
            </a:ln>
          </c:spPr>
          <c:marker>
            <c:symbol val="triangle"/>
            <c:size val="9"/>
            <c:spPr>
              <a:solidFill>
                <a:srgbClr val="C00000"/>
              </a:solidFill>
              <a:ln>
                <a:solidFill>
                  <a:srgbClr val="C00000"/>
                </a:solidFill>
                <a:prstDash val="solid"/>
              </a:ln>
            </c:spPr>
          </c:marker>
          <c:dLbls>
            <c:dLbl>
              <c:idx val="0"/>
              <c:layout>
                <c:manualLayout>
                  <c:x val="-3.1828623957550206E-3"/>
                  <c:y val="-4.2546862313485839E-2"/>
                </c:manualLayout>
              </c:layout>
              <c:dLblPos val="r"/>
              <c:showLegendKey val="0"/>
              <c:showVal val="1"/>
              <c:showCatName val="0"/>
              <c:showSerName val="0"/>
              <c:showPercent val="0"/>
              <c:showBubbleSize val="0"/>
            </c:dLbl>
            <c:dLbl>
              <c:idx val="1"/>
              <c:layout>
                <c:manualLayout>
                  <c:x val="2.11843287030982E-2"/>
                  <c:y val="-5.2516261554262242E-2"/>
                </c:manualLayout>
              </c:layout>
              <c:dLblPos val="r"/>
              <c:showLegendKey val="0"/>
              <c:showVal val="1"/>
              <c:showCatName val="0"/>
              <c:showSerName val="0"/>
              <c:showPercent val="0"/>
              <c:showBubbleSize val="0"/>
            </c:dLbl>
            <c:dLbl>
              <c:idx val="2"/>
              <c:layout>
                <c:manualLayout>
                  <c:x val="-3.5796779634704311E-2"/>
                  <c:y val="-5.8026120127564099E-2"/>
                </c:manualLayout>
              </c:layout>
              <c:dLblPos val="r"/>
              <c:showLegendKey val="0"/>
              <c:showVal val="1"/>
              <c:showCatName val="0"/>
              <c:showSerName val="0"/>
              <c:showPercent val="0"/>
              <c:showBubbleSize val="0"/>
            </c:dLbl>
            <c:dLbl>
              <c:idx val="3"/>
              <c:layout>
                <c:manualLayout>
                  <c:x val="-3.8306083832544108E-2"/>
                  <c:y val="-4.7919010123734458E-2"/>
                </c:manualLayout>
              </c:layout>
              <c:dLblPos val="r"/>
              <c:showLegendKey val="0"/>
              <c:showVal val="1"/>
              <c:showCatName val="0"/>
              <c:showSerName val="0"/>
              <c:showPercent val="0"/>
              <c:showBubbleSize val="0"/>
            </c:dLbl>
            <c:dLbl>
              <c:idx val="4"/>
              <c:layout>
                <c:manualLayout>
                  <c:x val="-4.0523190415151594E-2"/>
                  <c:y val="-6.3924618118387372E-2"/>
                </c:manualLayout>
              </c:layout>
              <c:dLblPos val="r"/>
              <c:showLegendKey val="0"/>
              <c:showVal val="1"/>
              <c:showCatName val="0"/>
              <c:showSerName val="0"/>
              <c:showPercent val="0"/>
              <c:showBubbleSize val="0"/>
            </c:dLbl>
            <c:dLbl>
              <c:idx val="5"/>
              <c:layout>
                <c:manualLayout>
                  <c:x val="-3.5437430786267994E-2"/>
                  <c:y val="-6.2111801242235948E-2"/>
                </c:manualLayout>
              </c:layout>
              <c:showLegendKey val="0"/>
              <c:showVal val="1"/>
              <c:showCatName val="0"/>
              <c:showSerName val="0"/>
              <c:showPercent val="0"/>
              <c:showBubbleSize val="0"/>
            </c:dLbl>
            <c:spPr>
              <a:solidFill>
                <a:srgbClr val="FFFF99"/>
              </a:solidFill>
              <a:ln w="25400">
                <a:noFill/>
              </a:ln>
            </c:spPr>
            <c:txPr>
              <a:bodyPr/>
              <a:lstStyle/>
              <a:p>
                <a:pPr>
                  <a:defRPr sz="11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Sheet1!$B$1:$G$1</c:f>
              <c:numCache>
                <c:formatCode>General</c:formatCode>
                <c:ptCount val="6"/>
                <c:pt idx="0">
                  <c:v>2010</c:v>
                </c:pt>
                <c:pt idx="1">
                  <c:v>2011</c:v>
                </c:pt>
                <c:pt idx="2">
                  <c:v>2012</c:v>
                </c:pt>
                <c:pt idx="3">
                  <c:v>2013</c:v>
                </c:pt>
                <c:pt idx="4">
                  <c:v>2014</c:v>
                </c:pt>
                <c:pt idx="5">
                  <c:v>2015</c:v>
                </c:pt>
              </c:numCache>
            </c:numRef>
          </c:cat>
          <c:val>
            <c:numRef>
              <c:f>Sheet1!$B$3:$G$3</c:f>
              <c:numCache>
                <c:formatCode>General</c:formatCode>
                <c:ptCount val="6"/>
                <c:pt idx="0">
                  <c:v>0.3</c:v>
                </c:pt>
                <c:pt idx="1">
                  <c:v>0.5</c:v>
                </c:pt>
                <c:pt idx="2">
                  <c:v>1.1000000000000001</c:v>
                </c:pt>
                <c:pt idx="3">
                  <c:v>1.6</c:v>
                </c:pt>
                <c:pt idx="4">
                  <c:v>2.7</c:v>
                </c:pt>
                <c:pt idx="5">
                  <c:v>4.3</c:v>
                </c:pt>
              </c:numCache>
            </c:numRef>
          </c:val>
          <c:smooth val="0"/>
        </c:ser>
        <c:dLbls>
          <c:showLegendKey val="0"/>
          <c:showVal val="1"/>
          <c:showCatName val="0"/>
          <c:showSerName val="0"/>
          <c:showPercent val="0"/>
          <c:showBubbleSize val="0"/>
        </c:dLbls>
        <c:marker val="1"/>
        <c:smooth val="0"/>
        <c:axId val="148535168"/>
        <c:axId val="148554496"/>
      </c:lineChart>
      <c:catAx>
        <c:axId val="1485351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48554496"/>
        <c:crosses val="autoZero"/>
        <c:auto val="1"/>
        <c:lblAlgn val="ctr"/>
        <c:lblOffset val="100"/>
        <c:tickLblSkip val="1"/>
        <c:tickMarkSkip val="1"/>
        <c:noMultiLvlLbl val="0"/>
      </c:catAx>
      <c:valAx>
        <c:axId val="148554496"/>
        <c:scaling>
          <c:orientation val="minMax"/>
          <c:max val="2200"/>
          <c:min val="0"/>
        </c:scaling>
        <c:delete val="0"/>
        <c:axPos val="l"/>
        <c:majorGridlines>
          <c:spPr>
            <a:ln w="3175">
              <a:solidFill>
                <a:sysClr val="windowText" lastClr="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30000">
                <a:solidFill>
                  <a:srgbClr val="000000"/>
                </a:solidFill>
                <a:latin typeface="Times New Roman"/>
                <a:ea typeface="Times New Roman"/>
                <a:cs typeface="Times New Roman"/>
              </a:defRPr>
            </a:pPr>
            <a:endParaRPr lang="ru-RU"/>
          </a:p>
        </c:txPr>
        <c:crossAx val="148535168"/>
        <c:crosses val="autoZero"/>
        <c:crossBetween val="between"/>
        <c:majorUnit val="200"/>
      </c:valAx>
      <c:spPr>
        <a:solidFill>
          <a:srgbClr val="4F81BD">
            <a:lumMod val="20000"/>
            <a:lumOff val="80000"/>
          </a:srgbClr>
        </a:solidFill>
        <a:scene3d>
          <a:camera prst="orthographicFront"/>
          <a:lightRig rig="sunrise" dir="t"/>
        </a:scene3d>
        <a:sp3d prstMaterial="flat">
          <a:bevelT prst="relaxedInset"/>
          <a:bevelB prst="relaxedInset"/>
        </a:sp3d>
      </c:spPr>
    </c:plotArea>
    <c:legend>
      <c:legendPos val="b"/>
      <c:layout>
        <c:manualLayout>
          <c:xMode val="edge"/>
          <c:yMode val="edge"/>
          <c:x val="3.7652270210409747E-2"/>
          <c:y val="0.84910557897434535"/>
          <c:w val="0.90019484438614428"/>
          <c:h val="0.12693393040473375"/>
        </c:manualLayout>
      </c:layout>
      <c:overlay val="0"/>
      <c:spPr>
        <a:noFill/>
        <a:ln w="3175">
          <a:solidFill>
            <a:srgbClr val="000000"/>
          </a:solidFill>
          <a:prstDash val="solid"/>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075"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1.5208333333333336E-2"/>
          <c:y val="3.5835835835835855E-2"/>
          <c:w val="0.98432874015748029"/>
          <c:h val="0.70700807037524305"/>
        </c:manualLayout>
      </c:layout>
      <c:bar3DChart>
        <c:barDir val="col"/>
        <c:grouping val="clustered"/>
        <c:varyColors val="0"/>
        <c:ser>
          <c:idx val="0"/>
          <c:order val="0"/>
          <c:tx>
            <c:strRef>
              <c:f>Лист1!$B$1</c:f>
              <c:strCache>
                <c:ptCount val="1"/>
                <c:pt idx="0">
                  <c:v>2015</c:v>
                </c:pt>
              </c:strCache>
            </c:strRef>
          </c:tx>
          <c:spPr>
            <a:ln>
              <a:solidFill>
                <a:schemeClr val="tx1"/>
              </a:solidFill>
            </a:ln>
          </c:spPr>
          <c:invertIfNegative val="0"/>
          <c:dLbls>
            <c:dLbl>
              <c:idx val="0"/>
              <c:layout>
                <c:manualLayout>
                  <c:x val="3.7037401574803149E-3"/>
                  <c:y val="-1.9841302445889917E-2"/>
                </c:manualLayout>
              </c:layout>
              <c:showLegendKey val="0"/>
              <c:showVal val="1"/>
              <c:showCatName val="0"/>
              <c:showSerName val="0"/>
              <c:showPercent val="0"/>
              <c:showBubbleSize val="0"/>
            </c:dLbl>
            <c:txPr>
              <a:bodyPr/>
              <a:lstStyle/>
              <a:p>
                <a:pPr>
                  <a:defRPr b="1" i="0"/>
                </a:pPr>
                <a:endParaRPr lang="ru-RU"/>
              </a:p>
            </c:txPr>
            <c:showLegendKey val="0"/>
            <c:showVal val="1"/>
            <c:showCatName val="0"/>
            <c:showSerName val="0"/>
            <c:showPercent val="0"/>
            <c:showBubbleSize val="0"/>
            <c:showLeaderLines val="0"/>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1">
                  <c:v>9.4</c:v>
                </c:pt>
                <c:pt idx="2">
                  <c:v>9.5</c:v>
                </c:pt>
                <c:pt idx="3">
                  <c:v>5.4</c:v>
                </c:pt>
                <c:pt idx="5">
                  <c:v>62.6</c:v>
                </c:pt>
                <c:pt idx="6">
                  <c:v>44.7</c:v>
                </c:pt>
                <c:pt idx="7">
                  <c:v>30.8</c:v>
                </c:pt>
                <c:pt idx="8">
                  <c:v>26.2</c:v>
                </c:pt>
                <c:pt idx="9">
                  <c:v>55.2</c:v>
                </c:pt>
                <c:pt idx="10">
                  <c:v>6.8</c:v>
                </c:pt>
                <c:pt idx="11">
                  <c:v>6.9</c:v>
                </c:pt>
              </c:numCache>
            </c:numRef>
          </c:val>
        </c:ser>
        <c:ser>
          <c:idx val="1"/>
          <c:order val="1"/>
          <c:tx>
            <c:strRef>
              <c:f>Лист1!$C$1</c:f>
              <c:strCache>
                <c:ptCount val="1"/>
                <c:pt idx="0">
                  <c:v>2016</c:v>
                </c:pt>
              </c:strCache>
            </c:strRef>
          </c:tx>
          <c:spPr>
            <a:ln>
              <a:solidFill>
                <a:schemeClr val="tx1"/>
              </a:solidFill>
            </a:ln>
          </c:spPr>
          <c:invertIfNegative val="0"/>
          <c:dLbls>
            <c:dLbl>
              <c:idx val="0"/>
              <c:layout>
                <c:manualLayout>
                  <c:x val="6.944225721784777E-3"/>
                  <c:y val="-1.9737837118186313E-2"/>
                </c:manualLayout>
              </c:layout>
              <c:showLegendKey val="0"/>
              <c:showVal val="1"/>
              <c:showCatName val="0"/>
              <c:showSerName val="0"/>
              <c:showPercent val="0"/>
              <c:showBubbleSize val="0"/>
            </c:dLbl>
            <c:dLbl>
              <c:idx val="1"/>
              <c:layout>
                <c:manualLayout>
                  <c:x val="6.2500000000000003E-3"/>
                  <c:y val="-3.3250207813798837E-3"/>
                </c:manualLayout>
              </c:layout>
              <c:showLegendKey val="0"/>
              <c:showVal val="1"/>
              <c:showCatName val="0"/>
              <c:showSerName val="0"/>
              <c:showPercent val="0"/>
              <c:showBubbleSize val="0"/>
            </c:dLbl>
            <c:dLbl>
              <c:idx val="2"/>
              <c:layout>
                <c:manualLayout>
                  <c:x val="4.1666666666666666E-3"/>
                  <c:y val="0"/>
                </c:manualLayout>
              </c:layout>
              <c:showLegendKey val="0"/>
              <c:showVal val="1"/>
              <c:showCatName val="0"/>
              <c:showSerName val="0"/>
              <c:showPercent val="0"/>
              <c:showBubbleSize val="0"/>
            </c:dLbl>
            <c:dLbl>
              <c:idx val="3"/>
              <c:layout>
                <c:manualLayout>
                  <c:x val="4.1666666666666666E-3"/>
                  <c:y val="0"/>
                </c:manualLayout>
              </c:layout>
              <c:showLegendKey val="0"/>
              <c:showVal val="1"/>
              <c:showCatName val="0"/>
              <c:showSerName val="0"/>
              <c:showPercent val="0"/>
              <c:showBubbleSize val="0"/>
            </c:dLbl>
            <c:dLbl>
              <c:idx val="4"/>
              <c:layout>
                <c:manualLayout>
                  <c:x val="8.3333333333333332E-3"/>
                  <c:y val="0"/>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7.1</c:v>
                </c:pt>
                <c:pt idx="1">
                  <c:v>7.6</c:v>
                </c:pt>
                <c:pt idx="2">
                  <c:v>25.2</c:v>
                </c:pt>
                <c:pt idx="3">
                  <c:v>8.1</c:v>
                </c:pt>
                <c:pt idx="4" formatCode="0.0">
                  <c:v>7.8</c:v>
                </c:pt>
              </c:numCache>
            </c:numRef>
          </c:val>
        </c:ser>
        <c:dLbls>
          <c:showLegendKey val="0"/>
          <c:showVal val="0"/>
          <c:showCatName val="0"/>
          <c:showSerName val="0"/>
          <c:showPercent val="0"/>
          <c:showBubbleSize val="0"/>
        </c:dLbls>
        <c:gapWidth val="22"/>
        <c:gapDepth val="14"/>
        <c:shape val="cylinder"/>
        <c:axId val="61126912"/>
        <c:axId val="61132800"/>
        <c:axId val="0"/>
      </c:bar3DChart>
      <c:catAx>
        <c:axId val="61126912"/>
        <c:scaling>
          <c:orientation val="minMax"/>
        </c:scaling>
        <c:delete val="0"/>
        <c:axPos val="b"/>
        <c:numFmt formatCode="General" sourceLinked="1"/>
        <c:majorTickMark val="out"/>
        <c:minorTickMark val="none"/>
        <c:tickLblPos val="nextTo"/>
        <c:txPr>
          <a:bodyPr/>
          <a:lstStyle/>
          <a:p>
            <a:pPr>
              <a:defRPr b="1"/>
            </a:pPr>
            <a:endParaRPr lang="ru-RU"/>
          </a:p>
        </c:txPr>
        <c:crossAx val="61132800"/>
        <c:crosses val="autoZero"/>
        <c:auto val="1"/>
        <c:lblAlgn val="ctr"/>
        <c:lblOffset val="100"/>
        <c:noMultiLvlLbl val="0"/>
      </c:catAx>
      <c:valAx>
        <c:axId val="61132800"/>
        <c:scaling>
          <c:orientation val="minMax"/>
        </c:scaling>
        <c:delete val="0"/>
        <c:axPos val="l"/>
        <c:majorGridlines>
          <c:spPr>
            <a:ln>
              <a:noFill/>
            </a:ln>
          </c:spPr>
        </c:majorGridlines>
        <c:numFmt formatCode="General" sourceLinked="1"/>
        <c:majorTickMark val="none"/>
        <c:minorTickMark val="none"/>
        <c:tickLblPos val="none"/>
        <c:spPr>
          <a:ln>
            <a:noFill/>
          </a:ln>
        </c:spPr>
        <c:crossAx val="61126912"/>
        <c:crosses val="autoZero"/>
        <c:crossBetween val="between"/>
      </c:valAx>
    </c:plotArea>
    <c:legend>
      <c:legendPos val="b"/>
      <c:overlay val="0"/>
      <c:txPr>
        <a:bodyPr/>
        <a:lstStyle/>
        <a:p>
          <a:pPr>
            <a:defRPr b="1"/>
          </a:pPr>
          <a:endParaRPr lang="ru-RU"/>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7314387240056529"/>
          <c:y val="0"/>
          <c:w val="0.48820512820512818"/>
          <c:h val="1"/>
        </c:manualLayout>
      </c:layout>
      <c:pieChart>
        <c:varyColors val="1"/>
        <c:ser>
          <c:idx val="0"/>
          <c:order val="0"/>
          <c:tx>
            <c:strRef>
              <c:f>Sheet1!$A$2</c:f>
              <c:strCache>
                <c:ptCount val="1"/>
              </c:strCache>
            </c:strRef>
          </c:tx>
          <c:spPr>
            <a:ln w="15875">
              <a:solidFill>
                <a:sysClr val="windowText" lastClr="000000"/>
              </a:solidFill>
            </a:ln>
          </c:spPr>
          <c:dPt>
            <c:idx val="0"/>
            <c:bubble3D val="0"/>
            <c:explosion val="5"/>
            <c:spPr>
              <a:solidFill>
                <a:srgbClr val="FF0000"/>
              </a:solidFill>
              <a:ln w="15875">
                <a:solidFill>
                  <a:sysClr val="windowText" lastClr="000000"/>
                </a:solidFill>
              </a:ln>
            </c:spPr>
          </c:dPt>
          <c:dPt>
            <c:idx val="1"/>
            <c:bubble3D val="0"/>
            <c:explosion val="2"/>
            <c:spPr>
              <a:solidFill>
                <a:srgbClr val="00B0F0"/>
              </a:solidFill>
              <a:ln w="15875">
                <a:solidFill>
                  <a:sysClr val="windowText" lastClr="000000"/>
                </a:solidFill>
              </a:ln>
            </c:spPr>
          </c:dPt>
          <c:dPt>
            <c:idx val="2"/>
            <c:bubble3D val="0"/>
            <c:explosion val="8"/>
          </c:dPt>
          <c:dPt>
            <c:idx val="3"/>
            <c:bubble3D val="0"/>
            <c:explosion val="8"/>
          </c:dPt>
          <c:dPt>
            <c:idx val="4"/>
            <c:bubble3D val="0"/>
            <c:explosion val="6"/>
          </c:dPt>
          <c:dPt>
            <c:idx val="5"/>
            <c:bubble3D val="0"/>
            <c:explosion val="5"/>
          </c:dPt>
          <c:dPt>
            <c:idx val="6"/>
            <c:bubble3D val="0"/>
            <c:explosion val="2"/>
          </c:dPt>
          <c:dPt>
            <c:idx val="7"/>
            <c:bubble3D val="0"/>
          </c:dPt>
          <c:dLbls>
            <c:dLbl>
              <c:idx val="0"/>
              <c:layout>
                <c:manualLayout>
                  <c:x val="-1.6097987626317877E-2"/>
                  <c:y val="-0.24428108896692108"/>
                </c:manualLayout>
              </c:layout>
              <c:tx>
                <c:rich>
                  <a:bodyPr/>
                  <a:lstStyle/>
                  <a:p>
                    <a:r>
                      <a:rPr lang="ru-RU"/>
                      <a:t>город</a:t>
                    </a:r>
                  </a:p>
                  <a:p>
                    <a:r>
                      <a:rPr lang="ru-RU"/>
                      <a:t> Свободный; 45,2%</a:t>
                    </a:r>
                  </a:p>
                </c:rich>
              </c:tx>
              <c:dLblPos val="bestFit"/>
              <c:showLegendKey val="1"/>
              <c:showVal val="1"/>
              <c:showCatName val="1"/>
              <c:showSerName val="0"/>
              <c:showPercent val="0"/>
              <c:showBubbleSize val="0"/>
            </c:dLbl>
            <c:dLbl>
              <c:idx val="1"/>
              <c:layout>
                <c:manualLayout>
                  <c:x val="-0.1435702060568893"/>
                  <c:y val="0"/>
                </c:manualLayout>
              </c:layout>
              <c:tx>
                <c:rich>
                  <a:bodyPr/>
                  <a:lstStyle/>
                  <a:p>
                    <a:r>
                      <a:rPr lang="ru-RU"/>
                      <a:t>город Благовещенск; 21,3%</a:t>
                    </a:r>
                  </a:p>
                </c:rich>
              </c:tx>
              <c:dLblPos val="bestFit"/>
              <c:showLegendKey val="1"/>
              <c:showVal val="1"/>
              <c:showCatName val="1"/>
              <c:showSerName val="0"/>
              <c:showPercent val="0"/>
              <c:showBubbleSize val="0"/>
            </c:dLbl>
            <c:dLbl>
              <c:idx val="2"/>
              <c:layout>
                <c:manualLayout>
                  <c:x val="-5.2585733895527308E-2"/>
                  <c:y val="7.8720727605501584E-2"/>
                </c:manualLayout>
              </c:layout>
              <c:dLblPos val="bestFit"/>
              <c:showLegendKey val="1"/>
              <c:showVal val="1"/>
              <c:showCatName val="1"/>
              <c:showSerName val="0"/>
              <c:showPercent val="0"/>
              <c:showBubbleSize val="0"/>
            </c:dLbl>
            <c:dLbl>
              <c:idx val="3"/>
              <c:layout>
                <c:manualLayout>
                  <c:x val="-8.3030294464867677E-2"/>
                  <c:y val="0.1132256163714197"/>
                </c:manualLayout>
              </c:layout>
              <c:tx>
                <c:rich>
                  <a:bodyPr/>
                  <a:lstStyle/>
                  <a:p>
                    <a:r>
                      <a:rPr lang="ru-RU"/>
                      <a:t>Ивановский район; 5,7%</a:t>
                    </a:r>
                  </a:p>
                </c:rich>
              </c:tx>
              <c:dLblPos val="bestFit"/>
              <c:showLegendKey val="1"/>
              <c:showVal val="1"/>
              <c:showCatName val="1"/>
              <c:showSerName val="0"/>
              <c:showPercent val="0"/>
              <c:showBubbleSize val="0"/>
            </c:dLbl>
            <c:dLbl>
              <c:idx val="4"/>
              <c:layout>
                <c:manualLayout>
                  <c:x val="-5.8565589585397745E-2"/>
                  <c:y val="0.12424193889051854"/>
                </c:manualLayout>
              </c:layout>
              <c:dLblPos val="bestFit"/>
              <c:showLegendKey val="1"/>
              <c:showVal val="1"/>
              <c:showCatName val="1"/>
              <c:showSerName val="0"/>
              <c:showPercent val="0"/>
              <c:showBubbleSize val="0"/>
            </c:dLbl>
            <c:dLbl>
              <c:idx val="5"/>
              <c:layout>
                <c:manualLayout>
                  <c:x val="-0.10678423626601967"/>
                  <c:y val="7.2251199673897329E-2"/>
                </c:manualLayout>
              </c:layout>
              <c:dLblPos val="bestFit"/>
              <c:showLegendKey val="1"/>
              <c:showVal val="1"/>
              <c:showCatName val="1"/>
              <c:showSerName val="0"/>
              <c:showPercent val="0"/>
              <c:showBubbleSize val="0"/>
            </c:dLbl>
            <c:dLbl>
              <c:idx val="6"/>
              <c:layout>
                <c:manualLayout>
                  <c:x val="-0.12228828142568374"/>
                  <c:y val="1.1456501949550998E-2"/>
                </c:manualLayout>
              </c:layout>
              <c:dLblPos val="bestFit"/>
              <c:showLegendKey val="1"/>
              <c:showVal val="1"/>
              <c:showCatName val="1"/>
              <c:showSerName val="0"/>
              <c:showPercent val="0"/>
              <c:showBubbleSize val="0"/>
            </c:dLbl>
            <c:dLbl>
              <c:idx val="7"/>
              <c:layout>
                <c:manualLayout>
                  <c:x val="2.0513556289555538E-2"/>
                  <c:y val="0"/>
                </c:manualLayout>
              </c:layout>
              <c:tx>
                <c:rich>
                  <a:bodyPr/>
                  <a:lstStyle/>
                  <a:p>
                    <a:r>
                      <a:rPr lang="ru-RU"/>
                      <a:t>Прочие; 11,3%</a:t>
                    </a:r>
                  </a:p>
                </c:rich>
              </c:tx>
              <c:dLblPos val="bestFit"/>
              <c:showLegendKey val="1"/>
              <c:showVal val="1"/>
              <c:showCatName val="1"/>
              <c:showSerName val="0"/>
              <c:showPercent val="0"/>
              <c:showBubbleSize val="0"/>
            </c:dLbl>
            <c:numFmt formatCode="0.0%" sourceLinked="0"/>
            <c:spPr>
              <a:ln>
                <a:noFill/>
              </a:ln>
            </c:spPr>
            <c:txPr>
              <a:bodyPr/>
              <a:lstStyle/>
              <a:p>
                <a:pPr>
                  <a:defRPr b="1"/>
                </a:pPr>
                <a:endParaRPr lang="ru-RU"/>
              </a:p>
            </c:txPr>
            <c:dLblPos val="outEnd"/>
            <c:showLegendKey val="1"/>
            <c:showVal val="1"/>
            <c:showCatName val="1"/>
            <c:showSerName val="0"/>
            <c:showPercent val="0"/>
            <c:showBubbleSize val="0"/>
            <c:showLeaderLines val="1"/>
          </c:dLbls>
          <c:cat>
            <c:strRef>
              <c:f>Sheet1!$B$1:$I$1</c:f>
              <c:strCache>
                <c:ptCount val="8"/>
                <c:pt idx="0">
                  <c:v>город Свободный </c:v>
                </c:pt>
                <c:pt idx="1">
                  <c:v>город Благовещенск</c:v>
                </c:pt>
                <c:pt idx="2">
                  <c:v>Магдагачинский район</c:v>
                </c:pt>
                <c:pt idx="3">
                  <c:v>Ивановский район </c:v>
                </c:pt>
                <c:pt idx="4">
                  <c:v>город Белогорск</c:v>
                </c:pt>
                <c:pt idx="5">
                  <c:v>город Зея</c:v>
                </c:pt>
                <c:pt idx="6">
                  <c:v>Мазановский район</c:v>
                </c:pt>
                <c:pt idx="7">
                  <c:v>Прочие </c:v>
                </c:pt>
              </c:strCache>
            </c:strRef>
          </c:cat>
          <c:val>
            <c:numRef>
              <c:f>Sheet1!$B$2:$I$2</c:f>
              <c:numCache>
                <c:formatCode>0.00%</c:formatCode>
                <c:ptCount val="8"/>
                <c:pt idx="0">
                  <c:v>0.45200000000000001</c:v>
                </c:pt>
                <c:pt idx="1">
                  <c:v>0.21299999999999999</c:v>
                </c:pt>
                <c:pt idx="2">
                  <c:v>5.8999999999999997E-2</c:v>
                </c:pt>
                <c:pt idx="3">
                  <c:v>5.7000000000000002E-2</c:v>
                </c:pt>
                <c:pt idx="4">
                  <c:v>5.2999999999999999E-2</c:v>
                </c:pt>
                <c:pt idx="5">
                  <c:v>2.7E-2</c:v>
                </c:pt>
                <c:pt idx="6">
                  <c:v>2.5999999999999999E-2</c:v>
                </c:pt>
                <c:pt idx="7">
                  <c:v>0.113</c:v>
                </c:pt>
              </c:numCache>
            </c:numRef>
          </c:val>
        </c:ser>
        <c:dLbls>
          <c:showLegendKey val="0"/>
          <c:showVal val="0"/>
          <c:showCatName val="0"/>
          <c:showSerName val="0"/>
          <c:showPercent val="1"/>
          <c:showBubbleSize val="0"/>
          <c:showLeaderLines val="1"/>
        </c:dLbls>
        <c:firstSliceAng val="0"/>
      </c:pieChart>
    </c:plotArea>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lineChart>
        <c:grouping val="standard"/>
        <c:varyColors val="0"/>
        <c:ser>
          <c:idx val="0"/>
          <c:order val="0"/>
          <c:tx>
            <c:strRef>
              <c:f>Лист1!$B$1</c:f>
              <c:strCache>
                <c:ptCount val="1"/>
                <c:pt idx="0">
                  <c:v>Прогноз 1 вариант</c:v>
                </c:pt>
              </c:strCache>
            </c:strRef>
          </c:tx>
          <c:marker>
            <c:symbol val="none"/>
          </c:marker>
          <c:dLbls>
            <c:dLbl>
              <c:idx val="0"/>
              <c:layout>
                <c:manualLayout>
                  <c:x val="2.0232675771370764E-3"/>
                  <c:y val="3.968253968253968E-2"/>
                </c:manualLayout>
              </c:layout>
              <c:showLegendKey val="0"/>
              <c:showVal val="1"/>
              <c:showCatName val="0"/>
              <c:showSerName val="0"/>
              <c:showPercent val="0"/>
              <c:showBubbleSize val="0"/>
            </c:dLbl>
            <c:dLbl>
              <c:idx val="1"/>
              <c:layout>
                <c:manualLayout>
                  <c:x val="0"/>
                  <c:y val="5.9523809523809521E-2"/>
                </c:manualLayout>
              </c:layout>
              <c:showLegendKey val="0"/>
              <c:showVal val="1"/>
              <c:showCatName val="0"/>
              <c:showSerName val="0"/>
              <c:showPercent val="0"/>
              <c:showBubbleSize val="0"/>
            </c:dLbl>
            <c:dLbl>
              <c:idx val="2"/>
              <c:layout>
                <c:manualLayout>
                  <c:x val="0"/>
                  <c:y val="1.1904761904761923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Лист1!$A$2:$A$5</c:f>
              <c:numCache>
                <c:formatCode>General</c:formatCode>
                <c:ptCount val="4"/>
                <c:pt idx="0">
                  <c:v>2012</c:v>
                </c:pt>
                <c:pt idx="1">
                  <c:v>2013</c:v>
                </c:pt>
                <c:pt idx="2">
                  <c:v>2014</c:v>
                </c:pt>
                <c:pt idx="3">
                  <c:v>2015</c:v>
                </c:pt>
              </c:numCache>
            </c:numRef>
          </c:cat>
          <c:val>
            <c:numRef>
              <c:f>Лист1!$B$2:$B$5</c:f>
              <c:numCache>
                <c:formatCode>0.0</c:formatCode>
                <c:ptCount val="4"/>
                <c:pt idx="0" formatCode="General">
                  <c:v>208.8</c:v>
                </c:pt>
                <c:pt idx="1">
                  <c:v>262.2</c:v>
                </c:pt>
                <c:pt idx="2">
                  <c:v>287.5</c:v>
                </c:pt>
                <c:pt idx="3">
                  <c:v>295.12027999999998</c:v>
                </c:pt>
              </c:numCache>
            </c:numRef>
          </c:val>
          <c:smooth val="1"/>
        </c:ser>
        <c:ser>
          <c:idx val="1"/>
          <c:order val="1"/>
          <c:tx>
            <c:strRef>
              <c:f>Лист1!$C$1</c:f>
              <c:strCache>
                <c:ptCount val="1"/>
                <c:pt idx="0">
                  <c:v>Прогноз 2 вариант</c:v>
                </c:pt>
              </c:strCache>
            </c:strRef>
          </c:tx>
          <c:marker>
            <c:symbol val="none"/>
          </c:marker>
          <c:dLbls>
            <c:dLbl>
              <c:idx val="0"/>
              <c:layout>
                <c:manualLayout>
                  <c:x val="2.0232675771370764E-3"/>
                  <c:y val="-1.1904761904761904E-2"/>
                </c:manualLayout>
              </c:layout>
              <c:showLegendKey val="0"/>
              <c:showVal val="1"/>
              <c:showCatName val="0"/>
              <c:showSerName val="0"/>
              <c:showPercent val="0"/>
              <c:showBubbleSize val="0"/>
            </c:dLbl>
            <c:dLbl>
              <c:idx val="1"/>
              <c:layout>
                <c:manualLayout>
                  <c:x val="0"/>
                  <c:y val="2.7777777777777776E-2"/>
                </c:manualLayout>
              </c:layout>
              <c:showLegendKey val="0"/>
              <c:showVal val="1"/>
              <c:showCatName val="0"/>
              <c:showSerName val="0"/>
              <c:showPercent val="0"/>
              <c:showBubbleSize val="0"/>
            </c:dLbl>
            <c:dLbl>
              <c:idx val="2"/>
              <c:layout>
                <c:manualLayout>
                  <c:x val="-2.0232675771370764E-3"/>
                  <c:y val="-7.5396825396825393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Лист1!$A$2:$A$5</c:f>
              <c:numCache>
                <c:formatCode>General</c:formatCode>
                <c:ptCount val="4"/>
                <c:pt idx="0">
                  <c:v>2012</c:v>
                </c:pt>
                <c:pt idx="1">
                  <c:v>2013</c:v>
                </c:pt>
                <c:pt idx="2">
                  <c:v>2014</c:v>
                </c:pt>
                <c:pt idx="3">
                  <c:v>2015</c:v>
                </c:pt>
              </c:numCache>
            </c:numRef>
          </c:cat>
          <c:val>
            <c:numRef>
              <c:f>Лист1!$C$2:$C$5</c:f>
              <c:numCache>
                <c:formatCode>0.0</c:formatCode>
                <c:ptCount val="4"/>
                <c:pt idx="0" formatCode="General">
                  <c:v>209.8</c:v>
                </c:pt>
                <c:pt idx="1">
                  <c:v>264.10000000000002</c:v>
                </c:pt>
                <c:pt idx="2">
                  <c:v>289.39999999999998</c:v>
                </c:pt>
                <c:pt idx="3">
                  <c:v>299.38189</c:v>
                </c:pt>
              </c:numCache>
            </c:numRef>
          </c:val>
          <c:smooth val="1"/>
        </c:ser>
        <c:ser>
          <c:idx val="2"/>
          <c:order val="2"/>
          <c:tx>
            <c:strRef>
              <c:f>Лист1!$D$1</c:f>
              <c:strCache>
                <c:ptCount val="1"/>
                <c:pt idx="0">
                  <c:v>Факт (за 2015 год - оценка)</c:v>
                </c:pt>
              </c:strCache>
            </c:strRef>
          </c:tx>
          <c:marker>
            <c:symbol val="none"/>
          </c:marker>
          <c:dLbls>
            <c:dLbl>
              <c:idx val="0"/>
              <c:layout>
                <c:manualLayout>
                  <c:x val="0"/>
                  <c:y val="-2.7777777777777776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Лист1!$A$2:$A$5</c:f>
              <c:numCache>
                <c:formatCode>General</c:formatCode>
                <c:ptCount val="4"/>
                <c:pt idx="0">
                  <c:v>2012</c:v>
                </c:pt>
                <c:pt idx="1">
                  <c:v>2013</c:v>
                </c:pt>
                <c:pt idx="2">
                  <c:v>2014</c:v>
                </c:pt>
                <c:pt idx="3">
                  <c:v>2015</c:v>
                </c:pt>
              </c:numCache>
            </c:numRef>
          </c:cat>
          <c:val>
            <c:numRef>
              <c:f>Лист1!$D$2:$D$5</c:f>
              <c:numCache>
                <c:formatCode>0.0</c:formatCode>
                <c:ptCount val="4"/>
                <c:pt idx="0" formatCode="General">
                  <c:v>229.4</c:v>
                </c:pt>
                <c:pt idx="1">
                  <c:v>210.70089999999999</c:v>
                </c:pt>
                <c:pt idx="2">
                  <c:v>235.3888</c:v>
                </c:pt>
                <c:pt idx="3">
                  <c:v>253.21080000000001</c:v>
                </c:pt>
              </c:numCache>
            </c:numRef>
          </c:val>
          <c:smooth val="1"/>
        </c:ser>
        <c:dLbls>
          <c:showLegendKey val="0"/>
          <c:showVal val="1"/>
          <c:showCatName val="0"/>
          <c:showSerName val="0"/>
          <c:showPercent val="0"/>
          <c:showBubbleSize val="0"/>
        </c:dLbls>
        <c:hiLowLines/>
        <c:marker val="1"/>
        <c:smooth val="0"/>
        <c:axId val="70016000"/>
        <c:axId val="70038272"/>
      </c:lineChart>
      <c:catAx>
        <c:axId val="70016000"/>
        <c:scaling>
          <c:orientation val="minMax"/>
        </c:scaling>
        <c:delete val="0"/>
        <c:axPos val="b"/>
        <c:numFmt formatCode="General" sourceLinked="1"/>
        <c:majorTickMark val="out"/>
        <c:minorTickMark val="none"/>
        <c:tickLblPos val="nextTo"/>
        <c:txPr>
          <a:bodyPr/>
          <a:lstStyle/>
          <a:p>
            <a:pPr>
              <a:defRPr b="1"/>
            </a:pPr>
            <a:endParaRPr lang="ru-RU"/>
          </a:p>
        </c:txPr>
        <c:crossAx val="70038272"/>
        <c:crosses val="autoZero"/>
        <c:auto val="1"/>
        <c:lblAlgn val="ctr"/>
        <c:lblOffset val="100"/>
        <c:noMultiLvlLbl val="0"/>
      </c:catAx>
      <c:valAx>
        <c:axId val="70038272"/>
        <c:scaling>
          <c:orientation val="minMax"/>
          <c:max val="300"/>
          <c:min val="200"/>
        </c:scaling>
        <c:delete val="1"/>
        <c:axPos val="l"/>
        <c:majorGridlines>
          <c:spPr>
            <a:ln>
              <a:noFill/>
            </a:ln>
          </c:spPr>
        </c:majorGridlines>
        <c:title>
          <c:tx>
            <c:rich>
              <a:bodyPr rot="0" vert="horz"/>
              <a:lstStyle/>
              <a:p>
                <a:pPr>
                  <a:defRPr b="1"/>
                </a:pPr>
                <a:r>
                  <a:rPr lang="ru-RU" b="1"/>
                  <a:t>млрд. рублей</a:t>
                </a:r>
              </a:p>
            </c:rich>
          </c:tx>
          <c:layout>
            <c:manualLayout>
              <c:xMode val="edge"/>
              <c:yMode val="edge"/>
              <c:x val="1.8209408194233688E-2"/>
              <c:y val="0.7202080989876265"/>
            </c:manualLayout>
          </c:layout>
          <c:overlay val="0"/>
        </c:title>
        <c:numFmt formatCode="General" sourceLinked="1"/>
        <c:majorTickMark val="out"/>
        <c:minorTickMark val="none"/>
        <c:tickLblPos val="nextTo"/>
        <c:crossAx val="70016000"/>
        <c:crosses val="autoZero"/>
        <c:crossBetween val="between"/>
        <c:majorUnit val="50"/>
      </c:valAx>
    </c:plotArea>
    <c:legend>
      <c:legendPos val="r"/>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noFill/>
        </a:ln>
      </c:spPr>
    </c:floor>
    <c:sideWall>
      <c:thickness val="0"/>
      <c:spPr>
        <a:ln>
          <a:noFill/>
        </a:ln>
      </c:spPr>
    </c:sideWall>
    <c:backWall>
      <c:thickness val="0"/>
      <c:spPr>
        <a:ln>
          <a:noFill/>
        </a:ln>
      </c:spPr>
    </c:backWall>
    <c:plotArea>
      <c:layout>
        <c:manualLayout>
          <c:layoutTarget val="inner"/>
          <c:xMode val="edge"/>
          <c:yMode val="edge"/>
          <c:x val="9.7477355389923425E-3"/>
          <c:y val="4.3859649122807015E-2"/>
          <c:w val="0.97480361690693706"/>
          <c:h val="0.84675438596491226"/>
        </c:manualLayout>
      </c:layout>
      <c:bar3DChart>
        <c:barDir val="col"/>
        <c:grouping val="clustered"/>
        <c:varyColors val="0"/>
        <c:ser>
          <c:idx val="0"/>
          <c:order val="0"/>
          <c:tx>
            <c:strRef>
              <c:f>Лист1!$B$1</c:f>
              <c:strCache>
                <c:ptCount val="1"/>
                <c:pt idx="0">
                  <c:v>Столбец1</c:v>
                </c:pt>
              </c:strCache>
            </c:strRef>
          </c:tx>
          <c:spPr>
            <a:gradFill flip="none" rotWithShape="1">
              <a:gsLst>
                <a:gs pos="0">
                  <a:srgbClr val="BB9301"/>
                </a:gs>
                <a:gs pos="50000">
                  <a:srgbClr val="F0DF02"/>
                </a:gs>
                <a:gs pos="100000">
                  <a:srgbClr val="FFFF29"/>
                </a:gs>
              </a:gsLst>
              <a:lin ang="10800000" scaled="1"/>
              <a:tileRect/>
            </a:gradFill>
            <a:effectLst>
              <a:outerShdw blurRad="50800" dist="38100" algn="l" rotWithShape="0">
                <a:prstClr val="black">
                  <a:alpha val="40000"/>
                </a:prstClr>
              </a:outerShdw>
            </a:effectLst>
            <a:scene3d>
              <a:camera prst="orthographicFront"/>
              <a:lightRig rig="threePt" dir="t"/>
            </a:scene3d>
            <a:sp3d prstMaterial="softEdge">
              <a:bevelT w="165100" prst="coolSlant"/>
            </a:sp3d>
          </c:spPr>
          <c:invertIfNegative val="0"/>
          <c:dLbls>
            <c:dLbl>
              <c:idx val="0"/>
              <c:layout>
                <c:manualLayout>
                  <c:x val="2.1760633036597428E-2"/>
                  <c:y val="-3.5087719298245612E-2"/>
                </c:manualLayout>
              </c:layout>
              <c:showLegendKey val="0"/>
              <c:showVal val="1"/>
              <c:showCatName val="0"/>
              <c:showSerName val="0"/>
              <c:showPercent val="0"/>
              <c:showBubbleSize val="0"/>
            </c:dLbl>
            <c:dLbl>
              <c:idx val="1"/>
              <c:layout>
                <c:manualLayout>
                  <c:x val="2.1760633036597428E-2"/>
                  <c:y val="-2.6315789473684209E-2"/>
                </c:manualLayout>
              </c:layout>
              <c:showLegendKey val="0"/>
              <c:showVal val="1"/>
              <c:showCatName val="0"/>
              <c:showSerName val="0"/>
              <c:showPercent val="0"/>
              <c:showBubbleSize val="0"/>
            </c:dLbl>
            <c:dLbl>
              <c:idx val="2"/>
              <c:layout>
                <c:manualLayout>
                  <c:x val="2.1760633036597428E-2"/>
                  <c:y val="-3.0701754385964911E-2"/>
                </c:manualLayout>
              </c:layout>
              <c:showLegendKey val="0"/>
              <c:showVal val="1"/>
              <c:showCatName val="0"/>
              <c:showSerName val="0"/>
              <c:showPercent val="0"/>
              <c:showBubbleSize val="0"/>
            </c:dLbl>
            <c:dLbl>
              <c:idx val="3"/>
              <c:layout>
                <c:manualLayout>
                  <c:x val="2.967359050445104E-2"/>
                  <c:y val="-3.0701754385964911E-2"/>
                </c:manualLayout>
              </c:layout>
              <c:showLegendKey val="0"/>
              <c:showVal val="1"/>
              <c:showCatName val="0"/>
              <c:showSerName val="0"/>
              <c:showPercent val="0"/>
              <c:showBubbleSize val="0"/>
            </c:dLbl>
            <c:dLbl>
              <c:idx val="4"/>
              <c:layout>
                <c:manualLayout>
                  <c:x val="2.1760633036597428E-2"/>
                  <c:y val="-2.1929824561403508E-2"/>
                </c:manualLayout>
              </c:layout>
              <c:showLegendKey val="0"/>
              <c:showVal val="1"/>
              <c:showCatName val="0"/>
              <c:showSerName val="0"/>
              <c:showPercent val="0"/>
              <c:showBubbleSize val="0"/>
            </c:dLbl>
            <c:txPr>
              <a:bodyPr anchor="t" anchorCtr="1"/>
              <a:lstStyle/>
              <a:p>
                <a:pPr>
                  <a:defRPr sz="1200" b="1"/>
                </a:pPr>
                <a:endParaRPr lang="ru-RU"/>
              </a:p>
            </c:txPr>
            <c:showLegendKey val="0"/>
            <c:showVal val="1"/>
            <c:showCatName val="0"/>
            <c:showSerName val="0"/>
            <c:showPercent val="0"/>
            <c:showBubbleSize val="0"/>
            <c:showLeaderLines val="0"/>
          </c:dLbls>
          <c:cat>
            <c:strRef>
              <c:f>Лист1!$A$2:$A$6</c:f>
              <c:strCache>
                <c:ptCount val="5"/>
                <c:pt idx="0">
                  <c:v>2011 год</c:v>
                </c:pt>
                <c:pt idx="1">
                  <c:v>2012 год</c:v>
                </c:pt>
                <c:pt idx="2">
                  <c:v>2013 год</c:v>
                </c:pt>
                <c:pt idx="3">
                  <c:v>2014 год</c:v>
                </c:pt>
                <c:pt idx="4">
                  <c:v>2015 год (оценка)</c:v>
                </c:pt>
              </c:strCache>
            </c:strRef>
          </c:cat>
          <c:val>
            <c:numRef>
              <c:f>Лист1!$B$2:$B$6</c:f>
              <c:numCache>
                <c:formatCode>General</c:formatCode>
                <c:ptCount val="5"/>
                <c:pt idx="0">
                  <c:v>108.1</c:v>
                </c:pt>
                <c:pt idx="1">
                  <c:v>97.3</c:v>
                </c:pt>
                <c:pt idx="2">
                  <c:v>89.4</c:v>
                </c:pt>
                <c:pt idx="3">
                  <c:v>103.1</c:v>
                </c:pt>
                <c:pt idx="4">
                  <c:v>98.6</c:v>
                </c:pt>
              </c:numCache>
            </c:numRef>
          </c:val>
        </c:ser>
        <c:dLbls>
          <c:showLegendKey val="0"/>
          <c:showVal val="0"/>
          <c:showCatName val="0"/>
          <c:showSerName val="0"/>
          <c:showPercent val="0"/>
          <c:showBubbleSize val="0"/>
        </c:dLbls>
        <c:gapWidth val="80"/>
        <c:shape val="box"/>
        <c:axId val="70088576"/>
        <c:axId val="70090112"/>
        <c:axId val="0"/>
      </c:bar3DChart>
      <c:catAx>
        <c:axId val="70088576"/>
        <c:scaling>
          <c:orientation val="minMax"/>
        </c:scaling>
        <c:delete val="0"/>
        <c:axPos val="b"/>
        <c:majorTickMark val="out"/>
        <c:minorTickMark val="none"/>
        <c:tickLblPos val="nextTo"/>
        <c:txPr>
          <a:bodyPr/>
          <a:lstStyle/>
          <a:p>
            <a:pPr>
              <a:defRPr b="1"/>
            </a:pPr>
            <a:endParaRPr lang="ru-RU"/>
          </a:p>
        </c:txPr>
        <c:crossAx val="70090112"/>
        <c:crosses val="autoZero"/>
        <c:auto val="1"/>
        <c:lblAlgn val="ctr"/>
        <c:lblOffset val="100"/>
        <c:noMultiLvlLbl val="0"/>
      </c:catAx>
      <c:valAx>
        <c:axId val="70090112"/>
        <c:scaling>
          <c:orientation val="minMax"/>
          <c:min val="90"/>
        </c:scaling>
        <c:delete val="0"/>
        <c:axPos val="l"/>
        <c:majorGridlines>
          <c:spPr>
            <a:ln>
              <a:noFill/>
            </a:ln>
          </c:spPr>
        </c:majorGridlines>
        <c:numFmt formatCode="General" sourceLinked="1"/>
        <c:majorTickMark val="none"/>
        <c:minorTickMark val="none"/>
        <c:tickLblPos val="none"/>
        <c:spPr>
          <a:noFill/>
          <a:ln>
            <a:noFill/>
          </a:ln>
        </c:spPr>
        <c:crossAx val="70088576"/>
        <c:crosses val="autoZero"/>
        <c:crossBetween val="between"/>
        <c:majorUnit val="10"/>
      </c:valAx>
      <c:spPr>
        <a:noFill/>
        <a:ln>
          <a:noFill/>
        </a:ln>
      </c:spPr>
    </c:plotArea>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98"/>
      <c:rotY val="20"/>
      <c:depthPercent val="100"/>
      <c:rAngAx val="0"/>
      <c:perspective val="30"/>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3893291072372122E-2"/>
          <c:y val="7.7322687605226878E-3"/>
          <c:w val="0.91925465838510001"/>
          <c:h val="0.8202035019595153"/>
        </c:manualLayout>
      </c:layout>
      <c:bar3DChart>
        <c:barDir val="bar"/>
        <c:grouping val="percentStacked"/>
        <c:varyColors val="0"/>
        <c:ser>
          <c:idx val="0"/>
          <c:order val="0"/>
          <c:tx>
            <c:strRef>
              <c:f>Sheet1!$A$2:$G$2</c:f>
              <c:strCache>
                <c:ptCount val="1"/>
                <c:pt idx="0">
                  <c:v>Производство и распределение электроэнергии, газа и воды</c:v>
                </c:pt>
              </c:strCache>
            </c:strRef>
          </c:tx>
          <c:spPr>
            <a:solidFill>
              <a:srgbClr val="3366FF"/>
            </a:solidFill>
            <a:ln w="25400">
              <a:solidFill>
                <a:sysClr val="windowText" lastClr="000000"/>
              </a:solidFill>
            </a:ln>
            <a:scene3d>
              <a:camera prst="orthographicFront"/>
              <a:lightRig rig="threePt" dir="t"/>
            </a:scene3d>
            <a:sp3d>
              <a:bevelT/>
              <a:contourClr>
                <a:srgbClr val="000000"/>
              </a:contourClr>
            </a:sp3d>
          </c:spPr>
          <c:invertIfNegative val="0"/>
          <c:dLbls>
            <c:spPr>
              <a:solidFill>
                <a:schemeClr val="bg1"/>
              </a:solidFill>
              <a:ln w="23127">
                <a:solidFill>
                  <a:srgbClr val="3366FF"/>
                </a:solidFill>
              </a:ln>
            </c:spPr>
            <c:txPr>
              <a:bodyPr/>
              <a:lstStyle/>
              <a:p>
                <a:pPr>
                  <a:defRPr sz="1093" b="1" i="0" u="none" strike="noStrike" baseline="0">
                    <a:solidFill>
                      <a:srgbClr val="000000"/>
                    </a:solidFill>
                    <a:latin typeface="Times New Roman" pitchFamily="18" charset="0"/>
                    <a:ea typeface="Times New Roman CYR"/>
                    <a:cs typeface="Times New Roman" pitchFamily="18" charset="0"/>
                  </a:defRPr>
                </a:pPr>
                <a:endParaRPr lang="ru-RU"/>
              </a:p>
            </c:txPr>
            <c:showLegendKey val="0"/>
            <c:showVal val="1"/>
            <c:showCatName val="0"/>
            <c:showSerName val="0"/>
            <c:showPercent val="0"/>
            <c:showBubbleSize val="0"/>
            <c:showLeaderLines val="0"/>
          </c:dLbls>
          <c:cat>
            <c:numRef>
              <c:f>Sheet1!$H$1:$L$1</c:f>
              <c:numCache>
                <c:formatCode>General</c:formatCode>
                <c:ptCount val="5"/>
                <c:pt idx="0">
                  <c:v>2011</c:v>
                </c:pt>
                <c:pt idx="1">
                  <c:v>2012</c:v>
                </c:pt>
                <c:pt idx="2">
                  <c:v>2013</c:v>
                </c:pt>
                <c:pt idx="3">
                  <c:v>2014</c:v>
                </c:pt>
                <c:pt idx="4">
                  <c:v>2015</c:v>
                </c:pt>
              </c:numCache>
            </c:numRef>
          </c:cat>
          <c:val>
            <c:numRef>
              <c:f>Sheet1!$H$2:$L$2</c:f>
              <c:numCache>
                <c:formatCode>0.0</c:formatCode>
                <c:ptCount val="5"/>
                <c:pt idx="0">
                  <c:v>26.8</c:v>
                </c:pt>
                <c:pt idx="1">
                  <c:v>26.3</c:v>
                </c:pt>
                <c:pt idx="2">
                  <c:v>27.8</c:v>
                </c:pt>
                <c:pt idx="3">
                  <c:v>27.1</c:v>
                </c:pt>
                <c:pt idx="4">
                  <c:v>24.4</c:v>
                </c:pt>
              </c:numCache>
            </c:numRef>
          </c:val>
        </c:ser>
        <c:ser>
          <c:idx val="1"/>
          <c:order val="1"/>
          <c:tx>
            <c:strRef>
              <c:f>Sheet1!$A$3:$G$3</c:f>
              <c:strCache>
                <c:ptCount val="1"/>
                <c:pt idx="0">
                  <c:v>Обрабатывающие производства</c:v>
                </c:pt>
              </c:strCache>
            </c:strRef>
          </c:tx>
          <c:spPr>
            <a:solidFill>
              <a:srgbClr val="009900"/>
            </a:solidFill>
            <a:ln w="25400">
              <a:solidFill>
                <a:sysClr val="windowText" lastClr="000000"/>
              </a:solidFill>
            </a:ln>
            <a:scene3d>
              <a:camera prst="orthographicFront"/>
              <a:lightRig rig="threePt" dir="t"/>
            </a:scene3d>
            <a:sp3d>
              <a:bevelT/>
              <a:contourClr>
                <a:srgbClr val="000000"/>
              </a:contourClr>
            </a:sp3d>
          </c:spPr>
          <c:invertIfNegative val="0"/>
          <c:dLbls>
            <c:spPr>
              <a:solidFill>
                <a:sysClr val="window" lastClr="FFFFFF"/>
              </a:solidFill>
              <a:ln w="23127">
                <a:solidFill>
                  <a:srgbClr val="009900"/>
                </a:solidFill>
              </a:ln>
            </c:spPr>
            <c:txPr>
              <a:bodyPr/>
              <a:lstStyle/>
              <a:p>
                <a:pPr>
                  <a:defRPr sz="1093" b="1" i="0" u="none" strike="noStrike" baseline="0">
                    <a:solidFill>
                      <a:srgbClr val="000000"/>
                    </a:solidFill>
                    <a:latin typeface="Times New Roman" pitchFamily="18" charset="0"/>
                    <a:ea typeface="Times New Roman CYR"/>
                    <a:cs typeface="Times New Roman" pitchFamily="18" charset="0"/>
                  </a:defRPr>
                </a:pPr>
                <a:endParaRPr lang="ru-RU"/>
              </a:p>
            </c:txPr>
            <c:showLegendKey val="0"/>
            <c:showVal val="1"/>
            <c:showCatName val="0"/>
            <c:showSerName val="0"/>
            <c:showPercent val="0"/>
            <c:showBubbleSize val="0"/>
            <c:showLeaderLines val="0"/>
          </c:dLbls>
          <c:cat>
            <c:numRef>
              <c:f>Sheet1!$H$1:$L$1</c:f>
              <c:numCache>
                <c:formatCode>General</c:formatCode>
                <c:ptCount val="5"/>
                <c:pt idx="0">
                  <c:v>2011</c:v>
                </c:pt>
                <c:pt idx="1">
                  <c:v>2012</c:v>
                </c:pt>
                <c:pt idx="2">
                  <c:v>2013</c:v>
                </c:pt>
                <c:pt idx="3">
                  <c:v>2014</c:v>
                </c:pt>
                <c:pt idx="4">
                  <c:v>2015</c:v>
                </c:pt>
              </c:numCache>
            </c:numRef>
          </c:cat>
          <c:val>
            <c:numRef>
              <c:f>Sheet1!$H$3:$L$3</c:f>
              <c:numCache>
                <c:formatCode>0.0</c:formatCode>
                <c:ptCount val="5"/>
                <c:pt idx="0">
                  <c:v>21.5</c:v>
                </c:pt>
                <c:pt idx="1">
                  <c:v>21.5</c:v>
                </c:pt>
                <c:pt idx="2">
                  <c:v>22.1</c:v>
                </c:pt>
                <c:pt idx="3">
                  <c:v>22</c:v>
                </c:pt>
                <c:pt idx="4">
                  <c:v>26.9</c:v>
                </c:pt>
              </c:numCache>
            </c:numRef>
          </c:val>
        </c:ser>
        <c:ser>
          <c:idx val="3"/>
          <c:order val="2"/>
          <c:tx>
            <c:strRef>
              <c:f>Sheet1!$A$4:$G$4</c:f>
              <c:strCache>
                <c:ptCount val="1"/>
                <c:pt idx="0">
                  <c:v>Добыча полезных ископаемых</c:v>
                </c:pt>
              </c:strCache>
            </c:strRef>
          </c:tx>
          <c:spPr>
            <a:solidFill>
              <a:srgbClr val="C00000"/>
            </a:solidFill>
            <a:ln w="25400">
              <a:solidFill>
                <a:sysClr val="windowText" lastClr="000000"/>
              </a:solidFill>
            </a:ln>
            <a:scene3d>
              <a:camera prst="orthographicFront"/>
              <a:lightRig rig="threePt" dir="t"/>
            </a:scene3d>
            <a:sp3d>
              <a:bevelT w="165100" prst="coolSlant"/>
              <a:contourClr>
                <a:srgbClr val="000000"/>
              </a:contourClr>
            </a:sp3d>
          </c:spPr>
          <c:invertIfNegative val="0"/>
          <c:dLbls>
            <c:spPr>
              <a:solidFill>
                <a:schemeClr val="bg1"/>
              </a:solidFill>
              <a:ln w="23127">
                <a:solidFill>
                  <a:srgbClr val="C00000"/>
                </a:solidFill>
              </a:ln>
            </c:spPr>
            <c:txPr>
              <a:bodyPr/>
              <a:lstStyle/>
              <a:p>
                <a:pPr>
                  <a:defRPr sz="1093" b="1" i="0" u="none" strike="noStrike" baseline="0">
                    <a:solidFill>
                      <a:srgbClr val="000000"/>
                    </a:solidFill>
                    <a:latin typeface="Times New Roman" pitchFamily="18" charset="0"/>
                    <a:ea typeface="Times New Roman CYR"/>
                    <a:cs typeface="Times New Roman" pitchFamily="18" charset="0"/>
                  </a:defRPr>
                </a:pPr>
                <a:endParaRPr lang="ru-RU"/>
              </a:p>
            </c:txPr>
            <c:showLegendKey val="0"/>
            <c:showVal val="1"/>
            <c:showCatName val="0"/>
            <c:showSerName val="0"/>
            <c:showPercent val="0"/>
            <c:showBubbleSize val="0"/>
            <c:showLeaderLines val="0"/>
          </c:dLbls>
          <c:cat>
            <c:numRef>
              <c:f>Sheet1!$H$1:$L$1</c:f>
              <c:numCache>
                <c:formatCode>General</c:formatCode>
                <c:ptCount val="5"/>
                <c:pt idx="0">
                  <c:v>2011</c:v>
                </c:pt>
                <c:pt idx="1">
                  <c:v>2012</c:v>
                </c:pt>
                <c:pt idx="2">
                  <c:v>2013</c:v>
                </c:pt>
                <c:pt idx="3">
                  <c:v>2014</c:v>
                </c:pt>
                <c:pt idx="4">
                  <c:v>2015</c:v>
                </c:pt>
              </c:numCache>
            </c:numRef>
          </c:cat>
          <c:val>
            <c:numRef>
              <c:f>Sheet1!$H$4:$L$4</c:f>
              <c:numCache>
                <c:formatCode>0.0</c:formatCode>
                <c:ptCount val="5"/>
                <c:pt idx="0">
                  <c:v>51.7</c:v>
                </c:pt>
                <c:pt idx="1">
                  <c:v>52.2</c:v>
                </c:pt>
                <c:pt idx="2">
                  <c:v>50.1</c:v>
                </c:pt>
                <c:pt idx="3">
                  <c:v>50.9</c:v>
                </c:pt>
                <c:pt idx="4">
                  <c:v>48.7</c:v>
                </c:pt>
              </c:numCache>
            </c:numRef>
          </c:val>
        </c:ser>
        <c:dLbls>
          <c:showLegendKey val="0"/>
          <c:showVal val="1"/>
          <c:showCatName val="0"/>
          <c:showSerName val="0"/>
          <c:showPercent val="0"/>
          <c:showBubbleSize val="0"/>
        </c:dLbls>
        <c:gapWidth val="78"/>
        <c:gapDepth val="80"/>
        <c:shape val="box"/>
        <c:axId val="70670208"/>
        <c:axId val="70671744"/>
        <c:axId val="0"/>
      </c:bar3DChart>
      <c:catAx>
        <c:axId val="70670208"/>
        <c:scaling>
          <c:orientation val="minMax"/>
        </c:scaling>
        <c:delete val="0"/>
        <c:axPos val="l"/>
        <c:numFmt formatCode="General" sourceLinked="1"/>
        <c:majorTickMark val="out"/>
        <c:minorTickMark val="none"/>
        <c:tickLblPos val="nextTo"/>
        <c:spPr>
          <a:ln w="2891">
            <a:solidFill>
              <a:srgbClr val="000000"/>
            </a:solidFill>
            <a:prstDash val="solid"/>
          </a:ln>
        </c:spPr>
        <c:txPr>
          <a:bodyPr rot="0" vert="horz"/>
          <a:lstStyle/>
          <a:p>
            <a:pPr>
              <a:defRPr sz="910" b="1" i="0" u="none" strike="noStrike" baseline="0">
                <a:solidFill>
                  <a:srgbClr val="000000"/>
                </a:solidFill>
                <a:latin typeface="Times New Roman" pitchFamily="18" charset="0"/>
                <a:ea typeface="Times New Roman CYR"/>
                <a:cs typeface="Times New Roman" pitchFamily="18" charset="0"/>
              </a:defRPr>
            </a:pPr>
            <a:endParaRPr lang="ru-RU"/>
          </a:p>
        </c:txPr>
        <c:crossAx val="70671744"/>
        <c:crosses val="autoZero"/>
        <c:auto val="1"/>
        <c:lblAlgn val="ctr"/>
        <c:lblOffset val="100"/>
        <c:tickLblSkip val="1"/>
        <c:tickMarkSkip val="1"/>
        <c:noMultiLvlLbl val="0"/>
      </c:catAx>
      <c:valAx>
        <c:axId val="70671744"/>
        <c:scaling>
          <c:orientation val="minMax"/>
          <c:max val="1"/>
        </c:scaling>
        <c:delete val="0"/>
        <c:axPos val="b"/>
        <c:numFmt formatCode="0%" sourceLinked="1"/>
        <c:majorTickMark val="out"/>
        <c:minorTickMark val="none"/>
        <c:tickLblPos val="nextTo"/>
        <c:spPr>
          <a:ln w="2891">
            <a:solidFill>
              <a:srgbClr val="000000"/>
            </a:solidFill>
            <a:prstDash val="solid"/>
          </a:ln>
        </c:spPr>
        <c:txPr>
          <a:bodyPr rot="0" vert="horz"/>
          <a:lstStyle/>
          <a:p>
            <a:pPr>
              <a:defRPr sz="910" b="1" i="0" u="none" strike="noStrike" baseline="0">
                <a:solidFill>
                  <a:srgbClr val="000000"/>
                </a:solidFill>
                <a:latin typeface="Times New Roman" pitchFamily="18" charset="0"/>
                <a:ea typeface="Times New Roman CYR"/>
                <a:cs typeface="Times New Roman" pitchFamily="18" charset="0"/>
              </a:defRPr>
            </a:pPr>
            <a:endParaRPr lang="ru-RU"/>
          </a:p>
        </c:txPr>
        <c:crossAx val="70670208"/>
        <c:crosses val="autoZero"/>
        <c:crossBetween val="between"/>
        <c:majorUnit val="0.2"/>
        <c:minorUnit val="0.1"/>
      </c:valAx>
      <c:spPr>
        <a:noFill/>
        <a:ln w="25400">
          <a:noFill/>
        </a:ln>
      </c:spPr>
    </c:plotArea>
    <c:legend>
      <c:legendPos val="b"/>
      <c:layout>
        <c:manualLayout>
          <c:xMode val="edge"/>
          <c:yMode val="edge"/>
          <c:x val="1.5248687664041992E-2"/>
          <c:y val="0.82463775932118077"/>
          <c:w val="0.57282709973753276"/>
          <c:h val="0.13904341957255342"/>
        </c:manualLayout>
      </c:layout>
      <c:overlay val="0"/>
      <c:spPr>
        <a:noFill/>
        <a:ln w="23127">
          <a:noFill/>
        </a:ln>
      </c:spPr>
      <c:txPr>
        <a:bodyPr/>
        <a:lstStyle/>
        <a:p>
          <a:pPr>
            <a:defRPr sz="910" b="1" i="0" u="none" strike="noStrike" baseline="0">
              <a:solidFill>
                <a:srgbClr val="000000"/>
              </a:solidFill>
              <a:latin typeface="Times New Roman" pitchFamily="18" charset="0"/>
              <a:ea typeface="Times New Roman CYR"/>
              <a:cs typeface="Times New Roman" pitchFamily="18" charset="0"/>
            </a:defRPr>
          </a:pPr>
          <a:endParaRPr lang="ru-RU"/>
        </a:p>
      </c:txPr>
    </c:legend>
    <c:plotVisOnly val="1"/>
    <c:dispBlanksAs val="gap"/>
    <c:showDLblsOverMax val="0"/>
  </c:chart>
  <c:spPr>
    <a:noFill/>
    <a:ln>
      <a:noFill/>
    </a:ln>
  </c:spPr>
  <c:txPr>
    <a:bodyPr/>
    <a:lstStyle/>
    <a:p>
      <a:pPr>
        <a:defRPr sz="1070" b="1" i="0" u="none" strike="noStrike" baseline="0">
          <a:solidFill>
            <a:srgbClr val="000000"/>
          </a:solidFill>
          <a:latin typeface="Times New Roman CYR"/>
          <a:ea typeface="Times New Roman CYR"/>
          <a:cs typeface="Times New Roman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806328330684396E-2"/>
          <c:y val="6.2117913931118714E-2"/>
          <c:w val="0.8775450218183436"/>
          <c:h val="0.63433768331406126"/>
        </c:manualLayout>
      </c:layout>
      <c:areaChart>
        <c:grouping val="standard"/>
        <c:varyColors val="0"/>
        <c:ser>
          <c:idx val="0"/>
          <c:order val="0"/>
          <c:tx>
            <c:strRef>
              <c:f>Лист1!$B$1</c:f>
              <c:strCache>
                <c:ptCount val="1"/>
                <c:pt idx="0">
                  <c:v>Промышленное производство, всего</c:v>
                </c:pt>
              </c:strCache>
            </c:strRef>
          </c:tx>
          <c:spPr>
            <a:gradFill flip="none" rotWithShape="1">
              <a:gsLst>
                <a:gs pos="0">
                  <a:srgbClr val="5E9EFF"/>
                </a:gs>
                <a:gs pos="39999">
                  <a:srgbClr val="85C2FF"/>
                </a:gs>
                <a:gs pos="70000">
                  <a:srgbClr val="C4D6EB"/>
                </a:gs>
                <a:gs pos="100000">
                  <a:srgbClr val="FFEBFA"/>
                </a:gs>
              </a:gsLst>
              <a:lin ang="18900000" scaled="1"/>
              <a:tileRect/>
            </a:gradFill>
            <a:ln w="15875">
              <a:solidFill>
                <a:schemeClr val="tx2">
                  <a:lumMod val="60000"/>
                  <a:lumOff val="40000"/>
                </a:schemeClr>
              </a:solidFill>
            </a:ln>
          </c:spPr>
          <c:dLbls>
            <c:dLbl>
              <c:idx val="0"/>
              <c:layout>
                <c:manualLayout>
                  <c:x val="1.2326656394453005E-2"/>
                  <c:y val="-0.29781326285263293"/>
                </c:manualLayout>
              </c:layout>
              <c:showLegendKey val="0"/>
              <c:showVal val="1"/>
              <c:showCatName val="0"/>
              <c:showSerName val="0"/>
              <c:showPercent val="0"/>
              <c:showBubbleSize val="0"/>
            </c:dLbl>
            <c:dLbl>
              <c:idx val="1"/>
              <c:layout>
                <c:manualLayout>
                  <c:x val="8.2177709296353367E-3"/>
                  <c:y val="-0.28332764348512379"/>
                </c:manualLayout>
              </c:layout>
              <c:showLegendKey val="0"/>
              <c:showVal val="1"/>
              <c:showCatName val="0"/>
              <c:showSerName val="0"/>
              <c:showPercent val="0"/>
              <c:showBubbleSize val="0"/>
            </c:dLbl>
            <c:dLbl>
              <c:idx val="2"/>
              <c:layout>
                <c:manualLayout>
                  <c:x val="0"/>
                  <c:y val="-0.27400363416111445"/>
                </c:manualLayout>
              </c:layout>
              <c:showLegendKey val="0"/>
              <c:showVal val="1"/>
              <c:showCatName val="0"/>
              <c:showSerName val="0"/>
              <c:showPercent val="0"/>
              <c:showBubbleSize val="0"/>
            </c:dLbl>
            <c:dLbl>
              <c:idx val="3"/>
              <c:layout>
                <c:manualLayout>
                  <c:x val="2.0544427324088342E-3"/>
                  <c:y val="-0.26140520896426406"/>
                </c:manualLayout>
              </c:layout>
              <c:showLegendKey val="0"/>
              <c:showVal val="1"/>
              <c:showCatName val="0"/>
              <c:showSerName val="0"/>
              <c:showPercent val="0"/>
              <c:showBubbleSize val="0"/>
            </c:dLbl>
            <c:dLbl>
              <c:idx val="4"/>
              <c:layout>
                <c:manualLayout>
                  <c:x val="-2.0544427324088342E-3"/>
                  <c:y val="-0.23035332121946295"/>
                </c:manualLayout>
              </c:layout>
              <c:showLegendKey val="0"/>
              <c:showVal val="1"/>
              <c:showCatName val="0"/>
              <c:showSerName val="0"/>
              <c:showPercent val="0"/>
              <c:showBubbleSize val="0"/>
            </c:dLbl>
            <c:numFmt formatCode="#,##0.0_р_." sourceLinked="0"/>
            <c:txPr>
              <a:bodyPr/>
              <a:lstStyle/>
              <a:p>
                <a:pPr>
                  <a:defRPr sz="1000" b="1"/>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120</c:v>
                </c:pt>
                <c:pt idx="1">
                  <c:v>108.6</c:v>
                </c:pt>
                <c:pt idx="2">
                  <c:v>106.9</c:v>
                </c:pt>
                <c:pt idx="3">
                  <c:v>98.3</c:v>
                </c:pt>
                <c:pt idx="4">
                  <c:v>91</c:v>
                </c:pt>
              </c:numCache>
            </c:numRef>
          </c:val>
        </c:ser>
        <c:dLbls>
          <c:showLegendKey val="0"/>
          <c:showVal val="1"/>
          <c:showCatName val="0"/>
          <c:showSerName val="0"/>
          <c:showPercent val="0"/>
          <c:showBubbleSize val="0"/>
        </c:dLbls>
        <c:axId val="72324608"/>
        <c:axId val="72314240"/>
      </c:areaChart>
      <c:barChart>
        <c:barDir val="col"/>
        <c:grouping val="clustered"/>
        <c:varyColors val="0"/>
        <c:ser>
          <c:idx val="1"/>
          <c:order val="1"/>
          <c:tx>
            <c:strRef>
              <c:f>Лист1!$C$1</c:f>
              <c:strCache>
                <c:ptCount val="1"/>
                <c:pt idx="0">
                  <c:v>Добыча полезных ископаемых</c:v>
                </c:pt>
              </c:strCache>
            </c:strRef>
          </c:tx>
          <c:spPr>
            <a:solidFill>
              <a:srgbClr val="C00000"/>
            </a:solidFill>
            <a:ln w="15875">
              <a:solidFill>
                <a:sysClr val="windowText" lastClr="000000"/>
              </a:solidFill>
            </a:ln>
          </c:spPr>
          <c:invertIfNegative val="0"/>
          <c:dLbls>
            <c:dLbl>
              <c:idx val="1"/>
              <c:layout>
                <c:manualLayout>
                  <c:x val="-6.1633281972265025E-3"/>
                  <c:y val="0"/>
                </c:manualLayout>
              </c:layout>
              <c:showLegendKey val="0"/>
              <c:showVal val="1"/>
              <c:showCatName val="0"/>
              <c:showSerName val="0"/>
              <c:showPercent val="0"/>
              <c:showBubbleSize val="0"/>
            </c:dLbl>
            <c:dLbl>
              <c:idx val="2"/>
              <c:layout>
                <c:manualLayout>
                  <c:x val="-1.027221366204417E-2"/>
                  <c:y val="1.1080332409972299E-2"/>
                </c:manualLayout>
              </c:layout>
              <c:showLegendKey val="0"/>
              <c:showVal val="1"/>
              <c:showCatName val="0"/>
              <c:showSerName val="0"/>
              <c:showPercent val="0"/>
              <c:showBubbleSize val="0"/>
            </c:dLbl>
            <c:dLbl>
              <c:idx val="3"/>
              <c:layout>
                <c:manualLayout>
                  <c:x val="-6.1633281972265025E-3"/>
                  <c:y val="7.3868882733148658E-3"/>
                </c:manualLayout>
              </c:layout>
              <c:showLegendKey val="0"/>
              <c:showVal val="1"/>
              <c:showCatName val="0"/>
              <c:showSerName val="0"/>
              <c:showPercent val="0"/>
              <c:showBubbleSize val="0"/>
            </c:dLbl>
            <c:dLbl>
              <c:idx val="4"/>
              <c:layout>
                <c:manualLayout>
                  <c:x val="-4.1088854648176684E-3"/>
                  <c:y val="7.3868882733147982E-3"/>
                </c:manualLayout>
              </c:layout>
              <c:showLegendKey val="0"/>
              <c:showVal val="1"/>
              <c:showCatName val="0"/>
              <c:showSerName val="0"/>
              <c:showPercent val="0"/>
              <c:showBubbleSize val="0"/>
            </c:dLbl>
            <c:txPr>
              <a:bodyPr/>
              <a:lstStyle/>
              <a:p>
                <a:pPr>
                  <a:defRPr sz="1000" b="1"/>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142.19999999999999</c:v>
                </c:pt>
                <c:pt idx="1">
                  <c:v>102.4</c:v>
                </c:pt>
                <c:pt idx="2">
                  <c:v>106.2</c:v>
                </c:pt>
                <c:pt idx="3">
                  <c:v>95.1</c:v>
                </c:pt>
                <c:pt idx="4">
                  <c:v>87.2</c:v>
                </c:pt>
              </c:numCache>
            </c:numRef>
          </c:val>
        </c:ser>
        <c:ser>
          <c:idx val="2"/>
          <c:order val="2"/>
          <c:tx>
            <c:strRef>
              <c:f>Лист1!$D$1</c:f>
              <c:strCache>
                <c:ptCount val="1"/>
                <c:pt idx="0">
                  <c:v>Обрабатывающие производства</c:v>
                </c:pt>
              </c:strCache>
            </c:strRef>
          </c:tx>
          <c:spPr>
            <a:gradFill>
              <a:gsLst>
                <a:gs pos="0">
                  <a:srgbClr val="FFF200"/>
                </a:gs>
                <a:gs pos="45000">
                  <a:srgbClr val="FF7A00"/>
                </a:gs>
                <a:gs pos="70000">
                  <a:srgbClr val="FF0300"/>
                </a:gs>
                <a:gs pos="100000">
                  <a:srgbClr val="4D0808"/>
                </a:gs>
              </a:gsLst>
              <a:lin ang="1800000" scaled="0"/>
            </a:gradFill>
            <a:ln w="15875">
              <a:solidFill>
                <a:sysClr val="windowText" lastClr="000000"/>
              </a:solidFill>
            </a:ln>
          </c:spPr>
          <c:invertIfNegative val="0"/>
          <c:dLbls>
            <c:dLbl>
              <c:idx val="0"/>
              <c:layout>
                <c:manualLayout>
                  <c:x val="1.027221366204417E-2"/>
                  <c:y val="0"/>
                </c:manualLayout>
              </c:layout>
              <c:showLegendKey val="0"/>
              <c:showVal val="1"/>
              <c:showCatName val="0"/>
              <c:showSerName val="0"/>
              <c:showPercent val="0"/>
              <c:showBubbleSize val="0"/>
            </c:dLbl>
            <c:dLbl>
              <c:idx val="4"/>
              <c:layout>
                <c:manualLayout>
                  <c:x val="2.6707755521314842E-2"/>
                  <c:y val="4.662004662004662E-3"/>
                </c:manualLayout>
              </c:layout>
              <c:showLegendKey val="0"/>
              <c:showVal val="1"/>
              <c:showCatName val="0"/>
              <c:showSerName val="0"/>
              <c:showPercent val="0"/>
              <c:showBubbleSize val="0"/>
            </c:dLbl>
            <c:txPr>
              <a:bodyPr/>
              <a:lstStyle/>
              <a:p>
                <a:pPr>
                  <a:defRPr sz="1000" b="1"/>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Лист1!$D$2:$D$6</c:f>
              <c:numCache>
                <c:formatCode>General</c:formatCode>
                <c:ptCount val="5"/>
                <c:pt idx="0">
                  <c:v>104.7</c:v>
                </c:pt>
                <c:pt idx="1">
                  <c:v>124.3</c:v>
                </c:pt>
                <c:pt idx="2">
                  <c:v>107.9</c:v>
                </c:pt>
                <c:pt idx="3">
                  <c:v>106.2</c:v>
                </c:pt>
                <c:pt idx="4">
                  <c:v>102.2</c:v>
                </c:pt>
              </c:numCache>
            </c:numRef>
          </c:val>
        </c:ser>
        <c:ser>
          <c:idx val="3"/>
          <c:order val="3"/>
          <c:tx>
            <c:strRef>
              <c:f>Лист1!$E$1</c:f>
              <c:strCache>
                <c:ptCount val="1"/>
                <c:pt idx="0">
                  <c:v>Производство и распределение                                                                                                                                                                                         электроэнергии, газа и воды</c:v>
                </c:pt>
              </c:strCache>
            </c:strRef>
          </c:tx>
          <c:spPr>
            <a:solidFill>
              <a:srgbClr val="7030A0"/>
            </a:solidFill>
            <a:ln w="15875">
              <a:solidFill>
                <a:sysClr val="windowText" lastClr="000000"/>
              </a:solidFill>
            </a:ln>
          </c:spPr>
          <c:invertIfNegative val="0"/>
          <c:dLbls>
            <c:dLbl>
              <c:idx val="0"/>
              <c:layout>
                <c:manualLayout>
                  <c:x val="6.1633281972265207E-3"/>
                  <c:y val="3.6934441366575006E-3"/>
                </c:manualLayout>
              </c:layout>
              <c:showLegendKey val="0"/>
              <c:showVal val="1"/>
              <c:showCatName val="0"/>
              <c:showSerName val="0"/>
              <c:showPercent val="0"/>
              <c:showBubbleSize val="0"/>
            </c:dLbl>
            <c:dLbl>
              <c:idx val="1"/>
              <c:layout>
                <c:manualLayout>
                  <c:x val="1.027221366204417E-2"/>
                  <c:y val="1.1080332409972299E-2"/>
                </c:manualLayout>
              </c:layout>
              <c:showLegendKey val="0"/>
              <c:showVal val="1"/>
              <c:showCatName val="0"/>
              <c:showSerName val="0"/>
              <c:showPercent val="0"/>
              <c:showBubbleSize val="0"/>
            </c:dLbl>
            <c:dLbl>
              <c:idx val="2"/>
              <c:layout>
                <c:manualLayout>
                  <c:x val="1.027221366204417E-2"/>
                  <c:y val="-1.4773776546629732E-2"/>
                </c:manualLayout>
              </c:layout>
              <c:showLegendKey val="0"/>
              <c:showVal val="1"/>
              <c:showCatName val="0"/>
              <c:showSerName val="0"/>
              <c:showPercent val="0"/>
              <c:showBubbleSize val="0"/>
            </c:dLbl>
            <c:dLbl>
              <c:idx val="3"/>
              <c:layout>
                <c:manualLayout>
                  <c:x val="8.2177709296353367E-3"/>
                  <c:y val="7.3868882733148658E-3"/>
                </c:manualLayout>
              </c:layout>
              <c:showLegendKey val="0"/>
              <c:showVal val="1"/>
              <c:showCatName val="0"/>
              <c:showSerName val="0"/>
              <c:showPercent val="0"/>
              <c:showBubbleSize val="0"/>
            </c:dLbl>
            <c:dLbl>
              <c:idx val="4"/>
              <c:layout>
                <c:manualLayout>
                  <c:x val="4.1088854648176684E-3"/>
                  <c:y val="7.3868882733149335E-3"/>
                </c:manualLayout>
              </c:layout>
              <c:showLegendKey val="0"/>
              <c:showVal val="1"/>
              <c:showCatName val="0"/>
              <c:showSerName val="0"/>
              <c:showPercent val="0"/>
              <c:showBubbleSize val="0"/>
            </c:dLbl>
            <c:numFmt formatCode="#,##0.0_р_." sourceLinked="0"/>
            <c:txPr>
              <a:bodyPr/>
              <a:lstStyle/>
              <a:p>
                <a:pPr>
                  <a:defRPr sz="1000" b="1"/>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Лист1!$E$2:$E$6</c:f>
              <c:numCache>
                <c:formatCode>General</c:formatCode>
                <c:ptCount val="5"/>
                <c:pt idx="0">
                  <c:v>90.1</c:v>
                </c:pt>
                <c:pt idx="1">
                  <c:v>114.9</c:v>
                </c:pt>
                <c:pt idx="2">
                  <c:v>108</c:v>
                </c:pt>
                <c:pt idx="3">
                  <c:v>101</c:v>
                </c:pt>
                <c:pt idx="4">
                  <c:v>90.6</c:v>
                </c:pt>
              </c:numCache>
            </c:numRef>
          </c:val>
        </c:ser>
        <c:dLbls>
          <c:showLegendKey val="0"/>
          <c:showVal val="1"/>
          <c:showCatName val="0"/>
          <c:showSerName val="0"/>
          <c:showPercent val="0"/>
          <c:showBubbleSize val="0"/>
        </c:dLbls>
        <c:gapWidth val="150"/>
        <c:axId val="72310784"/>
        <c:axId val="72312320"/>
      </c:barChart>
      <c:catAx>
        <c:axId val="72310784"/>
        <c:scaling>
          <c:orientation val="minMax"/>
        </c:scaling>
        <c:delete val="0"/>
        <c:axPos val="b"/>
        <c:numFmt formatCode="General" sourceLinked="1"/>
        <c:majorTickMark val="out"/>
        <c:minorTickMark val="none"/>
        <c:tickLblPos val="nextTo"/>
        <c:txPr>
          <a:bodyPr/>
          <a:lstStyle/>
          <a:p>
            <a:pPr>
              <a:defRPr b="1"/>
            </a:pPr>
            <a:endParaRPr lang="ru-RU"/>
          </a:p>
        </c:txPr>
        <c:crossAx val="72312320"/>
        <c:crosses val="autoZero"/>
        <c:auto val="1"/>
        <c:lblAlgn val="ctr"/>
        <c:lblOffset val="100"/>
        <c:noMultiLvlLbl val="0"/>
      </c:catAx>
      <c:valAx>
        <c:axId val="72312320"/>
        <c:scaling>
          <c:orientation val="minMax"/>
          <c:max val="160"/>
          <c:min val="80"/>
        </c:scaling>
        <c:delete val="0"/>
        <c:axPos val="l"/>
        <c:majorGridlines/>
        <c:title>
          <c:tx>
            <c:rich>
              <a:bodyPr rot="0" vert="horz"/>
              <a:lstStyle/>
              <a:p>
                <a:pPr>
                  <a:defRPr/>
                </a:pPr>
                <a:r>
                  <a:rPr lang="ru-RU"/>
                  <a:t>процентов</a:t>
                </a:r>
              </a:p>
            </c:rich>
          </c:tx>
          <c:layout>
            <c:manualLayout>
              <c:xMode val="edge"/>
              <c:yMode val="edge"/>
              <c:x val="5.7524396507447353E-2"/>
              <c:y val="3.683556175976618E-3"/>
            </c:manualLayout>
          </c:layout>
          <c:overlay val="0"/>
        </c:title>
        <c:numFmt formatCode="General" sourceLinked="1"/>
        <c:majorTickMark val="out"/>
        <c:minorTickMark val="none"/>
        <c:tickLblPos val="nextTo"/>
        <c:txPr>
          <a:bodyPr/>
          <a:lstStyle/>
          <a:p>
            <a:pPr>
              <a:defRPr b="1"/>
            </a:pPr>
            <a:endParaRPr lang="ru-RU"/>
          </a:p>
        </c:txPr>
        <c:crossAx val="72310784"/>
        <c:crosses val="autoZero"/>
        <c:crossBetween val="between"/>
        <c:majorUnit val="20"/>
      </c:valAx>
      <c:valAx>
        <c:axId val="72314240"/>
        <c:scaling>
          <c:orientation val="minMax"/>
        </c:scaling>
        <c:delete val="0"/>
        <c:axPos val="r"/>
        <c:title>
          <c:tx>
            <c:rich>
              <a:bodyPr rot="0" vert="horz"/>
              <a:lstStyle/>
              <a:p>
                <a:pPr>
                  <a:defRPr/>
                </a:pPr>
                <a:r>
                  <a:rPr lang="ru-RU"/>
                  <a:t>процентов</a:t>
                </a:r>
              </a:p>
            </c:rich>
          </c:tx>
          <c:layout>
            <c:manualLayout>
              <c:xMode val="edge"/>
              <c:yMode val="edge"/>
              <c:x val="0.84470467385721626"/>
              <c:y val="3.0268792578213044E-3"/>
            </c:manualLayout>
          </c:layout>
          <c:overlay val="0"/>
        </c:title>
        <c:numFmt formatCode="General" sourceLinked="1"/>
        <c:majorTickMark val="out"/>
        <c:minorTickMark val="none"/>
        <c:tickLblPos val="nextTo"/>
        <c:txPr>
          <a:bodyPr/>
          <a:lstStyle/>
          <a:p>
            <a:pPr>
              <a:defRPr b="1"/>
            </a:pPr>
            <a:endParaRPr lang="ru-RU"/>
          </a:p>
        </c:txPr>
        <c:crossAx val="72324608"/>
        <c:crosses val="max"/>
        <c:crossBetween val="between"/>
      </c:valAx>
      <c:catAx>
        <c:axId val="72324608"/>
        <c:scaling>
          <c:orientation val="minMax"/>
        </c:scaling>
        <c:delete val="1"/>
        <c:axPos val="b"/>
        <c:numFmt formatCode="General" sourceLinked="1"/>
        <c:majorTickMark val="out"/>
        <c:minorTickMark val="none"/>
        <c:tickLblPos val="nextTo"/>
        <c:crossAx val="72314240"/>
        <c:crosses val="autoZero"/>
        <c:auto val="1"/>
        <c:lblAlgn val="ctr"/>
        <c:lblOffset val="100"/>
        <c:noMultiLvlLbl val="0"/>
      </c:catAx>
    </c:plotArea>
    <c:legend>
      <c:legendPos val="b"/>
      <c:layout>
        <c:manualLayout>
          <c:xMode val="edge"/>
          <c:yMode val="edge"/>
          <c:x val="6.66642401595024E-4"/>
          <c:y val="0.77449663197694696"/>
          <c:w val="0.99933335759840503"/>
          <c:h val="0.22295854432337373"/>
        </c:manualLayout>
      </c:layout>
      <c:overlay val="0"/>
      <c:txPr>
        <a:bodyPr/>
        <a:lstStyle/>
        <a:p>
          <a:pPr>
            <a:defRPr sz="1100" b="1"/>
          </a:pPr>
          <a:endParaRPr lang="ru-RU"/>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1116952900572471E-2"/>
          <c:y val="0"/>
          <c:w val="0.94907407407408173"/>
          <c:h val="0.73722303723441418"/>
        </c:manualLayout>
      </c:layout>
      <c:barChart>
        <c:barDir val="col"/>
        <c:grouping val="clustered"/>
        <c:varyColors val="0"/>
        <c:ser>
          <c:idx val="0"/>
          <c:order val="0"/>
          <c:tx>
            <c:strRef>
              <c:f>Лист1!$B$1</c:f>
              <c:strCache>
                <c:ptCount val="1"/>
                <c:pt idx="0">
                  <c:v>Зерновые культуры (в весе после доработки)</c:v>
                </c:pt>
              </c:strCache>
            </c:strRef>
          </c:tx>
          <c:spPr>
            <a:solidFill>
              <a:srgbClr val="FFFF00"/>
            </a:solidFill>
            <a:ln w="12700">
              <a:solidFill>
                <a:schemeClr val="tx1"/>
              </a:solidFill>
            </a:ln>
            <a:effectLst>
              <a:innerShdw blurRad="152400" dir="16200000">
                <a:sysClr val="window" lastClr="FFFFFF">
                  <a:alpha val="50000"/>
                </a:sysClr>
              </a:innerShdw>
            </a:effectLst>
            <a:scene3d>
              <a:camera prst="orthographicFront"/>
              <a:lightRig rig="freezing" dir="t"/>
            </a:scene3d>
            <a:sp3d prstMaterial="dkEdge">
              <a:bevelT prst="angle"/>
            </a:sp3d>
          </c:spPr>
          <c:invertIfNegative val="0"/>
          <c:dLbls>
            <c:showLegendKey val="0"/>
            <c:showVal val="1"/>
            <c:showCatName val="0"/>
            <c:showSerName val="0"/>
            <c:showPercent val="0"/>
            <c:showBubbleSize val="0"/>
            <c:showLeaderLines val="0"/>
          </c:dLbls>
          <c:cat>
            <c:strRef>
              <c:f>Лист1!$A$2:$A$3</c:f>
              <c:strCache>
                <c:ptCount val="2"/>
                <c:pt idx="0">
                  <c:v>2014 год</c:v>
                </c:pt>
                <c:pt idx="1">
                  <c:v>2015 год</c:v>
                </c:pt>
              </c:strCache>
            </c:strRef>
          </c:cat>
          <c:val>
            <c:numRef>
              <c:f>Лист1!$B$2:$B$3</c:f>
              <c:numCache>
                <c:formatCode>General</c:formatCode>
                <c:ptCount val="2"/>
                <c:pt idx="0">
                  <c:v>417.7</c:v>
                </c:pt>
                <c:pt idx="1">
                  <c:v>351</c:v>
                </c:pt>
              </c:numCache>
            </c:numRef>
          </c:val>
        </c:ser>
        <c:ser>
          <c:idx val="1"/>
          <c:order val="1"/>
          <c:tx>
            <c:strRef>
              <c:f>Лист1!$C$1</c:f>
              <c:strCache>
                <c:ptCount val="1"/>
                <c:pt idx="0">
                  <c:v>Соя (в весе после доработки)</c:v>
                </c:pt>
              </c:strCache>
            </c:strRef>
          </c:tx>
          <c:spPr>
            <a:solidFill>
              <a:srgbClr val="FFC000"/>
            </a:solidFill>
            <a:ln>
              <a:solidFill>
                <a:srgbClr val="1F497D"/>
              </a:solidFill>
            </a:ln>
            <a:effectLst>
              <a:outerShdw blurRad="50800" dist="38100" algn="l" rotWithShape="0">
                <a:prstClr val="black">
                  <a:alpha val="40000"/>
                </a:prstClr>
              </a:outerShdw>
            </a:effectLst>
            <a:scene3d>
              <a:camera prst="orthographicFront"/>
              <a:lightRig rig="chilly" dir="t"/>
            </a:scene3d>
            <a:sp3d prstMaterial="dkEdge">
              <a:bevelT prst="angle"/>
            </a:sp3d>
          </c:spPr>
          <c:invertIfNegative val="0"/>
          <c:dLbls>
            <c:showLegendKey val="0"/>
            <c:showVal val="1"/>
            <c:showCatName val="0"/>
            <c:showSerName val="0"/>
            <c:showPercent val="0"/>
            <c:showBubbleSize val="0"/>
            <c:showLeaderLines val="0"/>
          </c:dLbls>
          <c:cat>
            <c:strRef>
              <c:f>Лист1!$A$2:$A$3</c:f>
              <c:strCache>
                <c:ptCount val="2"/>
                <c:pt idx="0">
                  <c:v>2014 год</c:v>
                </c:pt>
                <c:pt idx="1">
                  <c:v>2015 год</c:v>
                </c:pt>
              </c:strCache>
            </c:strRef>
          </c:cat>
          <c:val>
            <c:numRef>
              <c:f>Лист1!$C$2:$C$3</c:f>
              <c:numCache>
                <c:formatCode>General</c:formatCode>
                <c:ptCount val="2"/>
                <c:pt idx="0">
                  <c:v>996.9</c:v>
                </c:pt>
                <c:pt idx="1">
                  <c:v>1002</c:v>
                </c:pt>
              </c:numCache>
            </c:numRef>
          </c:val>
        </c:ser>
        <c:ser>
          <c:idx val="2"/>
          <c:order val="2"/>
          <c:tx>
            <c:strRef>
              <c:f>Лист1!$D$1</c:f>
              <c:strCache>
                <c:ptCount val="1"/>
                <c:pt idx="0">
                  <c:v>Картофель</c:v>
                </c:pt>
              </c:strCache>
            </c:strRef>
          </c:tx>
          <c:spPr>
            <a:solidFill>
              <a:srgbClr val="996633"/>
            </a:solidFill>
            <a:ln>
              <a:solidFill>
                <a:srgbClr val="1F497D"/>
              </a:solidFill>
            </a:ln>
            <a:effectLst>
              <a:outerShdw blurRad="50800" dist="38100" algn="l" rotWithShape="0">
                <a:prstClr val="black">
                  <a:alpha val="40000"/>
                </a:prstClr>
              </a:outerShdw>
            </a:effectLst>
            <a:scene3d>
              <a:camera prst="orthographicFront"/>
              <a:lightRig rig="chilly" dir="t"/>
            </a:scene3d>
            <a:sp3d prstMaterial="dkEdge">
              <a:bevelT prst="angle"/>
            </a:sp3d>
          </c:spPr>
          <c:invertIfNegative val="0"/>
          <c:dLbls>
            <c:showLegendKey val="0"/>
            <c:showVal val="1"/>
            <c:showCatName val="0"/>
            <c:showSerName val="0"/>
            <c:showPercent val="0"/>
            <c:showBubbleSize val="0"/>
            <c:showLeaderLines val="0"/>
          </c:dLbls>
          <c:cat>
            <c:strRef>
              <c:f>Лист1!$A$2:$A$3</c:f>
              <c:strCache>
                <c:ptCount val="2"/>
                <c:pt idx="0">
                  <c:v>2014 год</c:v>
                </c:pt>
                <c:pt idx="1">
                  <c:v>2015 год</c:v>
                </c:pt>
              </c:strCache>
            </c:strRef>
          </c:cat>
          <c:val>
            <c:numRef>
              <c:f>Лист1!$D$2:$D$3</c:f>
              <c:numCache>
                <c:formatCode>General</c:formatCode>
                <c:ptCount val="2"/>
                <c:pt idx="0">
                  <c:v>298.10000000000002</c:v>
                </c:pt>
                <c:pt idx="1">
                  <c:v>286.60000000000002</c:v>
                </c:pt>
              </c:numCache>
            </c:numRef>
          </c:val>
        </c:ser>
        <c:ser>
          <c:idx val="3"/>
          <c:order val="3"/>
          <c:tx>
            <c:strRef>
              <c:f>Лист1!$E$1</c:f>
              <c:strCache>
                <c:ptCount val="1"/>
                <c:pt idx="0">
                  <c:v>Овощи</c:v>
                </c:pt>
              </c:strCache>
            </c:strRef>
          </c:tx>
          <c:spPr>
            <a:solidFill>
              <a:srgbClr val="00B050"/>
            </a:solidFill>
            <a:ln>
              <a:solidFill>
                <a:srgbClr val="1F497D"/>
              </a:solidFill>
            </a:ln>
            <a:effectLst>
              <a:outerShdw blurRad="50800" dist="38100" algn="l" rotWithShape="0">
                <a:prstClr val="black">
                  <a:alpha val="40000"/>
                </a:prstClr>
              </a:outerShdw>
            </a:effectLst>
            <a:scene3d>
              <a:camera prst="orthographicFront"/>
              <a:lightRig rig="chilly" dir="t"/>
            </a:scene3d>
            <a:sp3d prstMaterial="dkEdge">
              <a:bevelT prst="angle"/>
            </a:sp3d>
          </c:spPr>
          <c:invertIfNegative val="0"/>
          <c:dLbls>
            <c:showLegendKey val="0"/>
            <c:showVal val="1"/>
            <c:showCatName val="0"/>
            <c:showSerName val="0"/>
            <c:showPercent val="0"/>
            <c:showBubbleSize val="0"/>
            <c:showLeaderLines val="0"/>
          </c:dLbls>
          <c:cat>
            <c:strRef>
              <c:f>Лист1!$A$2:$A$3</c:f>
              <c:strCache>
                <c:ptCount val="2"/>
                <c:pt idx="0">
                  <c:v>2014 год</c:v>
                </c:pt>
                <c:pt idx="1">
                  <c:v>2015 год</c:v>
                </c:pt>
              </c:strCache>
            </c:strRef>
          </c:cat>
          <c:val>
            <c:numRef>
              <c:f>Лист1!$E$2:$E$3</c:f>
              <c:numCache>
                <c:formatCode>General</c:formatCode>
                <c:ptCount val="2"/>
                <c:pt idx="0">
                  <c:v>67.8</c:v>
                </c:pt>
                <c:pt idx="1">
                  <c:v>69.7</c:v>
                </c:pt>
              </c:numCache>
            </c:numRef>
          </c:val>
        </c:ser>
        <c:dLbls>
          <c:showLegendKey val="0"/>
          <c:showVal val="0"/>
          <c:showCatName val="0"/>
          <c:showSerName val="0"/>
          <c:showPercent val="0"/>
          <c:showBubbleSize val="0"/>
        </c:dLbls>
        <c:gapWidth val="150"/>
        <c:axId val="106125184"/>
        <c:axId val="106126720"/>
      </c:barChart>
      <c:catAx>
        <c:axId val="106125184"/>
        <c:scaling>
          <c:orientation val="minMax"/>
        </c:scaling>
        <c:delete val="0"/>
        <c:axPos val="b"/>
        <c:numFmt formatCode="General" sourceLinked="1"/>
        <c:majorTickMark val="out"/>
        <c:minorTickMark val="none"/>
        <c:tickLblPos val="nextTo"/>
        <c:spPr>
          <a:ln w="16909">
            <a:solidFill>
              <a:srgbClr val="000099"/>
            </a:solidFill>
          </a:ln>
        </c:spPr>
        <c:crossAx val="106126720"/>
        <c:crosses val="autoZero"/>
        <c:auto val="1"/>
        <c:lblAlgn val="ctr"/>
        <c:lblOffset val="100"/>
        <c:noMultiLvlLbl val="0"/>
      </c:catAx>
      <c:valAx>
        <c:axId val="106126720"/>
        <c:scaling>
          <c:orientation val="minMax"/>
        </c:scaling>
        <c:delete val="1"/>
        <c:axPos val="l"/>
        <c:numFmt formatCode="General" sourceLinked="1"/>
        <c:majorTickMark val="out"/>
        <c:minorTickMark val="none"/>
        <c:tickLblPos val="none"/>
        <c:crossAx val="106125184"/>
        <c:crosses val="autoZero"/>
        <c:crossBetween val="between"/>
      </c:valAx>
      <c:spPr>
        <a:ln>
          <a:noFill/>
        </a:ln>
      </c:spPr>
    </c:plotArea>
    <c:legend>
      <c:legendPos val="b"/>
      <c:layout>
        <c:manualLayout>
          <c:xMode val="edge"/>
          <c:yMode val="edge"/>
          <c:x val="6.6445933388761189E-2"/>
          <c:y val="0.84609522668981962"/>
          <c:w val="0.8999999170719819"/>
          <c:h val="0.13130704669520873"/>
        </c:manualLayout>
      </c:layout>
      <c:overlay val="0"/>
    </c:legend>
    <c:plotVisOnly val="1"/>
    <c:dispBlanksAs val="gap"/>
    <c:showDLblsOverMax val="0"/>
  </c:chart>
  <c:spPr>
    <a:ln>
      <a:noFill/>
    </a:ln>
  </c:spPr>
  <c:txPr>
    <a:bodyPr/>
    <a:lstStyle/>
    <a:p>
      <a:pPr>
        <a:defRPr sz="1000" b="1">
          <a:latin typeface="Times New Roman" pitchFamily="18" charset="0"/>
          <a:cs typeface="Times New Roman" pitchFamily="18" charset="0"/>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0.09527</cdr:x>
      <cdr:y>0.76811</cdr:y>
    </cdr:from>
    <cdr:to>
      <cdr:x>0.53277</cdr:x>
      <cdr:y>0.84058</cdr:y>
    </cdr:to>
    <cdr:sp macro="" textlink="">
      <cdr:nvSpPr>
        <cdr:cNvPr id="3" name="Прямоугольник 2"/>
        <cdr:cNvSpPr/>
      </cdr:nvSpPr>
      <cdr:spPr>
        <a:xfrm xmlns:a="http://schemas.openxmlformats.org/drawingml/2006/main">
          <a:off x="595313" y="2524115"/>
          <a:ext cx="2733675" cy="2381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ru-RU" b="1">
              <a:solidFill>
                <a:sysClr val="windowText" lastClr="000000"/>
              </a:solidFill>
              <a:latin typeface="Times New Roman" panose="02020603050405020304" pitchFamily="18" charset="0"/>
              <a:cs typeface="Times New Roman" panose="02020603050405020304" pitchFamily="18" charset="0"/>
            </a:rPr>
            <a:t>2014</a:t>
          </a:r>
        </a:p>
      </cdr:txBody>
    </cdr:sp>
  </cdr:relSizeAnchor>
  <cdr:relSizeAnchor xmlns:cdr="http://schemas.openxmlformats.org/drawingml/2006/chartDrawing">
    <cdr:from>
      <cdr:x>0.53441</cdr:x>
      <cdr:y>0.77778</cdr:y>
    </cdr:from>
    <cdr:to>
      <cdr:x>0.97191</cdr:x>
      <cdr:y>0.85024</cdr:y>
    </cdr:to>
    <cdr:sp macro="" textlink="">
      <cdr:nvSpPr>
        <cdr:cNvPr id="4" name="Прямоугольник 3"/>
        <cdr:cNvSpPr/>
      </cdr:nvSpPr>
      <cdr:spPr>
        <a:xfrm xmlns:a="http://schemas.openxmlformats.org/drawingml/2006/main">
          <a:off x="3339223" y="2555891"/>
          <a:ext cx="2733675" cy="23811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b="1">
              <a:solidFill>
                <a:sysClr val="windowText" lastClr="000000"/>
              </a:solidFill>
              <a:latin typeface="Times New Roman" panose="02020603050405020304" pitchFamily="18" charset="0"/>
              <a:cs typeface="Times New Roman" panose="02020603050405020304" pitchFamily="18" charset="0"/>
            </a:rPr>
            <a:t>2015</a:t>
          </a:r>
        </a:p>
      </cdr:txBody>
    </cdr:sp>
  </cdr:relSizeAnchor>
</c:userShapes>
</file>

<file path=word/drawings/drawing2.xml><?xml version="1.0" encoding="utf-8"?>
<c:userShapes xmlns:c="http://schemas.openxmlformats.org/drawingml/2006/chart">
  <cdr:relSizeAnchor xmlns:cdr="http://schemas.openxmlformats.org/drawingml/2006/chartDrawing">
    <cdr:from>
      <cdr:x>0.20602</cdr:x>
      <cdr:y>0.01695</cdr:y>
    </cdr:from>
    <cdr:to>
      <cdr:x>0.80983</cdr:x>
      <cdr:y>0.03136</cdr:y>
    </cdr:to>
    <cdr:sp macro="" textlink="">
      <cdr:nvSpPr>
        <cdr:cNvPr id="2" name="TextBox 1"/>
        <cdr:cNvSpPr txBox="1"/>
      </cdr:nvSpPr>
      <cdr:spPr>
        <a:xfrm xmlns:a="http://schemas.openxmlformats.org/drawingml/2006/main">
          <a:off x="1234312" y="53762"/>
          <a:ext cx="3617562"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0.0615</cdr:x>
      <cdr:y>0.92175</cdr:y>
    </cdr:from>
    <cdr:to>
      <cdr:x>0.0805</cdr:x>
      <cdr:y>0.95625</cdr:y>
    </cdr:to>
    <cdr:sp macro="" textlink="">
      <cdr:nvSpPr>
        <cdr:cNvPr id="1025" name="Text Box 1"/>
        <cdr:cNvSpPr txBox="1">
          <a:spLocks xmlns:a="http://schemas.openxmlformats.org/drawingml/2006/main" noChangeArrowheads="1"/>
        </cdr:cNvSpPr>
      </cdr:nvSpPr>
      <cdr:spPr bwMode="auto">
        <a:xfrm xmlns:a="http://schemas.openxmlformats.org/drawingml/2006/main">
          <a:off x="377247" y="2765596"/>
          <a:ext cx="116548" cy="10351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0.20675</cdr:x>
      <cdr:y>0.95675</cdr:y>
    </cdr:from>
    <cdr:to>
      <cdr:x>0.24875</cdr:x>
      <cdr:y>0.998</cdr:y>
    </cdr:to>
    <cdr:sp macro="" textlink="">
      <cdr:nvSpPr>
        <cdr:cNvPr id="1027" name="Text Box 3"/>
        <cdr:cNvSpPr txBox="1">
          <a:spLocks xmlns:a="http://schemas.openxmlformats.org/drawingml/2006/main" noChangeArrowheads="1"/>
        </cdr:cNvSpPr>
      </cdr:nvSpPr>
      <cdr:spPr bwMode="auto">
        <a:xfrm xmlns:a="http://schemas.openxmlformats.org/drawingml/2006/main">
          <a:off x="1268225" y="2870609"/>
          <a:ext cx="257632" cy="12376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0.20025</cdr:x>
      <cdr:y>0.92175</cdr:y>
    </cdr:from>
    <cdr:to>
      <cdr:x>0.259</cdr:x>
      <cdr:y>0.953</cdr:y>
    </cdr:to>
    <cdr:sp macro="" textlink="">
      <cdr:nvSpPr>
        <cdr:cNvPr id="1028" name="Text Box 4"/>
        <cdr:cNvSpPr txBox="1">
          <a:spLocks xmlns:a="http://schemas.openxmlformats.org/drawingml/2006/main" noChangeArrowheads="1"/>
        </cdr:cNvSpPr>
      </cdr:nvSpPr>
      <cdr:spPr bwMode="auto">
        <a:xfrm xmlns:a="http://schemas.openxmlformats.org/drawingml/2006/main">
          <a:off x="1228354" y="2765596"/>
          <a:ext cx="360378" cy="9376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0.4595</cdr:x>
      <cdr:y>0.92375</cdr:y>
    </cdr:from>
    <cdr:to>
      <cdr:x>0.46425</cdr:x>
      <cdr:y>1</cdr:y>
    </cdr:to>
    <cdr:sp macro="" textlink="">
      <cdr:nvSpPr>
        <cdr:cNvPr id="1029" name="Text Box 5"/>
        <cdr:cNvSpPr txBox="1">
          <a:spLocks xmlns:a="http://schemas.openxmlformats.org/drawingml/2006/main" noChangeArrowheads="1"/>
        </cdr:cNvSpPr>
      </cdr:nvSpPr>
      <cdr:spPr bwMode="auto">
        <a:xfrm xmlns:a="http://schemas.openxmlformats.org/drawingml/2006/main">
          <a:off x="2818619" y="2900613"/>
          <a:ext cx="29137" cy="2287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0.4705</cdr:x>
      <cdr:y>0.95175</cdr:y>
    </cdr:from>
    <cdr:to>
      <cdr:x>0.51375</cdr:x>
      <cdr:y>0.97</cdr:y>
    </cdr:to>
    <cdr:sp macro="" textlink="">
      <cdr:nvSpPr>
        <cdr:cNvPr id="1030" name="Text Box 6"/>
        <cdr:cNvSpPr txBox="1">
          <a:spLocks xmlns:a="http://schemas.openxmlformats.org/drawingml/2006/main" noChangeArrowheads="1"/>
        </cdr:cNvSpPr>
      </cdr:nvSpPr>
      <cdr:spPr bwMode="auto">
        <a:xfrm xmlns:a="http://schemas.openxmlformats.org/drawingml/2006/main">
          <a:off x="2886094" y="2855607"/>
          <a:ext cx="265300" cy="5475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0.4705</cdr:x>
      <cdr:y>0.95675</cdr:y>
    </cdr:from>
    <cdr:to>
      <cdr:x>0.49075</cdr:x>
      <cdr:y>0.97</cdr:y>
    </cdr:to>
    <cdr:sp macro="" textlink="">
      <cdr:nvSpPr>
        <cdr:cNvPr id="1031" name="Text Box 7"/>
        <cdr:cNvSpPr txBox="1">
          <a:spLocks xmlns:a="http://schemas.openxmlformats.org/drawingml/2006/main" noChangeArrowheads="1"/>
        </cdr:cNvSpPr>
      </cdr:nvSpPr>
      <cdr:spPr bwMode="auto">
        <a:xfrm xmlns:a="http://schemas.openxmlformats.org/drawingml/2006/main">
          <a:off x="2886094" y="2870609"/>
          <a:ext cx="124216" cy="3975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0.49075</cdr:x>
      <cdr:y>0.95675</cdr:y>
    </cdr:from>
    <cdr:to>
      <cdr:x>0.51375</cdr:x>
      <cdr:y>0.97</cdr:y>
    </cdr:to>
    <cdr:sp macro="" textlink="">
      <cdr:nvSpPr>
        <cdr:cNvPr id="1032" name="Text Box 8"/>
        <cdr:cNvSpPr txBox="1">
          <a:spLocks xmlns:a="http://schemas.openxmlformats.org/drawingml/2006/main" noChangeArrowheads="1"/>
        </cdr:cNvSpPr>
      </cdr:nvSpPr>
      <cdr:spPr bwMode="auto">
        <a:xfrm xmlns:a="http://schemas.openxmlformats.org/drawingml/2006/main">
          <a:off x="3010310" y="2870609"/>
          <a:ext cx="141084" cy="3975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0.4945</cdr:x>
      <cdr:y>0.44725</cdr:y>
    </cdr:from>
    <cdr:to>
      <cdr:x>0.50075</cdr:x>
      <cdr:y>0.517</cdr:y>
    </cdr:to>
    <cdr:sp macro="" textlink="">
      <cdr:nvSpPr>
        <cdr:cNvPr id="1034" name="Text Box 10"/>
        <cdr:cNvSpPr txBox="1">
          <a:spLocks xmlns:a="http://schemas.openxmlformats.org/drawingml/2006/main" noChangeArrowheads="1"/>
        </cdr:cNvSpPr>
      </cdr:nvSpPr>
      <cdr:spPr bwMode="auto">
        <a:xfrm xmlns:a="http://schemas.openxmlformats.org/drawingml/2006/main">
          <a:off x="3033312" y="1341918"/>
          <a:ext cx="38339" cy="20927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0.4695</cdr:x>
      <cdr:y>0.45275</cdr:y>
    </cdr:from>
    <cdr:to>
      <cdr:x>0.47725</cdr:x>
      <cdr:y>0.50675</cdr:y>
    </cdr:to>
    <cdr:sp macro="" textlink="">
      <cdr:nvSpPr>
        <cdr:cNvPr id="1035" name="Text Box 11"/>
        <cdr:cNvSpPr txBox="1">
          <a:spLocks xmlns:a="http://schemas.openxmlformats.org/drawingml/2006/main" noChangeArrowheads="1"/>
        </cdr:cNvSpPr>
      </cdr:nvSpPr>
      <cdr:spPr bwMode="auto">
        <a:xfrm xmlns:a="http://schemas.openxmlformats.org/drawingml/2006/main">
          <a:off x="2879960" y="1358420"/>
          <a:ext cx="47539" cy="16202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0.05547</cdr:x>
      <cdr:y>0.03822</cdr:y>
    </cdr:from>
    <cdr:to>
      <cdr:x>0.98257</cdr:x>
      <cdr:y>0.05167</cdr:y>
    </cdr:to>
    <cdr:sp macro="" textlink="">
      <cdr:nvSpPr>
        <cdr:cNvPr id="12" name="TextBox 11"/>
        <cdr:cNvSpPr txBox="1"/>
      </cdr:nvSpPr>
      <cdr:spPr>
        <a:xfrm xmlns:a="http://schemas.openxmlformats.org/drawingml/2006/main">
          <a:off x="332333" y="129964"/>
          <a:ext cx="5554465"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0.11024</cdr:x>
      <cdr:y>0.02245</cdr:y>
    </cdr:from>
    <cdr:to>
      <cdr:x>0.90394</cdr:x>
      <cdr:y>0.03912</cdr:y>
    </cdr:to>
    <cdr:sp macro="" textlink="">
      <cdr:nvSpPr>
        <cdr:cNvPr id="2" name="TextBox 1"/>
        <cdr:cNvSpPr txBox="1"/>
      </cdr:nvSpPr>
      <cdr:spPr>
        <a:xfrm xmlns:a="http://schemas.openxmlformats.org/drawingml/2006/main" flipV="1">
          <a:off x="664673" y="61595"/>
          <a:ext cx="4785475"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0.17492</cdr:x>
      <cdr:y>0.72647</cdr:y>
    </cdr:from>
    <cdr:to>
      <cdr:x>0.30533</cdr:x>
      <cdr:y>0.79412</cdr:y>
    </cdr:to>
    <cdr:sp macro="" textlink="">
      <cdr:nvSpPr>
        <cdr:cNvPr id="2" name="Прямоугольник 1"/>
        <cdr:cNvSpPr/>
      </cdr:nvSpPr>
      <cdr:spPr>
        <a:xfrm xmlns:a="http://schemas.openxmlformats.org/drawingml/2006/main">
          <a:off x="1076325" y="2352675"/>
          <a:ext cx="802416" cy="2190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b="1">
              <a:latin typeface="Times New Roman" panose="02020603050405020304" pitchFamily="18" charset="0"/>
              <a:cs typeface="Times New Roman" panose="02020603050405020304" pitchFamily="18" charset="0"/>
            </a:rPr>
            <a:t>2014</a:t>
          </a:r>
        </a:p>
        <a:p xmlns:a="http://schemas.openxmlformats.org/drawingml/2006/main">
          <a:endParaRPr lang="ru-RU">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0.14988</cdr:x>
      <cdr:y>0.69444</cdr:y>
    </cdr:from>
    <cdr:to>
      <cdr:x>0.24016</cdr:x>
      <cdr:y>0.78373</cdr:y>
    </cdr:to>
    <cdr:sp macro="" textlink="">
      <cdr:nvSpPr>
        <cdr:cNvPr id="3" name="Прямоугольник 2"/>
        <cdr:cNvSpPr/>
      </cdr:nvSpPr>
      <cdr:spPr>
        <a:xfrm xmlns:a="http://schemas.openxmlformats.org/drawingml/2006/main">
          <a:off x="822325" y="2222500"/>
          <a:ext cx="495300" cy="2857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sp>
  </cdr:relSizeAnchor>
  <cdr:relSizeAnchor xmlns:cdr="http://schemas.openxmlformats.org/drawingml/2006/chartDrawing">
    <cdr:from>
      <cdr:x>0.2853</cdr:x>
      <cdr:y>0.84623</cdr:y>
    </cdr:from>
    <cdr:to>
      <cdr:x>0.37558</cdr:x>
      <cdr:y>0.93552</cdr:y>
    </cdr:to>
    <cdr:sp macro="" textlink="">
      <cdr:nvSpPr>
        <cdr:cNvPr id="4" name="Прямоугольник 3"/>
        <cdr:cNvSpPr/>
      </cdr:nvSpPr>
      <cdr:spPr>
        <a:xfrm xmlns:a="http://schemas.openxmlformats.org/drawingml/2006/main">
          <a:off x="1565275" y="2708275"/>
          <a:ext cx="495300" cy="2857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D81B-3BE0-400A-8059-F3AEA03C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6234</TotalTime>
  <Pages>145</Pages>
  <Words>68482</Words>
  <Characters>390352</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95</cp:revision>
  <cp:lastPrinted>2016-06-14T05:36:00Z</cp:lastPrinted>
  <dcterms:created xsi:type="dcterms:W3CDTF">2014-06-03T00:52:00Z</dcterms:created>
  <dcterms:modified xsi:type="dcterms:W3CDTF">2016-06-16T00:52:00Z</dcterms:modified>
</cp:coreProperties>
</file>