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Законодательного Собрания</w:t>
      </w:r>
    </w:p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Амурской области по проекту</w:t>
      </w:r>
    </w:p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 Амурской области</w:t>
      </w:r>
    </w:p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областном бюджете на 2017 год</w:t>
      </w:r>
    </w:p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2018 и 2019 годов»</w:t>
      </w:r>
    </w:p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C4" w:rsidRDefault="000116C4" w:rsidP="000116C4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Благовещенск         24 ноября 2016 года</w:t>
      </w:r>
    </w:p>
    <w:p w:rsidR="0084328C" w:rsidRDefault="0084328C" w:rsidP="000116C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84328C" w:rsidRDefault="0084328C" w:rsidP="000116C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0116C4" w:rsidRPr="000116C4" w:rsidRDefault="000116C4" w:rsidP="000116C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0116C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УВАЖАЕМЫЕ ДЕПУТАТЫ!</w:t>
      </w:r>
    </w:p>
    <w:p w:rsidR="000116C4" w:rsidRPr="000116C4" w:rsidRDefault="000116C4" w:rsidP="000116C4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CCC" w:rsidRDefault="009A1CCC" w:rsidP="00F814B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расчетов бюджетных показателей лежит прогноз социально-экономического развития, к характеристикам которого относятся валовой региональный продукт и уровень инфляции.</w:t>
      </w:r>
    </w:p>
    <w:p w:rsidR="009A1CCC" w:rsidRPr="00F814B1" w:rsidRDefault="009A1CCC" w:rsidP="00F814B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нами анализ показал, что существуют риски недостижения прогнозируемых объемов и темпов роста валового регионального продукта.</w:t>
      </w:r>
    </w:p>
    <w:p w:rsidR="00F814B1" w:rsidRPr="00F814B1" w:rsidRDefault="00F814B1" w:rsidP="00F814B1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2017-2019 годах традиционно прогнозируется </w:t>
      </w:r>
      <w:r w:rsidRPr="00260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снижение численности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 804,5 тыс. человек до 798,7 тыс. человек за счет как естественной, так и миграционной убыли населения.</w:t>
      </w:r>
    </w:p>
    <w:p w:rsidR="00F814B1" w:rsidRPr="00F814B1" w:rsidRDefault="009A1CCC" w:rsidP="00F814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0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Снижение реальных денежных доходов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4B1"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на 0,2 процента по отношению к оценке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их прирост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0,77-1,78 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14B1"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и 2019 годах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основания предполагать, что темпы </w:t>
      </w:r>
      <w:r w:rsidR="005D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спроса не будут высокими. </w:t>
      </w:r>
      <w:r w:rsidR="00F814B1"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денежных доходов населения прогнозируется стабильной: более 40,0 процентов доходов будет составлять оплата труда</w:t>
      </w:r>
      <w:proofErr w:type="gramStart"/>
      <w:r w:rsidR="00F814B1"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2</w:t>
      </w:r>
    </w:p>
    <w:p w:rsidR="00F814B1" w:rsidRPr="00F814B1" w:rsidRDefault="00F814B1" w:rsidP="005D165C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260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валового регионального продукта за 2016 год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</w:t>
      </w:r>
      <w:r w:rsidR="005D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сумме 278,1 млрд. рублей и </w:t>
      </w:r>
      <w:r w:rsidRPr="00F81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прогнозируется с темпом: 100,55 процента </w:t>
      </w:r>
      <w:r w:rsidR="0072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81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году; 101,73 процента в 2018 году; 103,45 пр</w:t>
      </w:r>
      <w:r w:rsidR="005D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оцента в 2019 году.</w:t>
      </w:r>
    </w:p>
    <w:p w:rsidR="00E452CF" w:rsidRPr="00F814B1" w:rsidRDefault="005D165C" w:rsidP="00E452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4B1"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жидается незначительный прирост показателей промышленного про</w:t>
      </w:r>
      <w:r w:rsidR="00425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 и сельского хозяйства</w:t>
      </w:r>
      <w:proofErr w:type="gramStart"/>
      <w:r w:rsidR="00425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3</w:t>
      </w:r>
    </w:p>
    <w:p w:rsidR="00E452CF" w:rsidRPr="00F814B1" w:rsidRDefault="00F814B1" w:rsidP="00E452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индексов производства по основным видам деятельности, а также в сельском хозяйстве обусловлен реализацией в прогнозируемом периоде на территории области ряда крупных инвестиционных проектов</w:t>
      </w:r>
      <w:proofErr w:type="gramStart"/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4</w:t>
      </w:r>
    </w:p>
    <w:p w:rsidR="00F814B1" w:rsidRPr="00F814B1" w:rsidRDefault="00F814B1" w:rsidP="00F814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Темп прироста инвестиций в основной капитал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65C"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5D165C"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среднероссийского уровня </w:t>
      </w:r>
      <w:r w:rsidR="005D16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на </w:t>
      </w:r>
      <w:r w:rsidR="00DF6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0,03-0,21 процента в год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4B1" w:rsidRPr="00F814B1" w:rsidRDefault="00F814B1" w:rsidP="00F814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источников финансирования инвестиций будут преобладать средства вышестоящих организаций </w:t>
      </w:r>
      <w:r w:rsidRPr="00DF6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(70,0 процентов всех инвестиций </w:t>
      </w:r>
      <w:r w:rsidR="008F2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F6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2017 году, 66,0 процентов в 2018-2019 годах).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бюджетных средств будет иметь тенденцию к снижению с 18,2 процента в 2016 году </w:t>
      </w:r>
      <w:r w:rsidR="00DF6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14,0-16,0 процентов в 2017-</w:t>
      </w:r>
      <w:r w:rsidR="00DF6D2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годах</w:t>
      </w:r>
      <w:proofErr w:type="gramStart"/>
      <w:r w:rsidR="00DF6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2A57" w:rsidRPr="00CA2A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5</w:t>
      </w:r>
    </w:p>
    <w:p w:rsidR="00DF6D27" w:rsidRDefault="00DF6D27" w:rsidP="00DF6D2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равн</w:t>
      </w:r>
      <w:r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ительный анализ прогноза социально-экономического развития и Стратегии </w:t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 Амурской области на период до 2025 года</w:t>
      </w:r>
      <w:r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выяви</w:t>
      </w:r>
      <w:r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 наличие несоответствия значений показателей.</w:t>
      </w:r>
    </w:p>
    <w:p w:rsidR="00DF6D27" w:rsidRPr="00DF6D27" w:rsidRDefault="00DF6D27" w:rsidP="00DF6D2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редставленный прогноз не обеспечивает достижение установленного Стратегией значения показателя ВРП в 2020 году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поскольку</w:t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достижения темп роста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составить </w:t>
      </w:r>
      <w:r w:rsidR="0004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161,5 процента, что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прогнозируемой </w:t>
      </w:r>
      <w:r w:rsidRPr="00DF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маловероятно.</w:t>
      </w:r>
    </w:p>
    <w:p w:rsidR="00DF6D27" w:rsidRPr="00DF6D27" w:rsidRDefault="000416D2" w:rsidP="00DF6D2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2126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читаем, что</w:t>
      </w:r>
      <w:r w:rsidR="00DF6D27"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Стратеги</w:t>
      </w:r>
      <w:r w:rsidR="002126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требует корректировки</w:t>
      </w:r>
      <w:r w:rsidR="00DF6D27"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учетом </w:t>
      </w:r>
      <w:r w:rsidR="002126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влияния всех</w:t>
      </w:r>
      <w:r w:rsidR="00DF6D27" w:rsidRPr="00DF6D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126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факторов.</w:t>
      </w:r>
    </w:p>
    <w:p w:rsidR="00E452CF" w:rsidRPr="00CA2A57" w:rsidRDefault="005A0DB9" w:rsidP="0062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</w:t>
      </w:r>
      <w:r w:rsidRPr="0062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областного бюджета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спрогнозирован больше уточненных плановых назначений 2016 года и ожидаемого поступления доходов в 2016 году на 2</w:t>
      </w:r>
      <w:r w:rsidR="00621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</w:t>
      </w:r>
      <w:r w:rsidR="00621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621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6,7 процента</w:t>
      </w:r>
      <w:proofErr w:type="gramStart"/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2A57" w:rsidRPr="00CA2A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84328C"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</w:t>
      </w:r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6</w:t>
      </w:r>
    </w:p>
    <w:p w:rsidR="00E452CF" w:rsidRPr="00CA2A57" w:rsidRDefault="005A0DB9" w:rsidP="00E452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доходов областного бюджета в 2017 году, по-прежнему, будут составлять поступления по налогу на доходы физических лиц – </w:t>
      </w:r>
      <w:r w:rsidR="008F2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29,8 процента, 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прибыль организаций – </w:t>
      </w:r>
      <w:r w:rsidRPr="00041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26,3 процента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налогу на имущество организаций – </w:t>
      </w:r>
      <w:r w:rsidRPr="00041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21,0 процент</w:t>
      </w:r>
      <w:proofErr w:type="gramStart"/>
      <w:r w:rsid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2A57" w:rsidRPr="00CA2A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7</w:t>
      </w:r>
    </w:p>
    <w:p w:rsidR="005A0DB9" w:rsidRPr="005A0DB9" w:rsidRDefault="003F0941" w:rsidP="005A0DB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следующими цифрами:</w:t>
      </w:r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ожидаемый объем в 2016 году выше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25,5 процента,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15,7 процента,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2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4,2 процента</w:t>
      </w:r>
      <w:proofErr w:type="gramStart"/>
      <w:r w:rsidR="005A0DB9"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2A57" w:rsidRPr="00CA2A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8</w:t>
      </w:r>
    </w:p>
    <w:p w:rsidR="005A0DB9" w:rsidRPr="005A0DB9" w:rsidRDefault="005A0DB9" w:rsidP="005A0DB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</w:t>
      </w:r>
      <w:r w:rsidRPr="005A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областного бюджета на 2017 год по сравнению с ожидаемым поступлением 2016 года 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увеличивается на 6,7 процента, на 2018-2019 годы по сравнению с 2017 годом - на 4,8 процента и 8,5 процента соответственно.</w:t>
      </w:r>
    </w:p>
    <w:p w:rsidR="00784C13" w:rsidRPr="008A7A0B" w:rsidRDefault="00784C13" w:rsidP="00784C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 областного бюджета от использования имущества, находящегося в государственной собственности,</w:t>
      </w:r>
      <w:r w:rsidRPr="000A6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прогнозируются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95</w:t>
      </w:r>
      <w:r w:rsidR="000A6FCB">
        <w:rPr>
          <w:rFonts w:ascii="Times New Roman" w:eastAsia="Times New Roman" w:hAnsi="Times New Roman" w:cs="Times New Roman"/>
          <w:sz w:val="28"/>
          <w:szCs w:val="28"/>
          <w:lang w:eastAsia="ru-RU"/>
        </w:rPr>
        <w:t>,6 млн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что на 10</w:t>
      </w:r>
      <w:r w:rsidR="000A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11,7 процента, выше оценки ожидаемого исполнения </w:t>
      </w:r>
      <w:r w:rsidRPr="008A7A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2016 года</w:t>
      </w:r>
      <w:proofErr w:type="gramStart"/>
      <w:r w:rsidR="000A6F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CA2A57" w:rsidRPr="00CA2A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9</w:t>
      </w:r>
    </w:p>
    <w:p w:rsidR="00784C13" w:rsidRPr="008A7A0B" w:rsidRDefault="000A6FCB" w:rsidP="00784C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84C13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4C13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Pr="003B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4C13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занимают</w:t>
      </w:r>
      <w:r w:rsidR="00784C13" w:rsidRPr="008A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C13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либо иной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13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88,3 процента.</w:t>
      </w:r>
    </w:p>
    <w:p w:rsidR="005A0DB9" w:rsidRPr="005A0DB9" w:rsidRDefault="005A0DB9" w:rsidP="005A0DB9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Законопроектом предусмотрено формирование областного бюджета на 2017 год и плановый период 2018 и 2019 годов с профицитом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на 2017 год – 4</w:t>
      </w:r>
      <w:r w:rsidR="00C54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</w:t>
      </w:r>
      <w:r w:rsidR="00C5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на 2018 год – 4</w:t>
      </w:r>
      <w:r w:rsidR="00C54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</w:t>
      </w:r>
      <w:r w:rsidR="00C5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8F2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6FC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</w:t>
      </w:r>
      <w:r w:rsidR="00C54EE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0A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C5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0A6F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A7A0B" w:rsidRPr="008A7A0B" w:rsidRDefault="000416D2" w:rsidP="008A7A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8A7A0B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заимствований с учетом верхнего предела государственного внутреннего долга области, составляющего в 2017 году 25,9 млрд. рублей, в 2018 году – 21,8 млрд. рублей, в 2019 году – 19,5 млрд. рублей</w:t>
      </w:r>
      <w:proofErr w:type="gramStart"/>
      <w:r w:rsidR="008A7A0B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7A0B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28C"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1</w:t>
      </w:r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</w:p>
    <w:p w:rsidR="008A7A0B" w:rsidRPr="008A7A0B" w:rsidRDefault="008A7A0B" w:rsidP="008A7A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проведенными Правительством Амурской области в 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году мероприятиями по замещению кредитов кредитных организаций на бюджетные кредиты </w:t>
      </w:r>
      <w:r w:rsidR="0004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10,3 млрд. рублей, в структуре государственного внутреннего долга Амурской области на 1 января 2018 года наибольший удельный вес будут занимать обязательства в форме бюджетных кредитов от других бюджетов бюджетной системы Российской Федерации - 63,3 процента, удельный вес кредитов кредитны</w:t>
      </w:r>
      <w:r w:rsidR="003B299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 – 36,7 процента.</w:t>
      </w:r>
    </w:p>
    <w:p w:rsidR="003B299F" w:rsidRDefault="0084328C" w:rsidP="000416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 </w:t>
      </w:r>
      <w:r w:rsidR="008A7A0B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государственных внутренних заимствований Амурской области на 2017 год при планируемом привлечении средств в объеме </w:t>
      </w:r>
      <w:r w:rsidR="008A7A0B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1,6 млрд.</w:t>
      </w:r>
      <w:r w:rsidR="008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A7A0B"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предусмотрено к погашению 6,2 млрд. рублей, на 2018 год: привлечение - 8,2 млрд. рублей, погашение - 12,3 млрд. рублей, на 2019 год: привлечение - 8,1 млрд. рублей,</w:t>
      </w:r>
      <w:r w:rsidR="003B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 - 12,3 млрд. рублей.</w:t>
      </w:r>
      <w:proofErr w:type="gramEnd"/>
    </w:p>
    <w:p w:rsidR="003B299F" w:rsidRPr="008A7A0B" w:rsidRDefault="003B299F" w:rsidP="003B29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уживание государственного долга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2017 год в объеме 1,3 млрд. рублей, на 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млрд. рублей, на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1,3 млрд. рублей</w:t>
      </w:r>
      <w:proofErr w:type="gramStart"/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2A57" w:rsidRPr="00CA2A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84328C"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="0084328C"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лайд 1</w:t>
      </w:r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</w:p>
    <w:p w:rsidR="003B299F" w:rsidRDefault="003B299F" w:rsidP="003B299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8A7A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2017-2019 годах объемы расходов на погашение и обслуживание государственного долга области значительно превысят объемы заимствований.</w:t>
      </w:r>
    </w:p>
    <w:p w:rsidR="008A7A0B" w:rsidRPr="003B299F" w:rsidRDefault="008A7A0B" w:rsidP="008A7A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Снижение объемов привлечения средств при росте объемов погашения кредитов от кредитных организаций и бюджетных кредитов ведет к снижению объема государственного долга, но одновременно создает риски в обеспечении устойчивости и сбалансированности областного бюджета и потребует от всех участников бюджетного процесса </w:t>
      </w:r>
      <w:r w:rsidRPr="003B299F">
        <w:rPr>
          <w:rFonts w:ascii="Times New Roman" w:hAnsi="Times New Roman" w:cs="Times New Roman"/>
          <w:b/>
          <w:i/>
          <w:sz w:val="28"/>
          <w:szCs w:val="28"/>
        </w:rPr>
        <w:t>проведения взвешенной, консервативной и</w:t>
      </w:r>
      <w:r w:rsidR="00DD759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B299F">
        <w:rPr>
          <w:rFonts w:ascii="Times New Roman" w:hAnsi="Times New Roman" w:cs="Times New Roman"/>
          <w:b/>
          <w:i/>
          <w:sz w:val="28"/>
          <w:szCs w:val="28"/>
        </w:rPr>
        <w:t xml:space="preserve"> на наш взгляд</w:t>
      </w:r>
      <w:r w:rsidR="00DD759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B299F">
        <w:rPr>
          <w:rFonts w:ascii="Times New Roman" w:hAnsi="Times New Roman" w:cs="Times New Roman"/>
          <w:b/>
          <w:i/>
          <w:sz w:val="28"/>
          <w:szCs w:val="28"/>
        </w:rPr>
        <w:t xml:space="preserve"> достаточно жесткой бюджетной политики в части расходов областного бюджета в 2017-2019 годах.</w:t>
      </w:r>
    </w:p>
    <w:p w:rsidR="00966A33" w:rsidRPr="00DD7590" w:rsidRDefault="00640A79" w:rsidP="008A7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общего объема доходов выявила</w:t>
      </w:r>
      <w:r w:rsidR="00966A33" w:rsidRPr="00DD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наличие двух факторов:</w:t>
      </w:r>
    </w:p>
    <w:p w:rsidR="00966A33" w:rsidRDefault="00966A33" w:rsidP="008A7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1.Фактор неопределенности.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выражается в том, что доходы областного бюджета сформированы без учета межбюджетных трансфертов из федерального бюджета. На момент подготовки Заключения между регионами было распределено всего 28,7 процента межбюджетных трансфертов.</w:t>
      </w:r>
    </w:p>
    <w:p w:rsidR="00966A33" w:rsidRDefault="00966A33" w:rsidP="008A7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2.Фактор несогласованности.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Расхождение данных Министерства финансов Амурской области и Управления Федеральной налоговой службы по Амурской области составляет порядка одного миллиарда рублей. Надо сказать, что такая ситуация имеет место и в других субъектах. Всего по России расхождение данных финансовых и налоговых органов составляет 560 млрд. рублей.</w:t>
      </w:r>
    </w:p>
    <w:p w:rsidR="00966A33" w:rsidRDefault="00966A33" w:rsidP="00DD7590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Проведенный анализ позволяет сделать следующие выводы:</w:t>
      </w:r>
      <w:r w:rsidR="00214ED1" w:rsidRPr="00214E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84328C" w:rsidRPr="00E45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  <w:r w:rsidR="00843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bookmarkEnd w:id="0"/>
    </w:p>
    <w:p w:rsidR="00966A33" w:rsidRDefault="0040345F" w:rsidP="00966A3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напряженности плановых показателей по налоговым и неналоговым доходам бюджета будет весьма значительным.</w:t>
      </w:r>
    </w:p>
    <w:p w:rsidR="0040345F" w:rsidRDefault="00940FFA" w:rsidP="00966A3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риски неисполнения плановых назначений по бюджетообразующим налогам – налогу на имущество организаций, налогу на добычу полезных ископаемых.</w:t>
      </w:r>
    </w:p>
    <w:p w:rsidR="001E0627" w:rsidRDefault="001E0627" w:rsidP="00966A3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усиление налогового администрирования.</w:t>
      </w:r>
    </w:p>
    <w:p w:rsidR="001E0627" w:rsidRDefault="001E0627" w:rsidP="00966A3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4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принятия федерального бюджета в окончательном чтении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отребуется корректировка показателей.</w:t>
      </w:r>
    </w:p>
    <w:p w:rsidR="001E0627" w:rsidRPr="00006F20" w:rsidRDefault="00FC5411" w:rsidP="001E0627">
      <w:pPr>
        <w:autoSpaceDE w:val="0"/>
        <w:autoSpaceDN w:val="0"/>
        <w:adjustRightInd w:val="0"/>
        <w:spacing w:after="0" w:line="360" w:lineRule="auto"/>
        <w:ind w:left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трехлетнего бюджета будет непростым по ряду причин:</w:t>
      </w:r>
    </w:p>
    <w:p w:rsidR="00FC5411" w:rsidRPr="00006F20" w:rsidRDefault="00FC5411" w:rsidP="00006F20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ставки налога на прибыль на 1 процент.</w:t>
      </w:r>
    </w:p>
    <w:p w:rsidR="00FC5411" w:rsidRPr="00006F20" w:rsidRDefault="00FC5411" w:rsidP="00006F20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снижение межбюджетных трансфертов субъектам из федерального бюджета.</w:t>
      </w:r>
    </w:p>
    <w:p w:rsidR="00FC5411" w:rsidRPr="00006F20" w:rsidRDefault="00FC5411" w:rsidP="00006F20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соблюдения условий соглашения с Министерством финансов Российской Федерации в части значительного снижения государственного долга (с 95 процентов до 52 процентов) в условиях сокращения объемов бюджетных кредитов регионам (с 310 млрд. рублей в 2015-2016 годах до 200 млрд. рублей в 2017-2019 годах</w:t>
      </w:r>
      <w:r w:rsidR="004274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и бюджетные кредиты не в полном объеме решают проблему, поскольку снижают лишь </w:t>
      </w:r>
      <w:r w:rsidRPr="00DD75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расходы на обслуживание </w:t>
      </w:r>
      <w:r w:rsidRPr="000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долга.</w:t>
      </w:r>
    </w:p>
    <w:p w:rsidR="00FC5411" w:rsidRDefault="00FC5411" w:rsidP="00006F20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указанных условиях исполнять все переданные полномочия и обеспечить исполнение майских Указов Президента Российской Федерации.</w:t>
      </w:r>
    </w:p>
    <w:p w:rsidR="009F636B" w:rsidRDefault="009F636B" w:rsidP="009F63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Бюджет на 2017-2019 годы сформирован в непростых условиях, он содержит проблемы, которые будет необходимо обсуждать и решать. Принятие бюджета в первом чтении – это шаг в направлении обеспечения социальных обязательств перед гражданами области, </w:t>
      </w:r>
      <w:r w:rsidR="003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</w:t>
      </w:r>
      <w:r w:rsidR="003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ситуации.</w:t>
      </w:r>
    </w:p>
    <w:p w:rsidR="003F7FBC" w:rsidRDefault="003F7FBC" w:rsidP="009F63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BC" w:rsidRPr="009F636B" w:rsidRDefault="003F7FBC" w:rsidP="009F63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sectPr w:rsidR="003F7FBC" w:rsidRPr="009F636B" w:rsidSect="000416D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CC" w:rsidRDefault="00D461CC">
      <w:pPr>
        <w:spacing w:after="0" w:line="240" w:lineRule="auto"/>
      </w:pPr>
      <w:r>
        <w:separator/>
      </w:r>
    </w:p>
  </w:endnote>
  <w:endnote w:type="continuationSeparator" w:id="0">
    <w:p w:rsidR="00D461CC" w:rsidRDefault="00D4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8332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51650" w:rsidRPr="00784C13" w:rsidRDefault="008125F2">
        <w:pPr>
          <w:pStyle w:val="a3"/>
          <w:jc w:val="right"/>
          <w:rPr>
            <w:rFonts w:ascii="Times New Roman" w:hAnsi="Times New Roman"/>
          </w:rPr>
        </w:pPr>
        <w:r w:rsidRPr="00784C13">
          <w:rPr>
            <w:rFonts w:ascii="Times New Roman" w:hAnsi="Times New Roman"/>
          </w:rPr>
          <w:fldChar w:fldCharType="begin"/>
        </w:r>
        <w:r w:rsidRPr="00784C13">
          <w:rPr>
            <w:rFonts w:ascii="Times New Roman" w:hAnsi="Times New Roman"/>
          </w:rPr>
          <w:instrText>PAGE   \* MERGEFORMAT</w:instrText>
        </w:r>
        <w:r w:rsidRPr="00784C13">
          <w:rPr>
            <w:rFonts w:ascii="Times New Roman" w:hAnsi="Times New Roman"/>
          </w:rPr>
          <w:fldChar w:fldCharType="separate"/>
        </w:r>
        <w:r w:rsidR="0084328C">
          <w:rPr>
            <w:rFonts w:ascii="Times New Roman" w:hAnsi="Times New Roman"/>
            <w:noProof/>
          </w:rPr>
          <w:t>5</w:t>
        </w:r>
        <w:r w:rsidRPr="00784C13">
          <w:rPr>
            <w:rFonts w:ascii="Times New Roman" w:hAnsi="Times New Roman"/>
          </w:rPr>
          <w:fldChar w:fldCharType="end"/>
        </w:r>
      </w:p>
    </w:sdtContent>
  </w:sdt>
  <w:p w:rsidR="00651650" w:rsidRDefault="00843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CC" w:rsidRDefault="00D461CC">
      <w:pPr>
        <w:spacing w:after="0" w:line="240" w:lineRule="auto"/>
      </w:pPr>
      <w:r>
        <w:separator/>
      </w:r>
    </w:p>
  </w:footnote>
  <w:footnote w:type="continuationSeparator" w:id="0">
    <w:p w:rsidR="00D461CC" w:rsidRDefault="00D4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97A"/>
    <w:multiLevelType w:val="hybridMultilevel"/>
    <w:tmpl w:val="9C0048BC"/>
    <w:lvl w:ilvl="0" w:tplc="A7A28E44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641B6"/>
    <w:multiLevelType w:val="hybridMultilevel"/>
    <w:tmpl w:val="4534339C"/>
    <w:lvl w:ilvl="0" w:tplc="2BACBE44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070738"/>
    <w:multiLevelType w:val="hybridMultilevel"/>
    <w:tmpl w:val="2336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5D5D75"/>
    <w:multiLevelType w:val="hybridMultilevel"/>
    <w:tmpl w:val="2A86B934"/>
    <w:lvl w:ilvl="0" w:tplc="701665E4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101CD"/>
    <w:multiLevelType w:val="hybridMultilevel"/>
    <w:tmpl w:val="6312178A"/>
    <w:lvl w:ilvl="0" w:tplc="0A1E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9"/>
    <w:rsid w:val="00006F20"/>
    <w:rsid w:val="000116C4"/>
    <w:rsid w:val="000416D2"/>
    <w:rsid w:val="000A229B"/>
    <w:rsid w:val="000A6FCB"/>
    <w:rsid w:val="0014481F"/>
    <w:rsid w:val="00187DEF"/>
    <w:rsid w:val="001E0627"/>
    <w:rsid w:val="002126FC"/>
    <w:rsid w:val="00214ED1"/>
    <w:rsid w:val="00260A27"/>
    <w:rsid w:val="002B694C"/>
    <w:rsid w:val="002F43E7"/>
    <w:rsid w:val="00324AA7"/>
    <w:rsid w:val="003B299F"/>
    <w:rsid w:val="003F0941"/>
    <w:rsid w:val="003F7FBC"/>
    <w:rsid w:val="0040345F"/>
    <w:rsid w:val="0042596E"/>
    <w:rsid w:val="004274F5"/>
    <w:rsid w:val="004504FA"/>
    <w:rsid w:val="0049346A"/>
    <w:rsid w:val="00517FA6"/>
    <w:rsid w:val="0055035B"/>
    <w:rsid w:val="005A0DB9"/>
    <w:rsid w:val="005D165C"/>
    <w:rsid w:val="00621ABA"/>
    <w:rsid w:val="00640A79"/>
    <w:rsid w:val="00642772"/>
    <w:rsid w:val="006E08D7"/>
    <w:rsid w:val="00711C7D"/>
    <w:rsid w:val="007254BF"/>
    <w:rsid w:val="00732B96"/>
    <w:rsid w:val="00784C13"/>
    <w:rsid w:val="008125F2"/>
    <w:rsid w:val="0084328C"/>
    <w:rsid w:val="008A7A0B"/>
    <w:rsid w:val="008F2384"/>
    <w:rsid w:val="00940FFA"/>
    <w:rsid w:val="00966A33"/>
    <w:rsid w:val="00984568"/>
    <w:rsid w:val="009A1CCC"/>
    <w:rsid w:val="009B1505"/>
    <w:rsid w:val="009F197F"/>
    <w:rsid w:val="009F636B"/>
    <w:rsid w:val="00A17231"/>
    <w:rsid w:val="00AA476D"/>
    <w:rsid w:val="00B74C05"/>
    <w:rsid w:val="00C07A67"/>
    <w:rsid w:val="00C3283F"/>
    <w:rsid w:val="00C54EE0"/>
    <w:rsid w:val="00C86657"/>
    <w:rsid w:val="00CA2A57"/>
    <w:rsid w:val="00D17E42"/>
    <w:rsid w:val="00D32B2A"/>
    <w:rsid w:val="00D4304D"/>
    <w:rsid w:val="00D461CC"/>
    <w:rsid w:val="00D82764"/>
    <w:rsid w:val="00D97960"/>
    <w:rsid w:val="00DD7590"/>
    <w:rsid w:val="00DF6D27"/>
    <w:rsid w:val="00E452CF"/>
    <w:rsid w:val="00E65C95"/>
    <w:rsid w:val="00EC1274"/>
    <w:rsid w:val="00F810F6"/>
    <w:rsid w:val="00F814B1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0D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0D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A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0D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0DB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D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6A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8F5-B85D-4C66-A90C-88DE41B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2016-11-23T06:15:00Z</cp:lastPrinted>
  <dcterms:created xsi:type="dcterms:W3CDTF">2016-11-18T02:47:00Z</dcterms:created>
  <dcterms:modified xsi:type="dcterms:W3CDTF">2016-12-01T06:23:00Z</dcterms:modified>
</cp:coreProperties>
</file>